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gco-20260615.htm"/>
        <w:bookmarkStart w:id="1" w:name="ksgco20260615"/>
        <w:bookmarkEnd w:id="0"/>
        <w:bookmarkEnd w:id="1"/>
        <w:r>
          <w:rPr>
            <w:rStyle w:val="InternetLink"/>
            <w:rFonts w:ascii="Times New Roman" w:hAnsi="Times New Roman"/>
            <w:b/>
            <w:color w:val="0000FF"/>
            <w:sz w:val="20"/>
            <w:u w:val="single"/>
          </w:rPr>
          <w:t>Table of Contents</w:t>
        </w:r>
      </w:hyperlink>
    </w:p>
    <w:p>
      <w:pPr>
        <w:pStyle w:val="TextBody"/>
        <w:pBdr>
          <w:top w:val="double" w:sz="6" w:space="1" w:color="000000"/>
        </w:pBdr>
        <w:bidi w:val="0"/>
        <w:jc w:val="center"/>
        <w:rPr/>
      </w:pPr>
      <w:r>
        <w:rPr/>
        <w:t> </w:t>
      </w:r>
    </w:p>
    <w:p>
      <w:pPr>
        <w:pStyle w:val="TextBody"/>
        <w:bidi w:val="0"/>
        <w:jc w:val="center"/>
        <w:rPr>
          <w:rFonts w:ascii="Times New Roman" w:hAnsi="Times New Roman"/>
          <w:sz w:val="20"/>
        </w:rPr>
      </w:pPr>
      <w:r>
        <w:rPr>
          <w:rFonts w:ascii="Arial" w:hAnsi="Arial"/>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Washington, D.C. 20549</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36"/>
        </w:rPr>
        <w:t>SCHEDULE 14A</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Arial" w:hAnsi="Arial"/>
          <w:b/>
          <w:color w:val="000000"/>
          <w:sz w:val="24"/>
        </w:rPr>
        <w:t>Proxy Statement Pursuant to Section 14(a) of the</w:t>
      </w:r>
      <w:r>
        <w:rPr>
          <w:rFonts w:ascii="Times New Roman" w:hAnsi="Times New Roman"/>
          <w:color w:val="000000"/>
          <w:sz w:val="20"/>
        </w:rPr>
        <w:t xml:space="preserve"> </w:t>
      </w:r>
    </w:p>
    <w:p>
      <w:pPr>
        <w:pStyle w:val="TextBody"/>
        <w:bidi w:val="0"/>
        <w:jc w:val="center"/>
        <w:rPr>
          <w:rFonts w:ascii="Arial" w:hAnsi="Arial"/>
          <w:b/>
          <w:color w:val="000000"/>
          <w:sz w:val="24"/>
        </w:rPr>
      </w:pPr>
      <w:r>
        <w:rPr>
          <w:rFonts w:ascii="Arial" w:hAnsi="Arial"/>
          <w:b/>
          <w:color w:val="000000"/>
          <w:sz w:val="24"/>
        </w:rPr>
        <w:t>Securities Exchange Act of 1934 (Amendment No.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Filed by the Registrant ☒ Filed by a Party other than the Registrant ☐</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Check the appropriate box:</w:t>
      </w:r>
      <w:r>
        <w:rPr>
          <w:rFonts w:ascii="Times New Roman" w:hAnsi="Times New Roman"/>
          <w:color w:val="000000"/>
          <w:sz w:val="20"/>
        </w:rPr>
        <w:t xml:space="preserve"> </w:t>
      </w:r>
    </w:p>
    <w:p>
      <w:pPr>
        <w:pStyle w:val="TextBody"/>
        <w:bidi w:val="0"/>
        <w:jc w:val="left"/>
        <w:rPr/>
      </w:pPr>
      <w:r>
        <w:rPr/>
        <w:t> </w:t>
      </w:r>
    </w:p>
    <w:tbl>
      <w:tblPr>
        <w:tblW w:w="7382" w:type="dxa"/>
        <w:jc w:val="left"/>
        <w:tblInd w:w="0" w:type="dxa"/>
        <w:tblLayout w:type="fixed"/>
        <w:tblCellMar>
          <w:top w:w="28" w:type="dxa"/>
          <w:left w:w="28" w:type="dxa"/>
          <w:bottom w:w="28" w:type="dxa"/>
          <w:right w:w="28" w:type="dxa"/>
        </w:tblCellMar>
      </w:tblPr>
      <w:tblGrid>
        <w:gridCol w:w="331"/>
        <w:gridCol w:w="7051"/>
      </w:tblGrid>
      <w:tr>
        <w:trPr/>
        <w:tc>
          <w:tcPr>
            <w:tcW w:w="331" w:type="dxa"/>
            <w:tcBorders/>
            <w:vAlign w:val="center"/>
          </w:tcPr>
          <w:p>
            <w:pPr>
              <w:pStyle w:val="TableContents"/>
              <w:bidi w:val="0"/>
              <w:spacing w:before="0" w:after="283"/>
              <w:jc w:val="left"/>
              <w:rPr>
                <w:sz w:val="4"/>
                <w:szCs w:val="4"/>
              </w:rPr>
            </w:pPr>
            <w:r>
              <w:rPr>
                <w:sz w:val="4"/>
                <w:szCs w:val="4"/>
              </w:rPr>
            </w:r>
          </w:p>
        </w:tc>
        <w:tc>
          <w:tcPr>
            <w:tcW w:w="705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0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70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0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70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0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70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0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70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0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Soliciting Material under §240.14a-12</w:t>
            </w:r>
          </w:p>
        </w:tc>
      </w:tr>
    </w:tbl>
    <w:p>
      <w:pPr>
        <w:pStyle w:val="TextBody"/>
        <w:bidi w:val="0"/>
        <w:jc w:val="left"/>
        <w:rPr/>
      </w:pPr>
      <w:r>
        <w:rPr/>
        <w:t> </w:t>
      </w:r>
    </w:p>
    <w:p>
      <w:pPr>
        <w:pStyle w:val="TextBody"/>
        <w:bidi w:val="0"/>
        <w:spacing w:before="160" w:after="283"/>
        <w:jc w:val="center"/>
        <w:rPr>
          <w:rFonts w:ascii="Times New Roman" w:hAnsi="Times New Roman"/>
          <w:sz w:val="20"/>
        </w:rPr>
      </w:pPr>
      <w:r>
        <w:rPr>
          <w:rFonts w:ascii="Arial" w:hAnsi="Arial"/>
          <w:b/>
          <w:color w:val="000000"/>
          <w:sz w:val="44"/>
        </w:rPr>
        <w:t>Genesco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(Name of Registrant as Specified In Its Charter)</w:t>
      </w:r>
      <w:r>
        <w:rPr>
          <w:rFonts w:ascii="Times New Roman" w:hAnsi="Times New Roman"/>
          <w:color w:val="000000"/>
          <w:sz w:val="20"/>
        </w:rPr>
        <w:t xml:space="preserve"> </w:t>
      </w:r>
    </w:p>
    <w:p>
      <w:pPr>
        <w:pStyle w:val="TextBody"/>
        <w:bidi w:val="0"/>
        <w:spacing w:before="360" w:after="283"/>
        <w:jc w:val="center"/>
        <w:rPr>
          <w:rFonts w:ascii="Times New Roman" w:hAnsi="Times New Roman"/>
          <w:sz w:val="20"/>
        </w:rPr>
      </w:pPr>
      <w:r>
        <w:rPr>
          <w:rFonts w:ascii="Arial" w:hAnsi="Arial"/>
          <w:b/>
          <w:color w:val="000000"/>
          <w:sz w:val="16"/>
        </w:rPr>
        <w:t>(Name of Person(s) Filing Proxy Statement, if other than the Registrant)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Payment of Filing Fee (Check all boxes that apply):</w:t>
      </w:r>
      <w:r>
        <w:rPr>
          <w:rFonts w:ascii="Times New Roman" w:hAnsi="Times New Roman"/>
          <w:color w:val="000000"/>
          <w:sz w:val="20"/>
        </w:rPr>
        <w:t xml:space="preserve"> </w:t>
      </w:r>
    </w:p>
    <w:p>
      <w:pPr>
        <w:pStyle w:val="TextBody"/>
        <w:bidi w:val="0"/>
        <w:jc w:val="left"/>
        <w:rPr/>
      </w:pPr>
      <w:r>
        <w:rPr/>
        <w:t> </w:t>
      </w:r>
    </w:p>
    <w:tbl>
      <w:tblPr>
        <w:tblW w:w="9257" w:type="dxa"/>
        <w:jc w:val="left"/>
        <w:tblInd w:w="0" w:type="dxa"/>
        <w:tblLayout w:type="fixed"/>
        <w:tblCellMar>
          <w:top w:w="28" w:type="dxa"/>
          <w:left w:w="28" w:type="dxa"/>
          <w:bottom w:w="28" w:type="dxa"/>
          <w:right w:w="28" w:type="dxa"/>
        </w:tblCellMar>
      </w:tblPr>
      <w:tblGrid>
        <w:gridCol w:w="331"/>
        <w:gridCol w:w="8926"/>
      </w:tblGrid>
      <w:tr>
        <w:trPr/>
        <w:tc>
          <w:tcPr>
            <w:tcW w:w="331" w:type="dxa"/>
            <w:tcBorders/>
            <w:vAlign w:val="center"/>
          </w:tcPr>
          <w:p>
            <w:pPr>
              <w:pStyle w:val="TableContents"/>
              <w:bidi w:val="0"/>
              <w:spacing w:before="0" w:after="283"/>
              <w:jc w:val="left"/>
              <w:rPr>
                <w:sz w:val="4"/>
                <w:szCs w:val="4"/>
              </w:rPr>
            </w:pPr>
            <w:r>
              <w:rPr>
                <w:sz w:val="4"/>
                <w:szCs w:val="4"/>
              </w:rPr>
            </w:r>
          </w:p>
        </w:tc>
        <w:tc>
          <w:tcPr>
            <w:tcW w:w="89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9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9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9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9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9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Fee computed on table in exhibit required by Item 25(b) per Exchange Act Rules 14a-6(i)(1) and 0-11.</w:t>
            </w:r>
          </w:p>
        </w:tc>
      </w:tr>
    </w:tbl>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drawing>
          <wp:inline distT="0" distB="0" distL="0" distR="0">
            <wp:extent cx="3238500"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38500" cy="866775"/>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sz w:val="20"/>
        </w:rPr>
      </w:pPr>
      <w:bookmarkStart w:id="2" w:name="notice_of_annual_meeting"/>
      <w:bookmarkEnd w:id="2"/>
      <w:r>
        <w:rPr>
          <w:rFonts w:ascii="Arial" w:hAnsi="Arial"/>
          <w:b/>
          <w:color w:val="000000"/>
          <w:sz w:val="24"/>
        </w:rPr>
        <w:t>Notice of Annual Meeting of Shareholders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2026 annual meeting of shareholders (the “Annual Meeting”) of Genesco Inc. (the “Company”) will be held in virtual format, on July 21, 2026 at 10 a.m. Central Time. The Annual Meeting will be held online via a live webcast at www.cesonlineservices.com/gco26_vm, where you will be able to vote electronically and submit questions during the Annual Meeting. To participate in the Annual Meeting, you must pre-register by 10 a.m. Central Time on July 20, 2026.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agenda will include the following items: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1.</w:t>
      </w:r>
    </w:p>
    <w:p>
      <w:pPr>
        <w:pStyle w:val="TextBody"/>
        <w:bidi w:val="0"/>
        <w:spacing w:before="200" w:after="283"/>
        <w:jc w:val="left"/>
        <w:rPr>
          <w:rFonts w:ascii="Arial" w:hAnsi="Arial"/>
          <w:color w:val="000000"/>
          <w:sz w:val="20"/>
        </w:rPr>
      </w:pPr>
      <w:r>
        <w:rPr>
          <w:rFonts w:ascii="Arial" w:hAnsi="Arial"/>
          <w:color w:val="000000"/>
          <w:sz w:val="20"/>
        </w:rPr>
        <w:t xml:space="preserve">a proposal to elect nine directors; </w:t>
      </w:r>
    </w:p>
    <w:p>
      <w:pPr>
        <w:pStyle w:val="TextBody"/>
        <w:bidi w:val="0"/>
        <w:spacing w:before="200" w:after="283"/>
        <w:jc w:val="left"/>
        <w:rPr>
          <w:rFonts w:ascii="Arial" w:hAnsi="Arial"/>
          <w:color w:val="000000"/>
          <w:sz w:val="20"/>
        </w:rPr>
      </w:pPr>
      <w:r>
        <w:rPr>
          <w:rFonts w:ascii="Arial" w:hAnsi="Arial"/>
          <w:color w:val="000000"/>
          <w:sz w:val="20"/>
        </w:rPr>
        <w:t>2.</w:t>
      </w:r>
    </w:p>
    <w:p>
      <w:pPr>
        <w:pStyle w:val="TextBody"/>
        <w:bidi w:val="0"/>
        <w:spacing w:before="200" w:after="283"/>
        <w:jc w:val="left"/>
        <w:rPr>
          <w:rFonts w:ascii="Arial" w:hAnsi="Arial"/>
          <w:color w:val="000000"/>
          <w:sz w:val="20"/>
        </w:rPr>
      </w:pPr>
      <w:r>
        <w:rPr>
          <w:rFonts w:ascii="Arial" w:hAnsi="Arial"/>
          <w:color w:val="000000"/>
          <w:sz w:val="20"/>
        </w:rPr>
        <w:t xml:space="preserve">a non-binding, advisory vote on the Company’s named executive officers’ compensation; </w:t>
      </w:r>
    </w:p>
    <w:p>
      <w:pPr>
        <w:pStyle w:val="TextBody"/>
        <w:bidi w:val="0"/>
        <w:spacing w:before="200" w:after="283"/>
        <w:jc w:val="left"/>
        <w:rPr>
          <w:rFonts w:ascii="Arial" w:hAnsi="Arial"/>
          <w:color w:val="000000"/>
          <w:sz w:val="20"/>
        </w:rPr>
      </w:pPr>
      <w:r>
        <w:rPr>
          <w:rFonts w:ascii="Arial" w:hAnsi="Arial"/>
          <w:color w:val="000000"/>
          <w:sz w:val="20"/>
        </w:rPr>
        <w:t>3.</w:t>
      </w:r>
    </w:p>
    <w:p>
      <w:pPr>
        <w:pStyle w:val="TextBody"/>
        <w:bidi w:val="0"/>
        <w:spacing w:before="200" w:after="283"/>
        <w:jc w:val="left"/>
        <w:rPr>
          <w:rFonts w:ascii="Arial" w:hAnsi="Arial"/>
          <w:color w:val="000000"/>
          <w:sz w:val="20"/>
        </w:rPr>
      </w:pPr>
      <w:r>
        <w:rPr>
          <w:rFonts w:ascii="Arial" w:hAnsi="Arial"/>
          <w:color w:val="000000"/>
          <w:sz w:val="20"/>
        </w:rPr>
        <w:t xml:space="preserve">a proposal to approve the Genesco Inc. Fourth Amended and Restated 2020 Equity Incentive Plan; </w:t>
      </w:r>
    </w:p>
    <w:p>
      <w:pPr>
        <w:pStyle w:val="TextBody"/>
        <w:bidi w:val="0"/>
        <w:spacing w:before="200" w:after="283"/>
        <w:jc w:val="left"/>
        <w:rPr>
          <w:rFonts w:ascii="Arial" w:hAnsi="Arial"/>
          <w:color w:val="000000"/>
          <w:sz w:val="20"/>
        </w:rPr>
      </w:pPr>
      <w:r>
        <w:rPr>
          <w:rFonts w:ascii="Arial" w:hAnsi="Arial"/>
          <w:color w:val="000000"/>
          <w:sz w:val="20"/>
        </w:rPr>
        <w:t>4.</w:t>
      </w:r>
    </w:p>
    <w:p>
      <w:pPr>
        <w:pStyle w:val="TextBody"/>
        <w:bidi w:val="0"/>
        <w:spacing w:before="200" w:after="283"/>
        <w:jc w:val="left"/>
        <w:rPr>
          <w:rFonts w:ascii="Arial" w:hAnsi="Arial"/>
          <w:color w:val="000000"/>
          <w:sz w:val="20"/>
        </w:rPr>
      </w:pPr>
      <w:r>
        <w:rPr>
          <w:rFonts w:ascii="Arial" w:hAnsi="Arial"/>
          <w:color w:val="000000"/>
          <w:sz w:val="20"/>
        </w:rPr>
        <w:t xml:space="preserve">a proposal to ratify the appointment of Deloitte &amp; Touche LLP as independent registered public accounting firm to the Company for the current fiscal year; and </w:t>
      </w:r>
    </w:p>
    <w:p>
      <w:pPr>
        <w:pStyle w:val="TextBody"/>
        <w:bidi w:val="0"/>
        <w:spacing w:before="200" w:after="283"/>
        <w:jc w:val="left"/>
        <w:rPr>
          <w:rFonts w:ascii="Arial" w:hAnsi="Arial"/>
          <w:color w:val="000000"/>
          <w:sz w:val="20"/>
        </w:rPr>
      </w:pPr>
      <w:r>
        <w:rPr>
          <w:rFonts w:ascii="Arial" w:hAnsi="Arial"/>
          <w:color w:val="000000"/>
          <w:sz w:val="20"/>
        </w:rPr>
        <w:t>5.</w:t>
      </w:r>
    </w:p>
    <w:p>
      <w:pPr>
        <w:pStyle w:val="TextBody"/>
        <w:bidi w:val="0"/>
        <w:spacing w:before="200" w:after="283"/>
        <w:jc w:val="left"/>
        <w:rPr>
          <w:rFonts w:ascii="Arial" w:hAnsi="Arial"/>
          <w:color w:val="000000"/>
          <w:sz w:val="20"/>
        </w:rPr>
      </w:pPr>
      <w:r>
        <w:rPr>
          <w:rFonts w:ascii="Arial" w:hAnsi="Arial"/>
          <w:color w:val="000000"/>
          <w:sz w:val="20"/>
        </w:rPr>
        <w:t xml:space="preserve">any other business that properly comes before the meeting or any adjournment or postponement thereof. </w:t>
      </w:r>
    </w:p>
    <w:p>
      <w:pPr>
        <w:pStyle w:val="TextBody"/>
        <w:bidi w:val="0"/>
        <w:spacing w:before="200" w:after="283"/>
        <w:jc w:val="left"/>
        <w:rPr>
          <w:rFonts w:ascii="Times New Roman" w:hAnsi="Times New Roman"/>
          <w:sz w:val="20"/>
        </w:rPr>
      </w:pPr>
      <w:r>
        <w:rPr>
          <w:rFonts w:ascii="Arial" w:hAnsi="Arial"/>
          <w:color w:val="000000"/>
          <w:sz w:val="20"/>
        </w:rPr>
        <w:t>Shareholders of record at the close of business on June 11, 2026, are entitled to receive this notice and vote at the meeting and any adjournment or postponement thereof.</w:t>
      </w:r>
      <w:r>
        <w:rPr>
          <w:rFonts w:ascii="Times New Roman" w:hAnsi="Times New Roman"/>
          <w:color w:val="000000"/>
          <w:sz w:val="20"/>
        </w:rPr>
        <w:t xml:space="preserve"> </w:t>
      </w:r>
    </w:p>
    <w:p>
      <w:pPr>
        <w:pStyle w:val="TextBody"/>
        <w:bidi w:val="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By order of the board of directors,</w:t>
            </w:r>
            <w:r>
              <w:rPr>
                <w:rFonts w:ascii="Times New Roman" w:hAnsi="Times New Roman"/>
                <w:color w:val="000000"/>
                <w:sz w:val="20"/>
              </w:rPr>
              <w:t xml:space="preserve"> </w:t>
            </w:r>
          </w:p>
        </w:tc>
      </w:tr>
      <w:tr>
        <w:trPr/>
        <w:tc>
          <w:tcPr>
            <w:tcW w:w="31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438275" cy="60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38275" cy="609600"/>
                          </a:xfrm>
                          <a:prstGeom prst="rect">
                            <a:avLst/>
                          </a:prstGeom>
                        </pic:spPr>
                      </pic:pic>
                    </a:graphicData>
                  </a:graphic>
                </wp:inline>
              </w:drawing>
            </w:r>
          </w:p>
        </w:tc>
      </w:tr>
      <w:tr>
        <w:trPr/>
        <w:tc>
          <w:tcPr>
            <w:tcW w:w="3136"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20"/>
              </w:rPr>
            </w:pPr>
            <w:r>
              <w:rPr>
                <w:rFonts w:ascii="Arial" w:hAnsi="Arial"/>
                <w:color w:val="000000"/>
                <w:sz w:val="20"/>
              </w:rPr>
              <w:t>Scott E. Becker</w:t>
            </w:r>
            <w:r>
              <w:rPr>
                <w:rFonts w:ascii="Times New Roman" w:hAnsi="Times New Roman"/>
                <w:color w:val="000000"/>
                <w:sz w:val="20"/>
              </w:rPr>
              <w:t xml:space="preserve"> </w:t>
            </w:r>
          </w:p>
        </w:tc>
      </w:tr>
      <w:tr>
        <w:trPr/>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Secretary</w:t>
            </w:r>
            <w:r>
              <w:rPr>
                <w:rFonts w:ascii="Times New Roman" w:hAnsi="Times New Roman"/>
                <w:color w:val="000000"/>
                <w:sz w:val="20"/>
              </w:rPr>
              <w:t xml:space="preserve">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June 15, 2026</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9890"/>
        <w:gridCol w:w="191"/>
      </w:tblGrid>
      <w:tr>
        <w:trPr/>
        <w:tc>
          <w:tcPr>
            <w:tcW w:w="124" w:type="dxa"/>
            <w:tcBorders/>
            <w:vAlign w:val="center"/>
          </w:tcPr>
          <w:p>
            <w:pPr>
              <w:pStyle w:val="TableContents"/>
              <w:bidi w:val="0"/>
              <w:spacing w:before="0" w:after="283"/>
              <w:jc w:val="left"/>
              <w:rPr>
                <w:sz w:val="4"/>
                <w:szCs w:val="4"/>
              </w:rPr>
            </w:pPr>
            <w:r>
              <w:rPr>
                <w:sz w:val="4"/>
                <w:szCs w:val="4"/>
              </w:rPr>
            </w:r>
          </w:p>
        </w:tc>
        <w:tc>
          <w:tcPr>
            <w:tcW w:w="98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014" w:type="dxa"/>
            <w:gridSpan w:val="2"/>
            <w:tcBorders>
              <w:top w:val="single" w:sz="4" w:space="0" w:color="000000"/>
              <w:left w:val="single" w:sz="4" w:space="0" w:color="000000"/>
            </w:tcBorders>
            <w:tcMar>
              <w:bottom w:w="0" w:type="dxa"/>
              <w:right w:w="0" w:type="dxa"/>
            </w:tcMar>
            <w:vAlign w:val="center"/>
          </w:tcPr>
          <w:p>
            <w:pPr>
              <w:pStyle w:val="TableContents"/>
              <w:bidi w:val="0"/>
              <w:spacing w:before="80" w:after="283"/>
              <w:jc w:val="center"/>
              <w:rPr>
                <w:rFonts w:ascii="Arial" w:hAnsi="Arial"/>
                <w:b/>
                <w:color w:val="000000"/>
                <w:sz w:val="20"/>
              </w:rPr>
            </w:pPr>
            <w:r>
              <w:rPr>
                <w:rFonts w:ascii="Arial" w:hAnsi="Arial"/>
                <w:b/>
                <w:color w:val="000000"/>
                <w:sz w:val="20"/>
              </w:rPr>
              <w:t>IMPORTANT</w:t>
            </w:r>
          </w:p>
        </w:tc>
        <w:tc>
          <w:tcPr>
            <w:tcW w:w="191" w:type="dxa"/>
            <w:tcBorders>
              <w:top w:val="single" w:sz="4" w:space="0" w:color="000000"/>
              <w:right w:val="single" w:sz="4" w:space="0" w:color="000000"/>
            </w:tcBorders>
            <w:tcMar>
              <w:left w:w="0" w:type="dxa"/>
              <w:bottom w:w="0" w:type="dxa"/>
            </w:tcMar>
            <w:vAlign w:val="center"/>
          </w:tcPr>
          <w:p>
            <w:pPr>
              <w:pStyle w:val="TableContents"/>
              <w:bidi w:val="0"/>
              <w:spacing w:before="80" w:after="283"/>
              <w:jc w:val="center"/>
              <w:rPr/>
            </w:pPr>
            <w:r>
              <w:rPr/>
              <w:t> </w:t>
            </w:r>
          </w:p>
        </w:tc>
      </w:tr>
      <w:tr>
        <w:trPr/>
        <w:tc>
          <w:tcPr>
            <w:tcW w:w="124" w:type="dxa"/>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890" w:type="dxa"/>
            <w:tcBorders>
              <w:bottom w:val="single" w:sz="4" w:space="0" w:color="000000"/>
            </w:tcBorders>
            <w:tcMar>
              <w:top w:w="0" w:type="dxa"/>
              <w:left w:w="0" w:type="dxa"/>
              <w:right w:w="0" w:type="dxa"/>
            </w:tcMar>
            <w:vAlign w:val="center"/>
          </w:tcPr>
          <w:p>
            <w:pPr>
              <w:pStyle w:val="TableContents"/>
              <w:bidi w:val="0"/>
              <w:spacing w:before="200" w:after="200"/>
              <w:jc w:val="both"/>
              <w:rPr>
                <w:rFonts w:ascii="Times New Roman" w:hAnsi="Times New Roman"/>
                <w:sz w:val="20"/>
              </w:rPr>
            </w:pPr>
            <w:r>
              <w:rPr>
                <w:rFonts w:ascii="Arial" w:hAnsi="Arial"/>
                <w:b/>
                <w:color w:val="000000"/>
                <w:sz w:val="20"/>
              </w:rPr>
              <w:t>It is important that your shares be represented at the Annual Meeting whether or not you are personally able to attend. Even if you do plan to attend the Annual Meeting, we urge you to promptly vote by using the enclosed WHITE proxy card to vote by telephone or the Internet. You may also sign, date and return the WHITE proxy card in the postage-paid envelope provided. If your shares are held by a broker, bank or other nominee, you must follow the instructions provided by your broker, bank or other nominee to vote your shares and you may not vote your shares in person at the meeting unless you obtain a “legal proxy” from the broker, bank or other nominee that holds your shares giving you the right to vote the shares at the Annual Meeting.</w:t>
            </w:r>
            <w:r>
              <w:rPr>
                <w:rFonts w:ascii="Times New Roman" w:hAnsi="Times New Roman"/>
                <w:color w:val="000000"/>
                <w:sz w:val="20"/>
              </w:rPr>
              <w:t xml:space="preserve"> </w:t>
            </w:r>
          </w:p>
          <w:p>
            <w:pPr>
              <w:pStyle w:val="TableContents"/>
              <w:bidi w:val="0"/>
              <w:spacing w:before="0" w:after="200"/>
              <w:jc w:val="left"/>
              <w:rPr>
                <w:rFonts w:ascii="Arial" w:hAnsi="Arial"/>
                <w:b/>
                <w:color w:val="000000"/>
                <w:sz w:val="20"/>
              </w:rPr>
            </w:pPr>
            <w:r>
              <w:rPr>
                <w:rFonts w:ascii="Arial" w:hAnsi="Arial"/>
                <w:b/>
                <w:color w:val="000000"/>
                <w:sz w:val="20"/>
              </w:rPr>
              <w:t>If you have any questions or need help voting your shares, please call the firm assisting us with the proxy solicitation:</w:t>
            </w:r>
          </w:p>
          <w:p>
            <w:pPr>
              <w:pStyle w:val="TableContents"/>
              <w:bidi w:val="0"/>
              <w:spacing w:before="0" w:after="200"/>
              <w:jc w:val="left"/>
              <w:rPr/>
            </w:pPr>
            <w:r>
              <w:rPr/>
              <w:drawing>
                <wp:inline distT="0" distB="0" distL="0" distR="0">
                  <wp:extent cx="1828800" cy="457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28800" cy="457200"/>
                          </a:xfrm>
                          <a:prstGeom prst="rect">
                            <a:avLst/>
                          </a:prstGeom>
                        </pic:spPr>
                      </pic:pic>
                    </a:graphicData>
                  </a:graphic>
                </wp:inline>
              </w:drawing>
            </w:r>
          </w:p>
          <w:p>
            <w:pPr>
              <w:pStyle w:val="TableContents"/>
              <w:bidi w:val="0"/>
              <w:jc w:val="center"/>
              <w:rPr>
                <w:rFonts w:ascii="Arial" w:hAnsi="Arial"/>
                <w:b/>
                <w:color w:val="000000"/>
                <w:sz w:val="20"/>
              </w:rPr>
            </w:pPr>
            <w:r>
              <w:rPr>
                <w:rFonts w:ascii="Arial" w:hAnsi="Arial"/>
                <w:b/>
                <w:color w:val="000000"/>
                <w:sz w:val="20"/>
              </w:rPr>
              <w:t>(877) 750-2689 (toll-free from the U.S. and Canada)</w:t>
            </w:r>
          </w:p>
          <w:p>
            <w:pPr>
              <w:pStyle w:val="TableContents"/>
              <w:bidi w:val="0"/>
              <w:jc w:val="center"/>
              <w:rPr>
                <w:rFonts w:ascii="Arial" w:hAnsi="Arial"/>
                <w:b/>
                <w:color w:val="000000"/>
                <w:sz w:val="20"/>
              </w:rPr>
            </w:pPr>
            <w:r>
              <w:rPr>
                <w:rFonts w:ascii="Arial" w:hAnsi="Arial"/>
                <w:b/>
                <w:color w:val="000000"/>
                <w:sz w:val="20"/>
              </w:rPr>
              <w:t>+1 (412) 232-3651 (from other countries)</w:t>
            </w:r>
          </w:p>
          <w:p>
            <w:pPr>
              <w:pStyle w:val="TableContents"/>
              <w:bidi w:val="0"/>
              <w:jc w:val="center"/>
              <w:rPr>
                <w:rFonts w:ascii="Arial" w:hAnsi="Arial"/>
                <w:b/>
                <w:color w:val="000000"/>
                <w:sz w:val="20"/>
              </w:rPr>
            </w:pPr>
            <w:r>
              <w:rPr>
                <w:rFonts w:ascii="Arial" w:hAnsi="Arial"/>
                <w:b/>
                <w:color w:val="000000"/>
                <w:sz w:val="20"/>
              </w:rPr>
              <w:t>Banks and Brokers May Call Collect: (212) 750-5833</w:t>
            </w:r>
          </w:p>
          <w:p>
            <w:pPr>
              <w:pStyle w:val="TableContents"/>
              <w:bidi w:val="0"/>
              <w:spacing w:before="0" w:after="283"/>
              <w:jc w:val="left"/>
              <w:rPr/>
            </w:pPr>
            <w:r>
              <w:rPr/>
              <w:t> </w:t>
            </w:r>
          </w:p>
        </w:tc>
        <w:tc>
          <w:tcPr>
            <w:tcW w:w="191" w:type="dxa"/>
            <w:tcBorders>
              <w:bottom w:val="single" w:sz="4" w:space="0" w:color="000000"/>
              <w:right w:val="single" w:sz="4" w:space="0" w:color="000000"/>
            </w:tcBorders>
            <w:tcMar>
              <w:top w:w="0" w:type="dxa"/>
              <w:left w:w="0" w:type="dxa"/>
            </w:tcMar>
            <w:vAlign w:val="center"/>
          </w:tcPr>
          <w:p>
            <w:pPr>
              <w:pStyle w:val="TableContents"/>
              <w:bidi w:val="0"/>
              <w:spacing w:before="240" w:after="240"/>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 w:name="toc_page"/>
      <w:bookmarkEnd w:id="3"/>
      <w:r>
        <w:rPr>
          <w:rFonts w:ascii="Arial" w:hAnsi="Arial"/>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9438" w:type="dxa"/>
        <w:jc w:val="left"/>
        <w:tblInd w:w="0" w:type="dxa"/>
        <w:tblLayout w:type="fixed"/>
        <w:tblCellMar>
          <w:top w:w="28" w:type="dxa"/>
          <w:left w:w="28" w:type="dxa"/>
          <w:bottom w:w="28" w:type="dxa"/>
          <w:right w:w="28" w:type="dxa"/>
        </w:tblCellMar>
      </w:tblPr>
      <w:tblGrid>
        <w:gridCol w:w="8326"/>
        <w:gridCol w:w="391"/>
        <w:gridCol w:w="721"/>
      </w:tblGrid>
      <w:tr>
        <w:trPr/>
        <w:tc>
          <w:tcPr>
            <w:tcW w:w="832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8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32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8326" w:type="dxa"/>
            <w:tcBorders/>
            <w:tcMar>
              <w:top w:w="0" w:type="dxa"/>
              <w:left w:w="0" w:type="dxa"/>
              <w:bottom w:w="0" w:type="dxa"/>
              <w:right w:w="0" w:type="dxa"/>
            </w:tcMar>
            <w:vAlign w:val="center"/>
          </w:tcPr>
          <w:p>
            <w:pPr>
              <w:pStyle w:val="TableContents"/>
              <w:bidi w:val="0"/>
              <w:spacing w:before="0" w:after="40"/>
              <w:ind w:left="0" w:right="0" w:firstLine="245"/>
              <w:jc w:val="left"/>
              <w:rPr/>
            </w:pPr>
            <w:hyperlink w:anchor="notice_of_annual_meeting">
              <w:r>
                <w:rPr>
                  <w:rStyle w:val="InternetLink"/>
                  <w:rFonts w:ascii="Arial" w:hAnsi="Arial"/>
                  <w:color w:val="000000"/>
                  <w:sz w:val="20"/>
                </w:rPr>
                <w:t>Notice</w:t>
              </w:r>
            </w:hyperlink>
          </w:p>
        </w:tc>
        <w:tc>
          <w:tcPr>
            <w:tcW w:w="391" w:type="dxa"/>
            <w:tcBorders/>
            <w:tcMar>
              <w:top w:w="0" w:type="dxa"/>
              <w:left w:w="0" w:type="dxa"/>
              <w:bottom w:w="0" w:type="dxa"/>
              <w:right w:w="0" w:type="dxa"/>
            </w:tcMar>
            <w:vAlign w:val="center"/>
          </w:tcPr>
          <w:p>
            <w:pPr>
              <w:pStyle w:val="TableContents"/>
              <w:bidi w:val="0"/>
              <w:spacing w:before="20" w:after="20"/>
              <w:ind w:left="0" w:right="0" w:firstLine="245"/>
              <w:jc w:val="right"/>
              <w:rPr/>
            </w:pPr>
            <w:r>
              <w:rPr/>
              <w:t> </w:t>
            </w:r>
          </w:p>
        </w:tc>
        <w:tc>
          <w:tcPr>
            <w:tcW w:w="721" w:type="dxa"/>
            <w:tcBorders/>
            <w:tcMar>
              <w:top w:w="0" w:type="dxa"/>
              <w:left w:w="0" w:type="dxa"/>
              <w:bottom w:w="0" w:type="dxa"/>
              <w:right w:w="0" w:type="dxa"/>
            </w:tcMar>
            <w:vAlign w:val="center"/>
          </w:tcPr>
          <w:p>
            <w:pPr>
              <w:pStyle w:val="TableContents"/>
              <w:bidi w:val="0"/>
              <w:spacing w:before="20" w:after="20"/>
              <w:ind w:left="0" w:right="0" w:firstLine="245"/>
              <w:jc w:val="right"/>
              <w:rPr/>
            </w:pPr>
            <w:r>
              <w:rPr/>
              <w:t> </w:t>
            </w:r>
          </w:p>
        </w:tc>
      </w:tr>
      <w:tr>
        <w:trPr/>
        <w:tc>
          <w:tcPr>
            <w:tcW w:w="8326" w:type="dxa"/>
            <w:tcBorders/>
            <w:tcMar>
              <w:top w:w="0" w:type="dxa"/>
              <w:left w:w="0" w:type="dxa"/>
              <w:bottom w:w="0" w:type="dxa"/>
              <w:right w:w="0" w:type="dxa"/>
            </w:tcMar>
            <w:vAlign w:val="center"/>
          </w:tcPr>
          <w:p>
            <w:pPr>
              <w:pStyle w:val="TableContents"/>
              <w:bidi w:val="0"/>
              <w:spacing w:before="40" w:after="40"/>
              <w:jc w:val="left"/>
              <w:rPr/>
            </w:pPr>
            <w:hyperlink w:anchor="corporate_governance_and">
              <w:r>
                <w:rPr>
                  <w:rStyle w:val="InternetLink"/>
                  <w:rFonts w:ascii="Arial" w:hAnsi="Arial"/>
                  <w:color w:val="000000"/>
                  <w:sz w:val="20"/>
                </w:rPr>
                <w:t>Corporate Governance and Board Highlights</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jc w:val="right"/>
              <w:rPr>
                <w:rFonts w:ascii="Arial" w:hAnsi="Arial"/>
                <w:color w:val="000000"/>
                <w:sz w:val="20"/>
              </w:rPr>
            </w:pPr>
            <w:r>
              <w:rPr>
                <w:rFonts w:ascii="Arial" w:hAnsi="Arial"/>
                <w:color w:val="000000"/>
                <w:sz w:val="20"/>
              </w:rPr>
              <w:t>3</w:t>
            </w:r>
          </w:p>
        </w:tc>
      </w:tr>
      <w:tr>
        <w:trPr/>
        <w:tc>
          <w:tcPr>
            <w:tcW w:w="8326" w:type="dxa"/>
            <w:tcBorders/>
            <w:tcMar>
              <w:top w:w="0" w:type="dxa"/>
              <w:left w:w="0" w:type="dxa"/>
              <w:bottom w:w="0" w:type="dxa"/>
              <w:right w:w="0" w:type="dxa"/>
            </w:tcMar>
            <w:vAlign w:val="center"/>
          </w:tcPr>
          <w:p>
            <w:pPr>
              <w:pStyle w:val="TableContents"/>
              <w:bidi w:val="0"/>
              <w:spacing w:before="40" w:after="40"/>
              <w:jc w:val="left"/>
              <w:rPr/>
            </w:pPr>
            <w:hyperlink w:anchor="questions_and_answers">
              <w:r>
                <w:rPr>
                  <w:rStyle w:val="InternetLink"/>
                  <w:rFonts w:ascii="Arial" w:hAnsi="Arial"/>
                  <w:color w:val="000000"/>
                  <w:sz w:val="20"/>
                </w:rPr>
                <w:t>Questions and Answers About the Proxy Materials and the Annual Meeting</w:t>
              </w:r>
            </w:hyperlink>
            <w:hyperlink w:anchor="questions_and_answers">
              <w:r>
                <w:rPr>
                  <w:rStyle w:val="InternetLink"/>
                  <w:rFonts w:ascii="Times New Roman" w:hAnsi="Times New Roman"/>
                  <w:color w:val="000000"/>
                  <w:sz w:val="20"/>
                </w:rPr>
                <w:t xml:space="preserve"> </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jc w:val="right"/>
              <w:rPr>
                <w:rFonts w:ascii="Arial" w:hAnsi="Arial"/>
                <w:color w:val="000000"/>
                <w:sz w:val="20"/>
              </w:rPr>
            </w:pPr>
            <w:r>
              <w:rPr>
                <w:rFonts w:ascii="Arial" w:hAnsi="Arial"/>
                <w:color w:val="000000"/>
                <w:sz w:val="20"/>
              </w:rPr>
              <w:t>5</w:t>
            </w:r>
          </w:p>
        </w:tc>
      </w:tr>
      <w:tr>
        <w:trPr/>
        <w:tc>
          <w:tcPr>
            <w:tcW w:w="8326" w:type="dxa"/>
            <w:tcBorders/>
            <w:tcMar>
              <w:top w:w="0" w:type="dxa"/>
              <w:left w:w="0" w:type="dxa"/>
              <w:bottom w:w="0" w:type="dxa"/>
              <w:right w:w="0" w:type="dxa"/>
            </w:tcMar>
            <w:vAlign w:val="center"/>
          </w:tcPr>
          <w:p>
            <w:pPr>
              <w:pStyle w:val="TableContents"/>
              <w:bidi w:val="0"/>
              <w:spacing w:before="40" w:after="40"/>
              <w:jc w:val="left"/>
              <w:rPr/>
            </w:pPr>
            <w:hyperlink w:anchor="backgroun_o_the_solicitation">
              <w:r>
                <w:rPr>
                  <w:rStyle w:val="InternetLink"/>
                  <w:rFonts w:ascii="Arial" w:hAnsi="Arial"/>
                  <w:color w:val="000000"/>
                  <w:sz w:val="20"/>
                </w:rPr>
                <w:t>Background to the Solicitation</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jc w:val="right"/>
              <w:rPr>
                <w:rFonts w:ascii="Arial" w:hAnsi="Arial"/>
                <w:color w:val="000000"/>
                <w:sz w:val="20"/>
              </w:rPr>
            </w:pPr>
            <w:r>
              <w:rPr>
                <w:rFonts w:ascii="Arial" w:hAnsi="Arial"/>
                <w:color w:val="000000"/>
                <w:sz w:val="20"/>
              </w:rPr>
              <w:t>13</w:t>
            </w:r>
          </w:p>
        </w:tc>
      </w:tr>
      <w:tr>
        <w:trPr/>
        <w:tc>
          <w:tcPr>
            <w:tcW w:w="8326" w:type="dxa"/>
            <w:tcBorders/>
            <w:tcMar>
              <w:top w:w="0" w:type="dxa"/>
              <w:left w:w="0" w:type="dxa"/>
              <w:bottom w:w="0" w:type="dxa"/>
              <w:right w:w="0" w:type="dxa"/>
            </w:tcMar>
            <w:vAlign w:val="center"/>
          </w:tcPr>
          <w:p>
            <w:pPr>
              <w:pStyle w:val="TableContents"/>
              <w:bidi w:val="0"/>
              <w:spacing w:before="40" w:after="40"/>
              <w:jc w:val="left"/>
              <w:rPr/>
            </w:pPr>
            <w:hyperlink w:anchor="proposal_1_election_of_directors">
              <w:r>
                <w:rPr>
                  <w:rStyle w:val="InternetLink"/>
                  <w:rFonts w:ascii="Arial" w:hAnsi="Arial"/>
                  <w:color w:val="000000"/>
                  <w:sz w:val="20"/>
                </w:rPr>
                <w:t>Proposal 1: Election of Directors</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jc w:val="right"/>
              <w:rPr>
                <w:rFonts w:ascii="Arial" w:hAnsi="Arial"/>
                <w:color w:val="000000"/>
                <w:sz w:val="20"/>
              </w:rPr>
            </w:pPr>
            <w:r>
              <w:rPr>
                <w:rFonts w:ascii="Arial" w:hAnsi="Arial"/>
                <w:color w:val="000000"/>
                <w:sz w:val="20"/>
              </w:rPr>
              <w:t>17</w:t>
            </w:r>
          </w:p>
        </w:tc>
      </w:tr>
      <w:tr>
        <w:trPr/>
        <w:tc>
          <w:tcPr>
            <w:tcW w:w="8326" w:type="dxa"/>
            <w:tcBorders/>
            <w:tcMar>
              <w:top w:w="0" w:type="dxa"/>
              <w:left w:w="0" w:type="dxa"/>
              <w:bottom w:w="0" w:type="dxa"/>
              <w:right w:w="0" w:type="dxa"/>
            </w:tcMar>
            <w:vAlign w:val="center"/>
          </w:tcPr>
          <w:p>
            <w:pPr>
              <w:pStyle w:val="TableContents"/>
              <w:bidi w:val="0"/>
              <w:spacing w:before="40" w:after="40"/>
              <w:jc w:val="left"/>
              <w:rPr/>
            </w:pPr>
            <w:hyperlink w:anchor="corporate_governance">
              <w:r>
                <w:rPr>
                  <w:rStyle w:val="InternetLink"/>
                  <w:rFonts w:ascii="Arial" w:hAnsi="Arial"/>
                  <w:color w:val="000000"/>
                  <w:sz w:val="20"/>
                </w:rPr>
                <w:t>Corporate Governance</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ind w:left="0" w:right="0" w:firstLine="360"/>
              <w:jc w:val="right"/>
              <w:rPr>
                <w:rFonts w:ascii="Arial" w:hAnsi="Arial"/>
                <w:color w:val="000000"/>
                <w:sz w:val="20"/>
              </w:rPr>
            </w:pPr>
            <w:r>
              <w:rPr>
                <w:rFonts w:ascii="Arial" w:hAnsi="Arial"/>
                <w:color w:val="000000"/>
                <w:sz w:val="20"/>
              </w:rPr>
              <w:t>24</w:t>
            </w:r>
          </w:p>
        </w:tc>
      </w:tr>
      <w:tr>
        <w:trPr/>
        <w:tc>
          <w:tcPr>
            <w:tcW w:w="832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nominating_and_governance_committee">
              <w:r>
                <w:rPr>
                  <w:rStyle w:val="InternetLink"/>
                  <w:rFonts w:ascii="Arial" w:hAnsi="Arial"/>
                  <w:color w:val="000000"/>
                  <w:sz w:val="20"/>
                </w:rPr>
                <w:t> Nominating and Governance Committee</w:t>
              </w:r>
            </w:hyperlink>
            <w:hyperlink w:anchor="nominating_and_governance_committee">
              <w:r>
                <w:rPr>
                  <w:rStyle w:val="InternetLink"/>
                  <w:rFonts w:ascii="Times New Roman" w:hAnsi="Times New Roman"/>
                  <w:color w:val="000000"/>
                  <w:sz w:val="20"/>
                </w:rPr>
                <w:t xml:space="preserve"> </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ind w:left="0" w:right="0" w:firstLine="360"/>
              <w:jc w:val="right"/>
              <w:rPr>
                <w:rFonts w:ascii="Arial" w:hAnsi="Arial"/>
                <w:color w:val="000000"/>
                <w:sz w:val="20"/>
              </w:rPr>
            </w:pPr>
            <w:r>
              <w:rPr>
                <w:rFonts w:ascii="Arial" w:hAnsi="Arial"/>
                <w:color w:val="000000"/>
                <w:sz w:val="20"/>
              </w:rPr>
              <w:t>24</w:t>
            </w:r>
          </w:p>
        </w:tc>
      </w:tr>
      <w:tr>
        <w:trPr/>
        <w:tc>
          <w:tcPr>
            <w:tcW w:w="832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board_leadership_structure">
              <w:r>
                <w:rPr>
                  <w:rStyle w:val="InternetLink"/>
                  <w:rFonts w:ascii="Arial" w:hAnsi="Arial"/>
                  <w:color w:val="000000"/>
                  <w:sz w:val="20"/>
                </w:rPr>
                <w:t> Board Leadership Structure</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ind w:left="0" w:right="0" w:firstLine="360"/>
              <w:jc w:val="right"/>
              <w:rPr>
                <w:rFonts w:ascii="Arial" w:hAnsi="Arial"/>
                <w:color w:val="000000"/>
                <w:sz w:val="20"/>
              </w:rPr>
            </w:pPr>
            <w:r>
              <w:rPr>
                <w:rFonts w:ascii="Arial" w:hAnsi="Arial"/>
                <w:color w:val="000000"/>
                <w:sz w:val="20"/>
              </w:rPr>
              <w:t>25</w:t>
            </w:r>
          </w:p>
        </w:tc>
      </w:tr>
      <w:tr>
        <w:trPr/>
        <w:tc>
          <w:tcPr>
            <w:tcW w:w="832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the_boards_role_in_risk_oversight">
              <w:r>
                <w:rPr>
                  <w:rStyle w:val="InternetLink"/>
                  <w:rFonts w:ascii="Arial" w:hAnsi="Arial"/>
                  <w:color w:val="000000"/>
                  <w:sz w:val="20"/>
                </w:rPr>
                <w:t> The Board’s Role in Risk Oversight</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ind w:left="0" w:right="0" w:firstLine="360"/>
              <w:jc w:val="right"/>
              <w:rPr>
                <w:rFonts w:ascii="Arial" w:hAnsi="Arial"/>
                <w:color w:val="000000"/>
                <w:sz w:val="20"/>
              </w:rPr>
            </w:pPr>
            <w:r>
              <w:rPr>
                <w:rFonts w:ascii="Arial" w:hAnsi="Arial"/>
                <w:color w:val="000000"/>
                <w:sz w:val="20"/>
              </w:rPr>
              <w:t>26</w:t>
            </w:r>
          </w:p>
        </w:tc>
      </w:tr>
      <w:tr>
        <w:trPr/>
        <w:tc>
          <w:tcPr>
            <w:tcW w:w="832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cybersecurity">
              <w:r>
                <w:rPr>
                  <w:rStyle w:val="InternetLink"/>
                  <w:rFonts w:ascii="Arial" w:hAnsi="Arial"/>
                  <w:color w:val="000000"/>
                  <w:sz w:val="20"/>
                </w:rPr>
                <w:t> Cybersecurity</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ind w:left="0" w:right="0" w:firstLine="360"/>
              <w:jc w:val="right"/>
              <w:rPr>
                <w:rFonts w:ascii="Arial" w:hAnsi="Arial"/>
                <w:color w:val="000000"/>
                <w:sz w:val="20"/>
              </w:rPr>
            </w:pPr>
            <w:r>
              <w:rPr>
                <w:rFonts w:ascii="Arial" w:hAnsi="Arial"/>
                <w:color w:val="000000"/>
                <w:sz w:val="20"/>
              </w:rPr>
              <w:t>27</w:t>
            </w:r>
          </w:p>
        </w:tc>
      </w:tr>
      <w:tr>
        <w:trPr/>
        <w:tc>
          <w:tcPr>
            <w:tcW w:w="832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the_boards_role_in_corporate_strategy">
              <w:r>
                <w:rPr>
                  <w:rStyle w:val="InternetLink"/>
                  <w:rFonts w:ascii="Arial" w:hAnsi="Arial"/>
                  <w:color w:val="000000"/>
                  <w:sz w:val="20"/>
                </w:rPr>
                <w:t> The Board’s Role in Corporate Strategy</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ind w:left="0" w:right="0" w:firstLine="360"/>
              <w:jc w:val="right"/>
              <w:rPr>
                <w:rFonts w:ascii="Arial" w:hAnsi="Arial"/>
                <w:color w:val="000000"/>
                <w:sz w:val="20"/>
              </w:rPr>
            </w:pPr>
            <w:r>
              <w:rPr>
                <w:rFonts w:ascii="Arial" w:hAnsi="Arial"/>
                <w:color w:val="000000"/>
                <w:sz w:val="20"/>
              </w:rPr>
              <w:t>28</w:t>
            </w:r>
          </w:p>
        </w:tc>
      </w:tr>
      <w:tr>
        <w:trPr/>
        <w:tc>
          <w:tcPr>
            <w:tcW w:w="832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corporate_responsibility_highlights">
              <w:r>
                <w:rPr>
                  <w:rStyle w:val="InternetLink"/>
                  <w:rFonts w:ascii="Arial" w:hAnsi="Arial"/>
                  <w:color w:val="000000"/>
                  <w:sz w:val="20"/>
                </w:rPr>
                <w:t> Corporate Responsibility Highlights</w:t>
              </w:r>
            </w:hyperlink>
            <w:hyperlink w:anchor="corporate_responsibility_highlights">
              <w:r>
                <w:rPr>
                  <w:rStyle w:val="InternetLink"/>
                  <w:rFonts w:ascii="Times New Roman" w:hAnsi="Times New Roman"/>
                  <w:color w:val="000000"/>
                  <w:sz w:val="20"/>
                </w:rPr>
                <w:t xml:space="preserve"> </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ind w:left="0" w:right="0" w:firstLine="360"/>
              <w:jc w:val="right"/>
              <w:rPr>
                <w:rFonts w:ascii="Arial" w:hAnsi="Arial"/>
                <w:color w:val="000000"/>
                <w:sz w:val="20"/>
              </w:rPr>
            </w:pPr>
            <w:r>
              <w:rPr>
                <w:rFonts w:ascii="Arial" w:hAnsi="Arial"/>
                <w:color w:val="000000"/>
                <w:sz w:val="20"/>
              </w:rPr>
              <w:t>29</w:t>
            </w:r>
          </w:p>
        </w:tc>
      </w:tr>
      <w:tr>
        <w:trPr/>
        <w:tc>
          <w:tcPr>
            <w:tcW w:w="832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board_self_evaluation_process">
              <w:r>
                <w:rPr>
                  <w:rStyle w:val="InternetLink"/>
                  <w:rFonts w:ascii="Arial" w:hAnsi="Arial"/>
                  <w:color w:val="000000"/>
                  <w:sz w:val="20"/>
                </w:rPr>
                <w:t> Board Self-Evaluation Process</w:t>
              </w:r>
            </w:hyperlink>
            <w:hyperlink w:anchor="board_self_evaluation_process">
              <w:r>
                <w:rPr>
                  <w:rStyle w:val="InternetLink"/>
                  <w:rFonts w:ascii="Times New Roman" w:hAnsi="Times New Roman"/>
                  <w:color w:val="000000"/>
                  <w:sz w:val="20"/>
                </w:rPr>
                <w:t xml:space="preserve"> </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ind w:left="0" w:right="0" w:firstLine="360"/>
              <w:jc w:val="right"/>
              <w:rPr>
                <w:rFonts w:ascii="Arial" w:hAnsi="Arial"/>
                <w:color w:val="000000"/>
                <w:sz w:val="20"/>
              </w:rPr>
            </w:pPr>
            <w:r>
              <w:rPr>
                <w:rFonts w:ascii="Arial" w:hAnsi="Arial"/>
                <w:color w:val="000000"/>
                <w:sz w:val="20"/>
              </w:rPr>
              <w:t>31</w:t>
            </w:r>
          </w:p>
        </w:tc>
      </w:tr>
      <w:tr>
        <w:trPr/>
        <w:tc>
          <w:tcPr>
            <w:tcW w:w="832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communications_with_directors_by_share">
              <w:r>
                <w:rPr>
                  <w:rStyle w:val="InternetLink"/>
                  <w:rFonts w:ascii="Arial" w:hAnsi="Arial"/>
                  <w:color w:val="000000"/>
                  <w:sz w:val="20"/>
                </w:rPr>
                <w:t> Communications with Directors by Shareholders, Employees and Other Interested Parties</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ind w:left="0" w:right="0" w:firstLine="360"/>
              <w:jc w:val="right"/>
              <w:rPr>
                <w:rFonts w:ascii="Arial" w:hAnsi="Arial"/>
                <w:color w:val="000000"/>
                <w:sz w:val="20"/>
              </w:rPr>
            </w:pPr>
            <w:r>
              <w:rPr>
                <w:rFonts w:ascii="Arial" w:hAnsi="Arial"/>
                <w:color w:val="000000"/>
                <w:sz w:val="20"/>
              </w:rPr>
              <w:t>31</w:t>
            </w:r>
          </w:p>
        </w:tc>
      </w:tr>
      <w:tr>
        <w:trPr/>
        <w:tc>
          <w:tcPr>
            <w:tcW w:w="832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directors_annual_meeting_attendance">
              <w:r>
                <w:rPr>
                  <w:rStyle w:val="InternetLink"/>
                  <w:rFonts w:ascii="Arial" w:hAnsi="Arial"/>
                  <w:color w:val="000000"/>
                  <w:sz w:val="20"/>
                </w:rPr>
                <w:t> Directors’ Annual Meeting Attendance</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ind w:left="0" w:right="0" w:firstLine="360"/>
              <w:jc w:val="right"/>
              <w:rPr>
                <w:rFonts w:ascii="Arial" w:hAnsi="Arial"/>
                <w:color w:val="000000"/>
                <w:sz w:val="20"/>
              </w:rPr>
            </w:pPr>
            <w:r>
              <w:rPr>
                <w:rFonts w:ascii="Arial" w:hAnsi="Arial"/>
                <w:color w:val="000000"/>
                <w:sz w:val="20"/>
              </w:rPr>
              <w:t>31</w:t>
            </w:r>
          </w:p>
        </w:tc>
      </w:tr>
      <w:tr>
        <w:trPr/>
        <w:tc>
          <w:tcPr>
            <w:tcW w:w="832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director_age_limit">
              <w:r>
                <w:rPr>
                  <w:rStyle w:val="InternetLink"/>
                  <w:rFonts w:ascii="Arial" w:hAnsi="Arial"/>
                  <w:color w:val="000000"/>
                  <w:sz w:val="20"/>
                </w:rPr>
                <w:t> Directors’ Age Limit</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ind w:left="0" w:right="0" w:firstLine="360"/>
              <w:jc w:val="right"/>
              <w:rPr>
                <w:rFonts w:ascii="Arial" w:hAnsi="Arial"/>
                <w:color w:val="000000"/>
                <w:sz w:val="20"/>
              </w:rPr>
            </w:pPr>
            <w:r>
              <w:rPr>
                <w:rFonts w:ascii="Arial" w:hAnsi="Arial"/>
                <w:color w:val="000000"/>
                <w:sz w:val="20"/>
              </w:rPr>
              <w:t>31</w:t>
            </w:r>
          </w:p>
        </w:tc>
      </w:tr>
      <w:tr>
        <w:trPr/>
        <w:tc>
          <w:tcPr>
            <w:tcW w:w="832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legal_proceedings">
              <w:r>
                <w:rPr>
                  <w:rStyle w:val="InternetLink"/>
                  <w:rFonts w:ascii="Arial" w:hAnsi="Arial"/>
                  <w:color w:val="000000"/>
                  <w:sz w:val="20"/>
                </w:rPr>
                <w:t> Legal Proceedings</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ind w:left="0" w:right="0" w:firstLine="360"/>
              <w:jc w:val="right"/>
              <w:rPr>
                <w:rFonts w:ascii="Arial" w:hAnsi="Arial"/>
                <w:color w:val="000000"/>
                <w:sz w:val="20"/>
              </w:rPr>
            </w:pPr>
            <w:r>
              <w:rPr>
                <w:rFonts w:ascii="Arial" w:hAnsi="Arial"/>
                <w:color w:val="000000"/>
                <w:sz w:val="20"/>
              </w:rPr>
              <w:t>31</w:t>
            </w:r>
          </w:p>
        </w:tc>
      </w:tr>
      <w:tr>
        <w:trPr/>
        <w:tc>
          <w:tcPr>
            <w:tcW w:w="832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corporate_governance_guidelines">
              <w:r>
                <w:rPr>
                  <w:rStyle w:val="InternetLink"/>
                  <w:rFonts w:ascii="Arial" w:hAnsi="Arial"/>
                  <w:color w:val="000000"/>
                  <w:sz w:val="20"/>
                </w:rPr>
                <w:t> Corporate Governance Guidelines</w:t>
              </w:r>
            </w:hyperlink>
            <w:hyperlink w:anchor="corporate_governance_guidelines">
              <w:r>
                <w:rPr>
                  <w:rStyle w:val="InternetLink"/>
                  <w:rFonts w:ascii="Times New Roman" w:hAnsi="Times New Roman"/>
                  <w:color w:val="000000"/>
                  <w:sz w:val="20"/>
                </w:rPr>
                <w:t xml:space="preserve"> </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ind w:left="0" w:right="0" w:firstLine="360"/>
              <w:jc w:val="right"/>
              <w:rPr>
                <w:rFonts w:ascii="Arial" w:hAnsi="Arial"/>
                <w:color w:val="000000"/>
                <w:sz w:val="20"/>
              </w:rPr>
            </w:pPr>
            <w:r>
              <w:rPr>
                <w:rFonts w:ascii="Arial" w:hAnsi="Arial"/>
                <w:color w:val="000000"/>
                <w:sz w:val="20"/>
              </w:rPr>
              <w:t>31</w:t>
            </w:r>
          </w:p>
        </w:tc>
      </w:tr>
      <w:tr>
        <w:trPr/>
        <w:tc>
          <w:tcPr>
            <w:tcW w:w="832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code_of_business_conduct_and_ethics">
              <w:r>
                <w:rPr>
                  <w:rStyle w:val="InternetLink"/>
                  <w:rFonts w:ascii="Arial" w:hAnsi="Arial"/>
                  <w:color w:val="000000"/>
                  <w:sz w:val="20"/>
                </w:rPr>
                <w:t> Code of Business Conduct and Ethics for Employees and Directors</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ind w:left="0" w:right="0" w:firstLine="360"/>
              <w:jc w:val="right"/>
              <w:rPr>
                <w:rFonts w:ascii="Arial" w:hAnsi="Arial"/>
                <w:color w:val="000000"/>
                <w:sz w:val="20"/>
              </w:rPr>
            </w:pPr>
            <w:r>
              <w:rPr>
                <w:rFonts w:ascii="Arial" w:hAnsi="Arial"/>
                <w:color w:val="000000"/>
                <w:sz w:val="20"/>
              </w:rPr>
              <w:t>32</w:t>
            </w:r>
          </w:p>
        </w:tc>
      </w:tr>
      <w:tr>
        <w:trPr/>
        <w:tc>
          <w:tcPr>
            <w:tcW w:w="832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website">
              <w:r>
                <w:rPr>
                  <w:rStyle w:val="InternetLink"/>
                  <w:rFonts w:ascii="Arial" w:hAnsi="Arial"/>
                  <w:color w:val="000000"/>
                  <w:sz w:val="20"/>
                </w:rPr>
                <w:t> Website</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jc w:val="right"/>
              <w:rPr>
                <w:rFonts w:ascii="Arial" w:hAnsi="Arial"/>
                <w:color w:val="000000"/>
                <w:sz w:val="20"/>
              </w:rPr>
            </w:pPr>
            <w:r>
              <w:rPr>
                <w:rFonts w:ascii="Arial" w:hAnsi="Arial"/>
                <w:color w:val="000000"/>
                <w:sz w:val="20"/>
              </w:rPr>
              <w:t>32</w:t>
            </w:r>
          </w:p>
        </w:tc>
      </w:tr>
      <w:tr>
        <w:trPr/>
        <w:tc>
          <w:tcPr>
            <w:tcW w:w="8326" w:type="dxa"/>
            <w:tcBorders/>
            <w:tcMar>
              <w:top w:w="0" w:type="dxa"/>
              <w:left w:w="0" w:type="dxa"/>
              <w:bottom w:w="0" w:type="dxa"/>
              <w:right w:w="0" w:type="dxa"/>
            </w:tcMar>
            <w:vAlign w:val="center"/>
          </w:tcPr>
          <w:p>
            <w:pPr>
              <w:pStyle w:val="TableContents"/>
              <w:bidi w:val="0"/>
              <w:spacing w:before="40" w:after="40"/>
              <w:jc w:val="left"/>
              <w:rPr/>
            </w:pPr>
            <w:hyperlink w:anchor="security_ownership_of_officers_directors">
              <w:r>
                <w:rPr>
                  <w:rStyle w:val="InternetLink"/>
                  <w:rFonts w:ascii="Arial" w:hAnsi="Arial"/>
                  <w:color w:val="000000"/>
                  <w:sz w:val="20"/>
                </w:rPr>
                <w:t>Security Ownership of Officers, Directors and Principal Shareholders</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ind w:left="0" w:right="0" w:firstLine="360"/>
              <w:jc w:val="right"/>
              <w:rPr>
                <w:rFonts w:ascii="Arial" w:hAnsi="Arial"/>
                <w:color w:val="000000"/>
                <w:sz w:val="20"/>
              </w:rPr>
            </w:pPr>
            <w:r>
              <w:rPr>
                <w:rFonts w:ascii="Arial" w:hAnsi="Arial"/>
                <w:color w:val="000000"/>
                <w:sz w:val="20"/>
              </w:rPr>
              <w:t>33</w:t>
            </w:r>
          </w:p>
        </w:tc>
      </w:tr>
      <w:tr>
        <w:trPr/>
        <w:tc>
          <w:tcPr>
            <w:tcW w:w="832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principal_shareholders">
              <w:r>
                <w:rPr>
                  <w:rStyle w:val="InternetLink"/>
                  <w:rFonts w:ascii="Arial" w:hAnsi="Arial"/>
                  <w:color w:val="000000"/>
                  <w:sz w:val="20"/>
                </w:rPr>
                <w:t> Principal Shareholders</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ind w:left="0" w:right="0" w:firstLine="360"/>
              <w:jc w:val="right"/>
              <w:rPr>
                <w:rFonts w:ascii="Arial" w:hAnsi="Arial"/>
                <w:color w:val="000000"/>
                <w:sz w:val="20"/>
              </w:rPr>
            </w:pPr>
            <w:r>
              <w:rPr>
                <w:rFonts w:ascii="Arial" w:hAnsi="Arial"/>
                <w:color w:val="000000"/>
                <w:sz w:val="20"/>
              </w:rPr>
              <w:t>33</w:t>
            </w:r>
          </w:p>
        </w:tc>
      </w:tr>
      <w:tr>
        <w:trPr/>
        <w:tc>
          <w:tcPr>
            <w:tcW w:w="832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ownership_of_directors_and_management">
              <w:r>
                <w:rPr>
                  <w:rStyle w:val="InternetLink"/>
                  <w:rFonts w:ascii="Arial" w:hAnsi="Arial"/>
                  <w:color w:val="000000"/>
                  <w:sz w:val="20"/>
                </w:rPr>
                <w:t> Ownership of Directors and Management</w:t>
              </w:r>
            </w:hyperlink>
            <w:hyperlink w:anchor="ownership_of_directors_and_management">
              <w:r>
                <w:rPr>
                  <w:rStyle w:val="InternetLink"/>
                  <w:rFonts w:ascii="Times New Roman" w:hAnsi="Times New Roman"/>
                  <w:color w:val="000000"/>
                  <w:sz w:val="20"/>
                </w:rPr>
                <w:t xml:space="preserve"> </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ind w:left="0" w:right="0" w:firstLine="360"/>
              <w:jc w:val="right"/>
              <w:rPr>
                <w:rFonts w:ascii="Arial" w:hAnsi="Arial"/>
                <w:color w:val="000000"/>
                <w:sz w:val="20"/>
              </w:rPr>
            </w:pPr>
            <w:r>
              <w:rPr>
                <w:rFonts w:ascii="Arial" w:hAnsi="Arial"/>
                <w:color w:val="000000"/>
                <w:sz w:val="20"/>
              </w:rPr>
              <w:t>34</w:t>
            </w:r>
          </w:p>
        </w:tc>
      </w:tr>
      <w:tr>
        <w:trPr/>
        <w:tc>
          <w:tcPr>
            <w:tcW w:w="832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director_and_executive_officer_ownership">
              <w:r>
                <w:rPr>
                  <w:rStyle w:val="InternetLink"/>
                  <w:rFonts w:ascii="Arial" w:hAnsi="Arial"/>
                  <w:color w:val="000000"/>
                  <w:sz w:val="20"/>
                </w:rPr>
                <w:t> Director and Executive Officer Ownership Guidelines</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ind w:left="0" w:right="0" w:firstLine="360"/>
              <w:jc w:val="right"/>
              <w:rPr>
                <w:rFonts w:ascii="Arial" w:hAnsi="Arial"/>
                <w:color w:val="000000"/>
                <w:sz w:val="20"/>
              </w:rPr>
            </w:pPr>
            <w:r>
              <w:rPr>
                <w:rFonts w:ascii="Arial" w:hAnsi="Arial"/>
                <w:color w:val="000000"/>
                <w:sz w:val="20"/>
              </w:rPr>
              <w:t>34</w:t>
            </w:r>
          </w:p>
        </w:tc>
      </w:tr>
      <w:tr>
        <w:trPr/>
        <w:tc>
          <w:tcPr>
            <w:tcW w:w="832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anti_hedging_policy_for_directors">
              <w:r>
                <w:rPr>
                  <w:rStyle w:val="InternetLink"/>
                  <w:rFonts w:ascii="Arial" w:hAnsi="Arial"/>
                  <w:color w:val="000000"/>
                  <w:sz w:val="20"/>
                </w:rPr>
                <w:t> Anti-Hedging Policy for Directors and Officers</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ind w:left="0" w:right="0" w:firstLine="360"/>
              <w:jc w:val="right"/>
              <w:rPr>
                <w:rFonts w:ascii="Arial" w:hAnsi="Arial"/>
                <w:color w:val="000000"/>
                <w:sz w:val="20"/>
              </w:rPr>
            </w:pPr>
            <w:r>
              <w:rPr>
                <w:rFonts w:ascii="Arial" w:hAnsi="Arial"/>
                <w:color w:val="000000"/>
                <w:sz w:val="20"/>
              </w:rPr>
              <w:t>35</w:t>
            </w:r>
          </w:p>
        </w:tc>
      </w:tr>
      <w:tr>
        <w:trPr/>
        <w:tc>
          <w:tcPr>
            <w:tcW w:w="832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anti_hedging_policy_for_directors">
              <w:r>
                <w:rPr>
                  <w:rStyle w:val="InternetLink"/>
                  <w:rFonts w:ascii="Arial" w:hAnsi="Arial"/>
                  <w:color w:val="000000"/>
                  <w:sz w:val="20"/>
                </w:rPr>
                <w:t></w:t>
              </w:r>
            </w:hyperlink>
            <w:hyperlink w:anchor="anti_hedging_policy_for_directors">
              <w:r>
                <w:rPr>
                  <w:rStyle w:val="InternetLink"/>
                  <w:rFonts w:ascii="Times New Roman" w:hAnsi="Times New Roman"/>
                  <w:color w:val="000000"/>
                  <w:sz w:val="20"/>
                </w:rPr>
                <w:t xml:space="preserve"> </w:t>
              </w:r>
            </w:hyperlink>
            <w:hyperlink w:anchor="insider_trading_policy">
              <w:r>
                <w:rPr>
                  <w:rStyle w:val="InternetLink"/>
                  <w:rFonts w:ascii="Arial" w:hAnsi="Arial"/>
                  <w:color w:val="000000"/>
                  <w:sz w:val="20"/>
                </w:rPr>
                <w:t>Insider Trading Policy</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ind w:left="0" w:right="0" w:firstLine="360"/>
              <w:jc w:val="right"/>
              <w:rPr>
                <w:rFonts w:ascii="Arial" w:hAnsi="Arial"/>
                <w:color w:val="000000"/>
                <w:sz w:val="20"/>
              </w:rPr>
            </w:pPr>
            <w:r>
              <w:rPr>
                <w:rFonts w:ascii="Arial" w:hAnsi="Arial"/>
                <w:color w:val="000000"/>
                <w:sz w:val="20"/>
              </w:rPr>
              <w:t>35</w:t>
            </w:r>
          </w:p>
        </w:tc>
      </w:tr>
      <w:tr>
        <w:trPr/>
        <w:tc>
          <w:tcPr>
            <w:tcW w:w="832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delinquent_section_16a_reports">
              <w:r>
                <w:rPr>
                  <w:rStyle w:val="InternetLink"/>
                  <w:rFonts w:ascii="Arial" w:hAnsi="Arial"/>
                  <w:color w:val="000000"/>
                  <w:sz w:val="20"/>
                </w:rPr>
                <w:t> Delinquent Section 16(a) Reports</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jc w:val="right"/>
              <w:rPr>
                <w:rFonts w:ascii="Arial" w:hAnsi="Arial"/>
                <w:color w:val="000000"/>
                <w:sz w:val="20"/>
              </w:rPr>
            </w:pPr>
            <w:r>
              <w:rPr>
                <w:rFonts w:ascii="Arial" w:hAnsi="Arial"/>
                <w:color w:val="000000"/>
                <w:sz w:val="20"/>
              </w:rPr>
              <w:t>35</w:t>
            </w:r>
          </w:p>
        </w:tc>
      </w:tr>
      <w:tr>
        <w:trPr/>
        <w:tc>
          <w:tcPr>
            <w:tcW w:w="8326" w:type="dxa"/>
            <w:tcBorders/>
            <w:tcMar>
              <w:top w:w="0" w:type="dxa"/>
              <w:left w:w="0" w:type="dxa"/>
              <w:bottom w:w="0" w:type="dxa"/>
              <w:right w:w="0" w:type="dxa"/>
            </w:tcMar>
            <w:vAlign w:val="center"/>
          </w:tcPr>
          <w:p>
            <w:pPr>
              <w:pStyle w:val="TableContents"/>
              <w:bidi w:val="0"/>
              <w:spacing w:before="40" w:after="40"/>
              <w:jc w:val="left"/>
              <w:rPr/>
            </w:pPr>
            <w:hyperlink w:anchor="executive_compensation">
              <w:r>
                <w:rPr>
                  <w:rStyle w:val="InternetLink"/>
                  <w:rFonts w:ascii="Arial" w:hAnsi="Arial"/>
                  <w:color w:val="000000"/>
                  <w:sz w:val="20"/>
                </w:rPr>
                <w:t>Executive Compensation</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ind w:left="0" w:right="0" w:firstLine="360"/>
              <w:jc w:val="right"/>
              <w:rPr>
                <w:rFonts w:ascii="Arial" w:hAnsi="Arial"/>
                <w:color w:val="000000"/>
                <w:sz w:val="20"/>
              </w:rPr>
            </w:pPr>
            <w:r>
              <w:rPr>
                <w:rFonts w:ascii="Arial" w:hAnsi="Arial"/>
                <w:color w:val="000000"/>
                <w:sz w:val="20"/>
              </w:rPr>
              <w:t>36</w:t>
            </w:r>
          </w:p>
        </w:tc>
      </w:tr>
      <w:tr>
        <w:trPr/>
        <w:tc>
          <w:tcPr>
            <w:tcW w:w="8326" w:type="dxa"/>
            <w:tcBorders/>
            <w:tcMar>
              <w:top w:w="0" w:type="dxa"/>
              <w:left w:w="0" w:type="dxa"/>
              <w:bottom w:w="0" w:type="dxa"/>
              <w:right w:w="0" w:type="dxa"/>
            </w:tcMar>
            <w:vAlign w:val="center"/>
          </w:tcPr>
          <w:p>
            <w:pPr>
              <w:pStyle w:val="TableContents"/>
              <w:bidi w:val="0"/>
              <w:spacing w:before="40" w:after="20"/>
              <w:ind w:left="0" w:right="0" w:firstLine="360"/>
              <w:jc w:val="left"/>
              <w:rPr/>
            </w:pPr>
            <w:hyperlink w:anchor="compensation_discussion_and_analysis">
              <w:r>
                <w:rPr>
                  <w:rStyle w:val="InternetLink"/>
                  <w:rFonts w:ascii="Arial" w:hAnsi="Arial"/>
                  <w:color w:val="000000"/>
                  <w:sz w:val="20"/>
                </w:rPr>
                <w:t> Compensation Discussion and Analysis</w:t>
              </w:r>
            </w:hyperlink>
          </w:p>
        </w:tc>
        <w:tc>
          <w:tcPr>
            <w:tcW w:w="391" w:type="dxa"/>
            <w:tcBorders/>
            <w:tcMar>
              <w:top w:w="0" w:type="dxa"/>
              <w:left w:w="0" w:type="dxa"/>
              <w:bottom w:w="0" w:type="dxa"/>
              <w:right w:w="0" w:type="dxa"/>
            </w:tcMar>
            <w:vAlign w:val="center"/>
          </w:tcPr>
          <w:p>
            <w:pPr>
              <w:pStyle w:val="TableContents"/>
              <w:bidi w:val="0"/>
              <w:spacing w:before="40" w:after="20"/>
              <w:jc w:val="right"/>
              <w:rPr/>
            </w:pPr>
            <w:r>
              <w:rPr/>
              <w:t> </w:t>
            </w:r>
          </w:p>
        </w:tc>
        <w:tc>
          <w:tcPr>
            <w:tcW w:w="721" w:type="dxa"/>
            <w:tcBorders/>
            <w:tcMar>
              <w:top w:w="0" w:type="dxa"/>
              <w:left w:w="0" w:type="dxa"/>
              <w:bottom w:w="0" w:type="dxa"/>
              <w:right w:w="0" w:type="dxa"/>
            </w:tcMar>
            <w:vAlign w:val="center"/>
          </w:tcPr>
          <w:p>
            <w:pPr>
              <w:pStyle w:val="TableContents"/>
              <w:bidi w:val="0"/>
              <w:spacing w:before="40" w:after="20"/>
              <w:ind w:left="0" w:right="0" w:firstLine="360"/>
              <w:jc w:val="right"/>
              <w:rPr>
                <w:rFonts w:ascii="Arial" w:hAnsi="Arial"/>
                <w:color w:val="000000"/>
                <w:sz w:val="20"/>
              </w:rPr>
            </w:pPr>
            <w:r>
              <w:rPr>
                <w:rFonts w:ascii="Arial" w:hAnsi="Arial"/>
                <w:color w:val="000000"/>
                <w:sz w:val="20"/>
              </w:rPr>
              <w:t>36</w:t>
            </w:r>
          </w:p>
        </w:tc>
      </w:tr>
      <w:tr>
        <w:trPr/>
        <w:tc>
          <w:tcPr>
            <w:tcW w:w="8326" w:type="dxa"/>
            <w:tcBorders/>
            <w:tcMar>
              <w:top w:w="0" w:type="dxa"/>
              <w:left w:w="0" w:type="dxa"/>
              <w:bottom w:w="0" w:type="dxa"/>
              <w:right w:w="0" w:type="dxa"/>
            </w:tcMar>
            <w:vAlign w:val="center"/>
          </w:tcPr>
          <w:p>
            <w:pPr>
              <w:pStyle w:val="TableContents"/>
              <w:bidi w:val="0"/>
              <w:spacing w:before="40" w:after="20"/>
              <w:ind w:left="0" w:right="0" w:firstLine="360"/>
              <w:jc w:val="left"/>
              <w:rPr/>
            </w:pPr>
            <w:hyperlink w:anchor="compensation_committee_report">
              <w:r>
                <w:rPr>
                  <w:rStyle w:val="InternetLink"/>
                  <w:rFonts w:ascii="Arial" w:hAnsi="Arial"/>
                  <w:color w:val="000000"/>
                  <w:sz w:val="20"/>
                </w:rPr>
                <w:t> Compensation Committee Report</w:t>
              </w:r>
            </w:hyperlink>
            <w:hyperlink w:anchor="compensation_committee_report">
              <w:r>
                <w:rPr>
                  <w:rStyle w:val="InternetLink"/>
                  <w:rFonts w:ascii="Times New Roman" w:hAnsi="Times New Roman"/>
                  <w:color w:val="000000"/>
                  <w:sz w:val="20"/>
                </w:rPr>
                <w:t xml:space="preserve"> </w:t>
              </w:r>
            </w:hyperlink>
          </w:p>
        </w:tc>
        <w:tc>
          <w:tcPr>
            <w:tcW w:w="391" w:type="dxa"/>
            <w:tcBorders/>
            <w:tcMar>
              <w:top w:w="0" w:type="dxa"/>
              <w:left w:w="0" w:type="dxa"/>
              <w:bottom w:w="0" w:type="dxa"/>
              <w:right w:w="0" w:type="dxa"/>
            </w:tcMar>
            <w:vAlign w:val="center"/>
          </w:tcPr>
          <w:p>
            <w:pPr>
              <w:pStyle w:val="TableContents"/>
              <w:bidi w:val="0"/>
              <w:spacing w:before="40" w:after="20"/>
              <w:jc w:val="right"/>
              <w:rPr/>
            </w:pPr>
            <w:r>
              <w:rPr/>
              <w:t> </w:t>
            </w:r>
          </w:p>
        </w:tc>
        <w:tc>
          <w:tcPr>
            <w:tcW w:w="721" w:type="dxa"/>
            <w:tcBorders/>
            <w:tcMar>
              <w:top w:w="0" w:type="dxa"/>
              <w:left w:w="0" w:type="dxa"/>
              <w:bottom w:w="0" w:type="dxa"/>
              <w:right w:w="0" w:type="dxa"/>
            </w:tcMar>
            <w:vAlign w:val="center"/>
          </w:tcPr>
          <w:p>
            <w:pPr>
              <w:pStyle w:val="TableContents"/>
              <w:bidi w:val="0"/>
              <w:spacing w:before="40" w:after="20"/>
              <w:ind w:left="0" w:right="0" w:firstLine="360"/>
              <w:jc w:val="right"/>
              <w:rPr>
                <w:rFonts w:ascii="Arial" w:hAnsi="Arial"/>
                <w:color w:val="000000"/>
                <w:sz w:val="20"/>
              </w:rPr>
            </w:pPr>
            <w:r>
              <w:rPr>
                <w:rFonts w:ascii="Arial" w:hAnsi="Arial"/>
                <w:color w:val="000000"/>
                <w:sz w:val="20"/>
              </w:rPr>
              <w:t>51</w:t>
            </w:r>
          </w:p>
        </w:tc>
      </w:tr>
      <w:tr>
        <w:trPr/>
        <w:tc>
          <w:tcPr>
            <w:tcW w:w="8326" w:type="dxa"/>
            <w:tcBorders/>
            <w:tcMar>
              <w:top w:w="0" w:type="dxa"/>
              <w:left w:w="0" w:type="dxa"/>
              <w:bottom w:w="0" w:type="dxa"/>
              <w:right w:w="0" w:type="dxa"/>
            </w:tcMar>
            <w:vAlign w:val="center"/>
          </w:tcPr>
          <w:p>
            <w:pPr>
              <w:pStyle w:val="TableContents"/>
              <w:bidi w:val="0"/>
              <w:spacing w:before="40" w:after="20"/>
              <w:ind w:left="0" w:right="0" w:firstLine="360"/>
              <w:jc w:val="left"/>
              <w:rPr/>
            </w:pPr>
            <w:hyperlink w:anchor="compensation_committee_interlocks_and_in">
              <w:r>
                <w:rPr>
                  <w:rStyle w:val="InternetLink"/>
                  <w:rFonts w:ascii="Arial" w:hAnsi="Arial"/>
                  <w:color w:val="000000"/>
                  <w:sz w:val="20"/>
                </w:rPr>
                <w:t>  Compensation Committee Interlocks and Insider Participation</w:t>
              </w:r>
            </w:hyperlink>
          </w:p>
        </w:tc>
        <w:tc>
          <w:tcPr>
            <w:tcW w:w="391" w:type="dxa"/>
            <w:tcBorders/>
            <w:tcMar>
              <w:top w:w="0" w:type="dxa"/>
              <w:left w:w="0" w:type="dxa"/>
              <w:bottom w:w="0" w:type="dxa"/>
              <w:right w:w="0" w:type="dxa"/>
            </w:tcMar>
            <w:vAlign w:val="center"/>
          </w:tcPr>
          <w:p>
            <w:pPr>
              <w:pStyle w:val="TableContents"/>
              <w:bidi w:val="0"/>
              <w:spacing w:before="40" w:after="20"/>
              <w:jc w:val="right"/>
              <w:rPr/>
            </w:pPr>
            <w:r>
              <w:rPr/>
              <w:t> </w:t>
            </w:r>
          </w:p>
        </w:tc>
        <w:tc>
          <w:tcPr>
            <w:tcW w:w="721" w:type="dxa"/>
            <w:tcBorders/>
            <w:tcMar>
              <w:top w:w="0" w:type="dxa"/>
              <w:left w:w="0" w:type="dxa"/>
              <w:bottom w:w="0" w:type="dxa"/>
              <w:right w:w="0" w:type="dxa"/>
            </w:tcMar>
            <w:vAlign w:val="center"/>
          </w:tcPr>
          <w:p>
            <w:pPr>
              <w:pStyle w:val="TableContents"/>
              <w:bidi w:val="0"/>
              <w:spacing w:before="40" w:after="20"/>
              <w:ind w:left="0" w:right="0" w:firstLine="360"/>
              <w:jc w:val="right"/>
              <w:rPr>
                <w:rFonts w:ascii="Arial" w:hAnsi="Arial"/>
                <w:color w:val="000000"/>
                <w:sz w:val="20"/>
              </w:rPr>
            </w:pPr>
            <w:r>
              <w:rPr>
                <w:rFonts w:ascii="Arial" w:hAnsi="Arial"/>
                <w:color w:val="000000"/>
                <w:sz w:val="20"/>
              </w:rPr>
              <w:t>51</w:t>
            </w:r>
          </w:p>
        </w:tc>
      </w:tr>
      <w:tr>
        <w:trPr/>
        <w:tc>
          <w:tcPr>
            <w:tcW w:w="8326" w:type="dxa"/>
            <w:tcBorders/>
            <w:tcMar>
              <w:top w:w="0" w:type="dxa"/>
              <w:left w:w="0" w:type="dxa"/>
              <w:bottom w:w="0" w:type="dxa"/>
              <w:right w:w="0" w:type="dxa"/>
            </w:tcMar>
            <w:vAlign w:val="center"/>
          </w:tcPr>
          <w:p>
            <w:pPr>
              <w:pStyle w:val="TableContents"/>
              <w:bidi w:val="0"/>
              <w:spacing w:before="40" w:after="20"/>
              <w:ind w:left="0" w:right="0" w:firstLine="360"/>
              <w:jc w:val="left"/>
              <w:rPr/>
            </w:pPr>
            <w:hyperlink w:anchor="summary_compensation_table">
              <w:r>
                <w:rPr>
                  <w:rStyle w:val="InternetLink"/>
                  <w:rFonts w:ascii="Arial" w:hAnsi="Arial"/>
                  <w:color w:val="000000"/>
                  <w:sz w:val="20"/>
                </w:rPr>
                <w:t> Summary Compensation Table</w:t>
              </w:r>
            </w:hyperlink>
            <w:hyperlink w:anchor="summary_compensation_table">
              <w:r>
                <w:rPr>
                  <w:rStyle w:val="InternetLink"/>
                  <w:rFonts w:ascii="Times New Roman" w:hAnsi="Times New Roman"/>
                  <w:color w:val="000000"/>
                  <w:sz w:val="20"/>
                </w:rPr>
                <w:t xml:space="preserve"> </w:t>
              </w:r>
            </w:hyperlink>
          </w:p>
        </w:tc>
        <w:tc>
          <w:tcPr>
            <w:tcW w:w="391" w:type="dxa"/>
            <w:tcBorders/>
            <w:tcMar>
              <w:top w:w="0" w:type="dxa"/>
              <w:left w:w="0" w:type="dxa"/>
              <w:bottom w:w="0" w:type="dxa"/>
              <w:right w:w="0" w:type="dxa"/>
            </w:tcMar>
            <w:vAlign w:val="center"/>
          </w:tcPr>
          <w:p>
            <w:pPr>
              <w:pStyle w:val="TableContents"/>
              <w:bidi w:val="0"/>
              <w:spacing w:before="40" w:after="20"/>
              <w:jc w:val="right"/>
              <w:rPr/>
            </w:pPr>
            <w:r>
              <w:rPr/>
              <w:t> </w:t>
            </w:r>
          </w:p>
        </w:tc>
        <w:tc>
          <w:tcPr>
            <w:tcW w:w="721" w:type="dxa"/>
            <w:tcBorders/>
            <w:tcMar>
              <w:top w:w="0" w:type="dxa"/>
              <w:left w:w="0" w:type="dxa"/>
              <w:bottom w:w="0" w:type="dxa"/>
              <w:right w:w="0" w:type="dxa"/>
            </w:tcMar>
            <w:vAlign w:val="center"/>
          </w:tcPr>
          <w:p>
            <w:pPr>
              <w:pStyle w:val="TableContents"/>
              <w:bidi w:val="0"/>
              <w:spacing w:before="40" w:after="20"/>
              <w:ind w:left="0" w:right="0" w:firstLine="360"/>
              <w:jc w:val="right"/>
              <w:rPr>
                <w:rFonts w:ascii="Arial" w:hAnsi="Arial"/>
                <w:color w:val="000000"/>
                <w:sz w:val="20"/>
              </w:rPr>
            </w:pPr>
            <w:r>
              <w:rPr>
                <w:rFonts w:ascii="Arial" w:hAnsi="Arial"/>
                <w:color w:val="000000"/>
                <w:sz w:val="20"/>
              </w:rPr>
              <w:t>52</w:t>
            </w:r>
          </w:p>
        </w:tc>
      </w:tr>
      <w:tr>
        <w:trPr/>
        <w:tc>
          <w:tcPr>
            <w:tcW w:w="8326" w:type="dxa"/>
            <w:tcBorders/>
            <w:tcMar>
              <w:top w:w="0" w:type="dxa"/>
              <w:left w:w="0" w:type="dxa"/>
              <w:bottom w:w="0" w:type="dxa"/>
              <w:right w:w="0" w:type="dxa"/>
            </w:tcMar>
            <w:vAlign w:val="center"/>
          </w:tcPr>
          <w:p>
            <w:pPr>
              <w:pStyle w:val="TableContents"/>
              <w:bidi w:val="0"/>
              <w:spacing w:before="40" w:after="20"/>
              <w:ind w:left="0" w:right="0" w:firstLine="360"/>
              <w:jc w:val="left"/>
              <w:rPr/>
            </w:pPr>
            <w:hyperlink w:anchor="grants_of_plan_based_awards_for_fiscal">
              <w:r>
                <w:rPr>
                  <w:rStyle w:val="InternetLink"/>
                  <w:rFonts w:ascii="Arial" w:hAnsi="Arial"/>
                  <w:color w:val="000000"/>
                  <w:sz w:val="20"/>
                </w:rPr>
                <w:t> Grants of Plan-Based Awards for Fiscal 2026</w:t>
              </w:r>
            </w:hyperlink>
          </w:p>
        </w:tc>
        <w:tc>
          <w:tcPr>
            <w:tcW w:w="391" w:type="dxa"/>
            <w:tcBorders/>
            <w:tcMar>
              <w:top w:w="0" w:type="dxa"/>
              <w:left w:w="0" w:type="dxa"/>
              <w:bottom w:w="0" w:type="dxa"/>
              <w:right w:w="0" w:type="dxa"/>
            </w:tcMar>
            <w:vAlign w:val="center"/>
          </w:tcPr>
          <w:p>
            <w:pPr>
              <w:pStyle w:val="TableContents"/>
              <w:bidi w:val="0"/>
              <w:spacing w:before="40" w:after="20"/>
              <w:jc w:val="right"/>
              <w:rPr/>
            </w:pPr>
            <w:r>
              <w:rPr/>
              <w:t> </w:t>
            </w:r>
          </w:p>
        </w:tc>
        <w:tc>
          <w:tcPr>
            <w:tcW w:w="721" w:type="dxa"/>
            <w:tcBorders/>
            <w:tcMar>
              <w:top w:w="0" w:type="dxa"/>
              <w:left w:w="0" w:type="dxa"/>
              <w:bottom w:w="0" w:type="dxa"/>
              <w:right w:w="0" w:type="dxa"/>
            </w:tcMar>
            <w:vAlign w:val="center"/>
          </w:tcPr>
          <w:p>
            <w:pPr>
              <w:pStyle w:val="TableContents"/>
              <w:bidi w:val="0"/>
              <w:spacing w:before="40" w:after="20"/>
              <w:ind w:left="0" w:right="0" w:firstLine="360"/>
              <w:jc w:val="right"/>
              <w:rPr>
                <w:rFonts w:ascii="Arial" w:hAnsi="Arial"/>
                <w:color w:val="000000"/>
                <w:sz w:val="20"/>
              </w:rPr>
            </w:pPr>
            <w:r>
              <w:rPr>
                <w:rFonts w:ascii="Arial" w:hAnsi="Arial"/>
                <w:color w:val="000000"/>
                <w:sz w:val="20"/>
              </w:rPr>
              <w:t>55</w:t>
            </w:r>
          </w:p>
        </w:tc>
      </w:tr>
      <w:tr>
        <w:trPr/>
        <w:tc>
          <w:tcPr>
            <w:tcW w:w="8326" w:type="dxa"/>
            <w:tcBorders/>
            <w:tcMar>
              <w:top w:w="0" w:type="dxa"/>
              <w:left w:w="0" w:type="dxa"/>
              <w:bottom w:w="0" w:type="dxa"/>
              <w:right w:w="0" w:type="dxa"/>
            </w:tcMar>
            <w:vAlign w:val="center"/>
          </w:tcPr>
          <w:p>
            <w:pPr>
              <w:pStyle w:val="TableContents"/>
              <w:bidi w:val="0"/>
              <w:spacing w:before="40" w:after="20"/>
              <w:ind w:left="0" w:right="0" w:firstLine="360"/>
              <w:jc w:val="left"/>
              <w:rPr/>
            </w:pPr>
            <w:hyperlink w:anchor="outstanding_equity_awards_at_fiscal">
              <w:r>
                <w:rPr>
                  <w:rStyle w:val="InternetLink"/>
                  <w:rFonts w:ascii="Arial" w:hAnsi="Arial"/>
                  <w:color w:val="000000"/>
                  <w:sz w:val="20"/>
                </w:rPr>
                <w:t> Outstanding Equity Awards at Fiscal 2026 Year-End</w:t>
              </w:r>
            </w:hyperlink>
          </w:p>
        </w:tc>
        <w:tc>
          <w:tcPr>
            <w:tcW w:w="391" w:type="dxa"/>
            <w:tcBorders/>
            <w:tcMar>
              <w:top w:w="0" w:type="dxa"/>
              <w:left w:w="0" w:type="dxa"/>
              <w:bottom w:w="0" w:type="dxa"/>
              <w:right w:w="0" w:type="dxa"/>
            </w:tcMar>
            <w:vAlign w:val="center"/>
          </w:tcPr>
          <w:p>
            <w:pPr>
              <w:pStyle w:val="TableContents"/>
              <w:bidi w:val="0"/>
              <w:spacing w:before="40" w:after="20"/>
              <w:jc w:val="right"/>
              <w:rPr/>
            </w:pPr>
            <w:r>
              <w:rPr/>
              <w:t> </w:t>
            </w:r>
          </w:p>
        </w:tc>
        <w:tc>
          <w:tcPr>
            <w:tcW w:w="721" w:type="dxa"/>
            <w:tcBorders/>
            <w:tcMar>
              <w:top w:w="0" w:type="dxa"/>
              <w:left w:w="0" w:type="dxa"/>
              <w:bottom w:w="0" w:type="dxa"/>
              <w:right w:w="0" w:type="dxa"/>
            </w:tcMar>
            <w:vAlign w:val="center"/>
          </w:tcPr>
          <w:p>
            <w:pPr>
              <w:pStyle w:val="TableContents"/>
              <w:bidi w:val="0"/>
              <w:spacing w:before="40" w:after="20"/>
              <w:ind w:left="0" w:right="0" w:firstLine="360"/>
              <w:jc w:val="right"/>
              <w:rPr>
                <w:rFonts w:ascii="Arial" w:hAnsi="Arial"/>
                <w:color w:val="000000"/>
                <w:sz w:val="20"/>
              </w:rPr>
            </w:pPr>
            <w:r>
              <w:rPr>
                <w:rFonts w:ascii="Arial" w:hAnsi="Arial"/>
                <w:color w:val="000000"/>
                <w:sz w:val="20"/>
              </w:rPr>
              <w:t>56</w:t>
            </w:r>
          </w:p>
        </w:tc>
      </w:tr>
      <w:tr>
        <w:trPr/>
        <w:tc>
          <w:tcPr>
            <w:tcW w:w="8326" w:type="dxa"/>
            <w:tcBorders/>
            <w:tcMar>
              <w:top w:w="0" w:type="dxa"/>
              <w:left w:w="0" w:type="dxa"/>
              <w:bottom w:w="0" w:type="dxa"/>
              <w:right w:w="0" w:type="dxa"/>
            </w:tcMar>
            <w:vAlign w:val="center"/>
          </w:tcPr>
          <w:p>
            <w:pPr>
              <w:pStyle w:val="TableContents"/>
              <w:bidi w:val="0"/>
              <w:spacing w:before="40" w:after="20"/>
              <w:ind w:left="0" w:right="0" w:firstLine="360"/>
              <w:jc w:val="left"/>
              <w:rPr/>
            </w:pPr>
            <w:hyperlink w:anchor="option_exercises_and_stock_vested">
              <w:r>
                <w:rPr>
                  <w:rStyle w:val="InternetLink"/>
                  <w:rFonts w:ascii="Arial" w:hAnsi="Arial"/>
                  <w:color w:val="000000"/>
                  <w:sz w:val="20"/>
                </w:rPr>
                <w:t> Option Exercises and Stock Vested in Fiscal 2026</w:t>
              </w:r>
            </w:hyperlink>
          </w:p>
        </w:tc>
        <w:tc>
          <w:tcPr>
            <w:tcW w:w="391" w:type="dxa"/>
            <w:tcBorders/>
            <w:tcMar>
              <w:top w:w="0" w:type="dxa"/>
              <w:left w:w="0" w:type="dxa"/>
              <w:bottom w:w="0" w:type="dxa"/>
              <w:right w:w="0" w:type="dxa"/>
            </w:tcMar>
            <w:vAlign w:val="center"/>
          </w:tcPr>
          <w:p>
            <w:pPr>
              <w:pStyle w:val="TableContents"/>
              <w:bidi w:val="0"/>
              <w:spacing w:before="40" w:after="20"/>
              <w:jc w:val="right"/>
              <w:rPr/>
            </w:pPr>
            <w:r>
              <w:rPr/>
              <w:t> </w:t>
            </w:r>
          </w:p>
        </w:tc>
        <w:tc>
          <w:tcPr>
            <w:tcW w:w="721" w:type="dxa"/>
            <w:tcBorders/>
            <w:tcMar>
              <w:top w:w="0" w:type="dxa"/>
              <w:left w:w="0" w:type="dxa"/>
              <w:bottom w:w="0" w:type="dxa"/>
              <w:right w:w="0" w:type="dxa"/>
            </w:tcMar>
            <w:vAlign w:val="center"/>
          </w:tcPr>
          <w:p>
            <w:pPr>
              <w:pStyle w:val="TableContents"/>
              <w:bidi w:val="0"/>
              <w:spacing w:before="40" w:after="20"/>
              <w:ind w:left="0" w:right="0" w:firstLine="360"/>
              <w:jc w:val="right"/>
              <w:rPr>
                <w:rFonts w:ascii="Arial" w:hAnsi="Arial"/>
                <w:color w:val="000000"/>
                <w:sz w:val="20"/>
              </w:rPr>
            </w:pPr>
            <w:r>
              <w:rPr>
                <w:rFonts w:ascii="Arial" w:hAnsi="Arial"/>
                <w:color w:val="000000"/>
                <w:sz w:val="20"/>
              </w:rPr>
              <w:t>59</w:t>
            </w:r>
          </w:p>
        </w:tc>
      </w:tr>
      <w:tr>
        <w:trPr/>
        <w:tc>
          <w:tcPr>
            <w:tcW w:w="8326" w:type="dxa"/>
            <w:tcBorders/>
            <w:tcMar>
              <w:top w:w="0" w:type="dxa"/>
              <w:left w:w="0" w:type="dxa"/>
              <w:bottom w:w="0" w:type="dxa"/>
              <w:right w:w="0" w:type="dxa"/>
            </w:tcMar>
            <w:vAlign w:val="center"/>
          </w:tcPr>
          <w:p>
            <w:pPr>
              <w:pStyle w:val="TableContents"/>
              <w:bidi w:val="0"/>
              <w:spacing w:before="40" w:after="20"/>
              <w:ind w:left="0" w:right="0" w:firstLine="360"/>
              <w:jc w:val="left"/>
              <w:rPr/>
            </w:pPr>
            <w:hyperlink w:anchor="non_qualified_deferred_compensation">
              <w:r>
                <w:rPr>
                  <w:rStyle w:val="InternetLink"/>
                  <w:rFonts w:ascii="Arial" w:hAnsi="Arial"/>
                  <w:color w:val="000000"/>
                  <w:sz w:val="20"/>
                </w:rPr>
                <w:t> Non-Qualified Deferred Compensation</w:t>
              </w:r>
            </w:hyperlink>
          </w:p>
        </w:tc>
        <w:tc>
          <w:tcPr>
            <w:tcW w:w="391" w:type="dxa"/>
            <w:tcBorders/>
            <w:tcMar>
              <w:top w:w="0" w:type="dxa"/>
              <w:left w:w="0" w:type="dxa"/>
              <w:bottom w:w="0" w:type="dxa"/>
              <w:right w:w="0" w:type="dxa"/>
            </w:tcMar>
            <w:vAlign w:val="center"/>
          </w:tcPr>
          <w:p>
            <w:pPr>
              <w:pStyle w:val="TableContents"/>
              <w:bidi w:val="0"/>
              <w:spacing w:before="40" w:after="20"/>
              <w:jc w:val="right"/>
              <w:rPr/>
            </w:pPr>
            <w:r>
              <w:rPr/>
              <w:t> </w:t>
            </w:r>
          </w:p>
        </w:tc>
        <w:tc>
          <w:tcPr>
            <w:tcW w:w="721" w:type="dxa"/>
            <w:tcBorders/>
            <w:tcMar>
              <w:top w:w="0" w:type="dxa"/>
              <w:left w:w="0" w:type="dxa"/>
              <w:bottom w:w="0" w:type="dxa"/>
              <w:right w:w="0" w:type="dxa"/>
            </w:tcMar>
            <w:vAlign w:val="center"/>
          </w:tcPr>
          <w:p>
            <w:pPr>
              <w:pStyle w:val="TableContents"/>
              <w:bidi w:val="0"/>
              <w:spacing w:before="40" w:after="20"/>
              <w:ind w:left="0" w:right="0" w:firstLine="360"/>
              <w:jc w:val="right"/>
              <w:rPr>
                <w:rFonts w:ascii="Arial" w:hAnsi="Arial"/>
                <w:color w:val="000000"/>
                <w:sz w:val="20"/>
              </w:rPr>
            </w:pPr>
            <w:r>
              <w:rPr>
                <w:rFonts w:ascii="Arial" w:hAnsi="Arial"/>
                <w:color w:val="000000"/>
                <w:sz w:val="20"/>
              </w:rPr>
              <w:t>60</w:t>
            </w:r>
          </w:p>
        </w:tc>
      </w:tr>
      <w:tr>
        <w:trPr/>
        <w:tc>
          <w:tcPr>
            <w:tcW w:w="8326" w:type="dxa"/>
            <w:tcBorders/>
            <w:tcMar>
              <w:top w:w="0" w:type="dxa"/>
              <w:left w:w="0" w:type="dxa"/>
              <w:bottom w:w="0" w:type="dxa"/>
              <w:right w:w="0" w:type="dxa"/>
            </w:tcMar>
            <w:vAlign w:val="center"/>
          </w:tcPr>
          <w:p>
            <w:pPr>
              <w:pStyle w:val="TableContents"/>
              <w:bidi w:val="0"/>
              <w:spacing w:before="40" w:after="20"/>
              <w:ind w:left="0" w:right="0" w:firstLine="360"/>
              <w:jc w:val="left"/>
              <w:rPr/>
            </w:pPr>
            <w:hyperlink w:anchor="change_of_control_arrangements">
              <w:r>
                <w:rPr>
                  <w:rStyle w:val="InternetLink"/>
                  <w:rFonts w:ascii="Arial" w:hAnsi="Arial"/>
                  <w:color w:val="000000"/>
                  <w:sz w:val="20"/>
                </w:rPr>
                <w:t> Change of Control Arrangements and Severance Plans</w:t>
              </w:r>
            </w:hyperlink>
          </w:p>
        </w:tc>
        <w:tc>
          <w:tcPr>
            <w:tcW w:w="391" w:type="dxa"/>
            <w:tcBorders/>
            <w:tcMar>
              <w:top w:w="0" w:type="dxa"/>
              <w:left w:w="0" w:type="dxa"/>
              <w:bottom w:w="0" w:type="dxa"/>
              <w:right w:w="0" w:type="dxa"/>
            </w:tcMar>
            <w:vAlign w:val="center"/>
          </w:tcPr>
          <w:p>
            <w:pPr>
              <w:pStyle w:val="TableContents"/>
              <w:bidi w:val="0"/>
              <w:spacing w:before="40" w:after="20"/>
              <w:jc w:val="right"/>
              <w:rPr/>
            </w:pPr>
            <w:r>
              <w:rPr/>
              <w:t> </w:t>
            </w:r>
          </w:p>
        </w:tc>
        <w:tc>
          <w:tcPr>
            <w:tcW w:w="721" w:type="dxa"/>
            <w:tcBorders/>
            <w:tcMar>
              <w:top w:w="0" w:type="dxa"/>
              <w:left w:w="0" w:type="dxa"/>
              <w:bottom w:w="0" w:type="dxa"/>
              <w:right w:w="0" w:type="dxa"/>
            </w:tcMar>
            <w:vAlign w:val="center"/>
          </w:tcPr>
          <w:p>
            <w:pPr>
              <w:pStyle w:val="TableContents"/>
              <w:bidi w:val="0"/>
              <w:spacing w:before="40" w:after="20"/>
              <w:jc w:val="right"/>
              <w:rPr>
                <w:rFonts w:ascii="Arial" w:hAnsi="Arial"/>
                <w:color w:val="000000"/>
                <w:sz w:val="20"/>
              </w:rPr>
            </w:pPr>
            <w:r>
              <w:rPr>
                <w:rFonts w:ascii="Arial" w:hAnsi="Arial"/>
                <w:color w:val="000000"/>
                <w:sz w:val="20"/>
              </w:rPr>
              <w:t>61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9948" w:type="dxa"/>
        <w:jc w:val="left"/>
        <w:tblInd w:w="0" w:type="dxa"/>
        <w:tblLayout w:type="fixed"/>
        <w:tblCellMar>
          <w:top w:w="28" w:type="dxa"/>
          <w:left w:w="28" w:type="dxa"/>
          <w:bottom w:w="28" w:type="dxa"/>
          <w:right w:w="28" w:type="dxa"/>
        </w:tblCellMar>
      </w:tblPr>
      <w:tblGrid>
        <w:gridCol w:w="8836"/>
        <w:gridCol w:w="391"/>
        <w:gridCol w:w="721"/>
      </w:tblGrid>
      <w:tr>
        <w:trPr/>
        <w:tc>
          <w:tcPr>
            <w:tcW w:w="883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88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8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8836" w:type="dxa"/>
            <w:tcBorders/>
            <w:tcMar>
              <w:top w:w="0" w:type="dxa"/>
              <w:left w:w="0" w:type="dxa"/>
              <w:bottom w:w="0" w:type="dxa"/>
              <w:right w:w="0" w:type="dxa"/>
            </w:tcMar>
            <w:vAlign w:val="center"/>
          </w:tcPr>
          <w:p>
            <w:pPr>
              <w:pStyle w:val="TableContents"/>
              <w:bidi w:val="0"/>
              <w:spacing w:before="40" w:after="20"/>
              <w:ind w:left="0" w:right="0" w:firstLine="360"/>
              <w:jc w:val="left"/>
              <w:rPr/>
            </w:pPr>
            <w:hyperlink w:anchor="ceo_pay_ratio">
              <w:r>
                <w:rPr>
                  <w:rStyle w:val="InternetLink"/>
                  <w:rFonts w:ascii="Arial" w:hAnsi="Arial"/>
                  <w:color w:val="000000"/>
                  <w:sz w:val="20"/>
                </w:rPr>
                <w:t> CEO Pay Ratio</w:t>
              </w:r>
            </w:hyperlink>
          </w:p>
        </w:tc>
        <w:tc>
          <w:tcPr>
            <w:tcW w:w="391" w:type="dxa"/>
            <w:tcBorders/>
            <w:tcMar>
              <w:top w:w="0" w:type="dxa"/>
              <w:left w:w="0" w:type="dxa"/>
              <w:bottom w:w="0" w:type="dxa"/>
              <w:right w:w="0" w:type="dxa"/>
            </w:tcMar>
            <w:vAlign w:val="center"/>
          </w:tcPr>
          <w:p>
            <w:pPr>
              <w:pStyle w:val="TableContents"/>
              <w:bidi w:val="0"/>
              <w:spacing w:before="40" w:after="20"/>
              <w:jc w:val="right"/>
              <w:rPr/>
            </w:pPr>
            <w:r>
              <w:rPr/>
              <w:t> </w:t>
            </w:r>
          </w:p>
        </w:tc>
        <w:tc>
          <w:tcPr>
            <w:tcW w:w="721" w:type="dxa"/>
            <w:tcBorders/>
            <w:tcMar>
              <w:top w:w="0" w:type="dxa"/>
              <w:left w:w="0" w:type="dxa"/>
              <w:bottom w:w="0" w:type="dxa"/>
              <w:right w:w="0" w:type="dxa"/>
            </w:tcMar>
            <w:vAlign w:val="center"/>
          </w:tcPr>
          <w:p>
            <w:pPr>
              <w:pStyle w:val="TableContents"/>
              <w:bidi w:val="0"/>
              <w:spacing w:before="40" w:after="20"/>
              <w:ind w:left="0" w:right="0" w:firstLine="360"/>
              <w:jc w:val="right"/>
              <w:rPr>
                <w:rFonts w:ascii="Arial" w:hAnsi="Arial"/>
                <w:color w:val="000000"/>
                <w:sz w:val="20"/>
              </w:rPr>
            </w:pPr>
            <w:r>
              <w:rPr>
                <w:rFonts w:ascii="Arial" w:hAnsi="Arial"/>
                <w:color w:val="000000"/>
                <w:sz w:val="20"/>
              </w:rPr>
              <w:t>71</w:t>
            </w:r>
          </w:p>
        </w:tc>
      </w:tr>
      <w:tr>
        <w:trPr/>
        <w:tc>
          <w:tcPr>
            <w:tcW w:w="8836" w:type="dxa"/>
            <w:tcBorders/>
            <w:tcMar>
              <w:top w:w="0" w:type="dxa"/>
              <w:left w:w="0" w:type="dxa"/>
              <w:bottom w:w="0" w:type="dxa"/>
              <w:right w:w="0" w:type="dxa"/>
            </w:tcMar>
            <w:vAlign w:val="center"/>
          </w:tcPr>
          <w:p>
            <w:pPr>
              <w:pStyle w:val="TableContents"/>
              <w:bidi w:val="0"/>
              <w:spacing w:before="40" w:after="40"/>
              <w:ind w:left="0" w:right="0" w:firstLine="360"/>
              <w:jc w:val="left"/>
              <w:rPr/>
            </w:pPr>
            <w:hyperlink w:anchor="ceo_pay_ratio">
              <w:r>
                <w:rPr>
                  <w:rStyle w:val="InternetLink"/>
                  <w:rFonts w:ascii="Arial" w:hAnsi="Arial"/>
                  <w:color w:val="000000"/>
                  <w:sz w:val="20"/>
                </w:rPr>
                <w:t></w:t>
              </w:r>
            </w:hyperlink>
            <w:hyperlink w:anchor="ceo_pay_ratio">
              <w:r>
                <w:rPr>
                  <w:rStyle w:val="InternetLink"/>
                  <w:rFonts w:ascii="Times New Roman" w:hAnsi="Times New Roman"/>
                  <w:color w:val="000000"/>
                  <w:sz w:val="20"/>
                </w:rPr>
                <w:t xml:space="preserve"> </w:t>
              </w:r>
            </w:hyperlink>
            <w:hyperlink w:anchor="equity_award_timing_disclosure">
              <w:r>
                <w:rPr>
                  <w:rStyle w:val="InternetLink"/>
                  <w:rFonts w:ascii="Arial" w:hAnsi="Arial"/>
                  <w:color w:val="000000"/>
                  <w:sz w:val="20"/>
                </w:rPr>
                <w:t>Equity Award Timing Disclosure</w:t>
              </w:r>
            </w:hyperlink>
          </w:p>
        </w:tc>
        <w:tc>
          <w:tcPr>
            <w:tcW w:w="391" w:type="dxa"/>
            <w:tcBorders/>
            <w:tcMar>
              <w:top w:w="0" w:type="dxa"/>
              <w:left w:w="0" w:type="dxa"/>
              <w:bottom w:w="0" w:type="dxa"/>
              <w:right w:w="0" w:type="dxa"/>
            </w:tcMar>
            <w:vAlign w:val="center"/>
          </w:tcPr>
          <w:p>
            <w:pPr>
              <w:pStyle w:val="TableContents"/>
              <w:bidi w:val="0"/>
              <w:spacing w:before="40" w:after="20"/>
              <w:jc w:val="right"/>
              <w:rPr/>
            </w:pPr>
            <w:r>
              <w:rPr/>
              <w:t> </w:t>
            </w:r>
          </w:p>
        </w:tc>
        <w:tc>
          <w:tcPr>
            <w:tcW w:w="721" w:type="dxa"/>
            <w:tcBorders/>
            <w:tcMar>
              <w:top w:w="0" w:type="dxa"/>
              <w:left w:w="0" w:type="dxa"/>
              <w:bottom w:w="0" w:type="dxa"/>
              <w:right w:w="0" w:type="dxa"/>
            </w:tcMar>
            <w:vAlign w:val="center"/>
          </w:tcPr>
          <w:p>
            <w:pPr>
              <w:pStyle w:val="TableContents"/>
              <w:bidi w:val="0"/>
              <w:spacing w:before="40" w:after="20"/>
              <w:ind w:left="0" w:right="0" w:firstLine="360"/>
              <w:jc w:val="right"/>
              <w:rPr>
                <w:rFonts w:ascii="Arial" w:hAnsi="Arial"/>
                <w:color w:val="000000"/>
                <w:sz w:val="20"/>
              </w:rPr>
            </w:pPr>
            <w:r>
              <w:rPr>
                <w:rFonts w:ascii="Arial" w:hAnsi="Arial"/>
                <w:color w:val="000000"/>
                <w:sz w:val="20"/>
              </w:rPr>
              <w:t>71</w:t>
            </w:r>
          </w:p>
        </w:tc>
      </w:tr>
      <w:tr>
        <w:trPr/>
        <w:tc>
          <w:tcPr>
            <w:tcW w:w="8836" w:type="dxa"/>
            <w:tcBorders/>
            <w:tcMar>
              <w:top w:w="0" w:type="dxa"/>
              <w:left w:w="0" w:type="dxa"/>
              <w:bottom w:w="0" w:type="dxa"/>
              <w:right w:w="0" w:type="dxa"/>
            </w:tcMar>
            <w:vAlign w:val="center"/>
          </w:tcPr>
          <w:p>
            <w:pPr>
              <w:pStyle w:val="TableContents"/>
              <w:bidi w:val="0"/>
              <w:spacing w:before="40" w:after="20"/>
              <w:ind w:left="0" w:right="0" w:firstLine="360"/>
              <w:jc w:val="left"/>
              <w:rPr/>
            </w:pPr>
            <w:hyperlink w:anchor="pay_versus_performance_table">
              <w:r>
                <w:rPr>
                  <w:rStyle w:val="InternetLink"/>
                  <w:rFonts w:ascii="Arial" w:hAnsi="Arial"/>
                  <w:color w:val="000000"/>
                  <w:sz w:val="20"/>
                </w:rPr>
                <w:t> Pay Versus Performance Table</w:t>
              </w:r>
            </w:hyperlink>
          </w:p>
        </w:tc>
        <w:tc>
          <w:tcPr>
            <w:tcW w:w="391" w:type="dxa"/>
            <w:tcBorders/>
            <w:tcMar>
              <w:top w:w="0" w:type="dxa"/>
              <w:left w:w="0" w:type="dxa"/>
              <w:bottom w:w="0" w:type="dxa"/>
              <w:right w:w="0" w:type="dxa"/>
            </w:tcMar>
            <w:vAlign w:val="center"/>
          </w:tcPr>
          <w:p>
            <w:pPr>
              <w:pStyle w:val="TableContents"/>
              <w:bidi w:val="0"/>
              <w:spacing w:before="40" w:after="20"/>
              <w:jc w:val="right"/>
              <w:rPr/>
            </w:pPr>
            <w:r>
              <w:rPr/>
              <w:t> </w:t>
            </w:r>
          </w:p>
        </w:tc>
        <w:tc>
          <w:tcPr>
            <w:tcW w:w="721" w:type="dxa"/>
            <w:tcBorders/>
            <w:tcMar>
              <w:top w:w="0" w:type="dxa"/>
              <w:left w:w="0" w:type="dxa"/>
              <w:bottom w:w="0" w:type="dxa"/>
              <w:right w:w="0" w:type="dxa"/>
            </w:tcMar>
            <w:vAlign w:val="center"/>
          </w:tcPr>
          <w:p>
            <w:pPr>
              <w:pStyle w:val="TableContents"/>
              <w:bidi w:val="0"/>
              <w:spacing w:before="40" w:after="20"/>
              <w:jc w:val="right"/>
              <w:rPr>
                <w:rFonts w:ascii="Arial" w:hAnsi="Arial"/>
                <w:color w:val="000000"/>
                <w:sz w:val="20"/>
              </w:rPr>
            </w:pPr>
            <w:r>
              <w:rPr>
                <w:rFonts w:ascii="Arial" w:hAnsi="Arial"/>
                <w:color w:val="000000"/>
                <w:sz w:val="20"/>
              </w:rPr>
              <w:t>72</w:t>
            </w:r>
          </w:p>
        </w:tc>
      </w:tr>
      <w:tr>
        <w:trPr/>
        <w:tc>
          <w:tcPr>
            <w:tcW w:w="8836" w:type="dxa"/>
            <w:tcBorders/>
            <w:tcMar>
              <w:top w:w="0" w:type="dxa"/>
              <w:left w:w="0" w:type="dxa"/>
              <w:bottom w:w="0" w:type="dxa"/>
              <w:right w:w="0" w:type="dxa"/>
            </w:tcMar>
            <w:vAlign w:val="center"/>
          </w:tcPr>
          <w:p>
            <w:pPr>
              <w:pStyle w:val="TableContents"/>
              <w:bidi w:val="0"/>
              <w:spacing w:before="40" w:after="40"/>
              <w:jc w:val="left"/>
              <w:rPr/>
            </w:pPr>
            <w:hyperlink w:anchor="director_compensation">
              <w:r>
                <w:rPr>
                  <w:rStyle w:val="InternetLink"/>
                  <w:rFonts w:ascii="Arial" w:hAnsi="Arial"/>
                  <w:color w:val="000000"/>
                  <w:sz w:val="20"/>
                </w:rPr>
                <w:t>Director Compensation</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jc w:val="right"/>
              <w:rPr>
                <w:rFonts w:ascii="Arial" w:hAnsi="Arial"/>
                <w:color w:val="000000"/>
                <w:sz w:val="20"/>
              </w:rPr>
            </w:pPr>
            <w:r>
              <w:rPr>
                <w:rFonts w:ascii="Arial" w:hAnsi="Arial"/>
                <w:color w:val="000000"/>
                <w:sz w:val="20"/>
              </w:rPr>
              <w:t>77</w:t>
            </w:r>
          </w:p>
        </w:tc>
      </w:tr>
      <w:tr>
        <w:trPr/>
        <w:tc>
          <w:tcPr>
            <w:tcW w:w="8836" w:type="dxa"/>
            <w:tcBorders/>
            <w:tcMar>
              <w:top w:w="0" w:type="dxa"/>
              <w:left w:w="0" w:type="dxa"/>
              <w:bottom w:w="0" w:type="dxa"/>
              <w:right w:w="0" w:type="dxa"/>
            </w:tcMar>
            <w:vAlign w:val="center"/>
          </w:tcPr>
          <w:p>
            <w:pPr>
              <w:pStyle w:val="TableContents"/>
              <w:bidi w:val="0"/>
              <w:spacing w:before="40" w:after="40"/>
              <w:jc w:val="left"/>
              <w:rPr/>
            </w:pPr>
            <w:hyperlink w:anchor="proposal_2">
              <w:r>
                <w:rPr>
                  <w:rStyle w:val="InternetLink"/>
                  <w:rFonts w:ascii="Arial" w:hAnsi="Arial"/>
                  <w:color w:val="000000"/>
                  <w:sz w:val="20"/>
                </w:rPr>
                <w:t>Proposal 2: Advisory Vote on Compensation of Named Executive Officers</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jc w:val="right"/>
              <w:rPr>
                <w:rFonts w:ascii="Arial" w:hAnsi="Arial"/>
                <w:color w:val="000000"/>
                <w:sz w:val="20"/>
              </w:rPr>
            </w:pPr>
            <w:r>
              <w:rPr>
                <w:rFonts w:ascii="Arial" w:hAnsi="Arial"/>
                <w:color w:val="000000"/>
                <w:sz w:val="20"/>
              </w:rPr>
              <w:t>78</w:t>
            </w:r>
          </w:p>
        </w:tc>
      </w:tr>
      <w:tr>
        <w:trPr/>
        <w:tc>
          <w:tcPr>
            <w:tcW w:w="8836" w:type="dxa"/>
            <w:tcBorders/>
            <w:tcMar>
              <w:top w:w="0" w:type="dxa"/>
              <w:left w:w="0" w:type="dxa"/>
              <w:bottom w:w="0" w:type="dxa"/>
              <w:right w:w="0" w:type="dxa"/>
            </w:tcMar>
            <w:vAlign w:val="center"/>
          </w:tcPr>
          <w:p>
            <w:pPr>
              <w:pStyle w:val="TableContents"/>
              <w:bidi w:val="0"/>
              <w:spacing w:before="40" w:after="40"/>
              <w:jc w:val="left"/>
              <w:rPr/>
            </w:pPr>
            <w:hyperlink w:anchor="proposal_3">
              <w:r>
                <w:rPr>
                  <w:rStyle w:val="InternetLink"/>
                  <w:rFonts w:ascii="Arial" w:hAnsi="Arial"/>
                  <w:color w:val="000000"/>
                  <w:sz w:val="20"/>
                </w:rPr>
                <w:t>Proposal 3: Approval of the Genesco Inc. Fourth Amended and Restated 2020 Equity Incentive Plan</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jc w:val="right"/>
              <w:rPr>
                <w:rFonts w:ascii="Arial" w:hAnsi="Arial"/>
                <w:color w:val="000000"/>
                <w:sz w:val="20"/>
              </w:rPr>
            </w:pPr>
            <w:r>
              <w:rPr>
                <w:rFonts w:ascii="Arial" w:hAnsi="Arial"/>
                <w:color w:val="000000"/>
                <w:sz w:val="20"/>
              </w:rPr>
              <w:t>79</w:t>
            </w:r>
          </w:p>
        </w:tc>
      </w:tr>
      <w:tr>
        <w:trPr/>
        <w:tc>
          <w:tcPr>
            <w:tcW w:w="8836" w:type="dxa"/>
            <w:tcBorders/>
            <w:tcMar>
              <w:top w:w="0" w:type="dxa"/>
              <w:left w:w="0" w:type="dxa"/>
              <w:bottom w:w="0" w:type="dxa"/>
              <w:right w:w="0" w:type="dxa"/>
            </w:tcMar>
            <w:vAlign w:val="center"/>
          </w:tcPr>
          <w:p>
            <w:pPr>
              <w:pStyle w:val="TableContents"/>
              <w:bidi w:val="0"/>
              <w:spacing w:before="40" w:after="40"/>
              <w:jc w:val="left"/>
              <w:rPr/>
            </w:pPr>
            <w:hyperlink w:anchor="audit_matters">
              <w:r>
                <w:rPr>
                  <w:rStyle w:val="InternetLink"/>
                  <w:rFonts w:ascii="Arial" w:hAnsi="Arial"/>
                  <w:color w:val="000000"/>
                  <w:sz w:val="20"/>
                </w:rPr>
                <w:t>Audit Matters</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jc w:val="right"/>
              <w:rPr>
                <w:rFonts w:ascii="Arial" w:hAnsi="Arial"/>
                <w:color w:val="000000"/>
                <w:sz w:val="20"/>
              </w:rPr>
            </w:pPr>
            <w:r>
              <w:rPr>
                <w:rFonts w:ascii="Arial" w:hAnsi="Arial"/>
                <w:color w:val="000000"/>
                <w:sz w:val="20"/>
              </w:rPr>
              <w:t>92</w:t>
            </w:r>
          </w:p>
        </w:tc>
      </w:tr>
      <w:tr>
        <w:trPr/>
        <w:tc>
          <w:tcPr>
            <w:tcW w:w="8836" w:type="dxa"/>
            <w:tcBorders/>
            <w:tcMar>
              <w:top w:w="0" w:type="dxa"/>
              <w:left w:w="0" w:type="dxa"/>
              <w:bottom w:w="0" w:type="dxa"/>
              <w:right w:w="0" w:type="dxa"/>
            </w:tcMar>
            <w:vAlign w:val="center"/>
          </w:tcPr>
          <w:p>
            <w:pPr>
              <w:pStyle w:val="TableContents"/>
              <w:bidi w:val="0"/>
              <w:spacing w:before="40" w:after="40"/>
              <w:jc w:val="left"/>
              <w:rPr/>
            </w:pPr>
            <w:hyperlink w:anchor="proposal_4">
              <w:r>
                <w:rPr>
                  <w:rStyle w:val="InternetLink"/>
                  <w:rFonts w:ascii="Arial" w:hAnsi="Arial"/>
                  <w:color w:val="000000"/>
                  <w:sz w:val="20"/>
                </w:rPr>
                <w:t>Proposal 4: Ratification of Independent Registered Public Accounting Firm</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jc w:val="right"/>
              <w:rPr>
                <w:rFonts w:ascii="Arial" w:hAnsi="Arial"/>
                <w:color w:val="000000"/>
                <w:sz w:val="20"/>
              </w:rPr>
            </w:pPr>
            <w:r>
              <w:rPr>
                <w:rFonts w:ascii="Arial" w:hAnsi="Arial"/>
                <w:color w:val="000000"/>
                <w:sz w:val="20"/>
              </w:rPr>
              <w:t>92</w:t>
            </w:r>
          </w:p>
        </w:tc>
      </w:tr>
      <w:tr>
        <w:trPr/>
        <w:tc>
          <w:tcPr>
            <w:tcW w:w="8836" w:type="dxa"/>
            <w:tcBorders/>
            <w:tcMar>
              <w:top w:w="0" w:type="dxa"/>
              <w:left w:w="0" w:type="dxa"/>
              <w:bottom w:w="0" w:type="dxa"/>
              <w:right w:w="0" w:type="dxa"/>
            </w:tcMar>
            <w:vAlign w:val="center"/>
          </w:tcPr>
          <w:p>
            <w:pPr>
              <w:pStyle w:val="TableContents"/>
              <w:bidi w:val="0"/>
              <w:spacing w:before="40" w:after="40"/>
              <w:jc w:val="left"/>
              <w:rPr/>
            </w:pPr>
            <w:hyperlink w:anchor="proposals_for_the_2026_annual_meeting">
              <w:r>
                <w:rPr>
                  <w:rStyle w:val="InternetLink"/>
                  <w:rFonts w:ascii="Arial" w:hAnsi="Arial"/>
                  <w:color w:val="000000"/>
                  <w:sz w:val="20"/>
                </w:rPr>
                <w:t>Proposals for the 2027 Annual Meeting</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jc w:val="right"/>
              <w:rPr>
                <w:rFonts w:ascii="Arial" w:hAnsi="Arial"/>
                <w:color w:val="000000"/>
                <w:sz w:val="20"/>
              </w:rPr>
            </w:pPr>
            <w:r>
              <w:rPr>
                <w:rFonts w:ascii="Arial" w:hAnsi="Arial"/>
                <w:color w:val="000000"/>
                <w:sz w:val="20"/>
              </w:rPr>
              <w:t>95</w:t>
            </w:r>
          </w:p>
        </w:tc>
      </w:tr>
      <w:tr>
        <w:trPr/>
        <w:tc>
          <w:tcPr>
            <w:tcW w:w="8836" w:type="dxa"/>
            <w:tcBorders/>
            <w:tcMar>
              <w:top w:w="0" w:type="dxa"/>
              <w:left w:w="0" w:type="dxa"/>
              <w:bottom w:w="0" w:type="dxa"/>
              <w:right w:w="0" w:type="dxa"/>
            </w:tcMar>
            <w:vAlign w:val="center"/>
          </w:tcPr>
          <w:p>
            <w:pPr>
              <w:pStyle w:val="TableContents"/>
              <w:bidi w:val="0"/>
              <w:spacing w:before="40" w:after="40"/>
              <w:jc w:val="left"/>
              <w:rPr/>
            </w:pPr>
            <w:hyperlink w:anchor="financial_statements_available">
              <w:r>
                <w:rPr>
                  <w:rStyle w:val="InternetLink"/>
                  <w:rFonts w:ascii="Arial" w:hAnsi="Arial"/>
                  <w:color w:val="000000"/>
                  <w:sz w:val="20"/>
                </w:rPr>
                <w:t>Financial Statements Available</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jc w:val="right"/>
              <w:rPr>
                <w:rFonts w:ascii="Arial" w:hAnsi="Arial"/>
                <w:color w:val="000000"/>
                <w:sz w:val="20"/>
              </w:rPr>
            </w:pPr>
            <w:r>
              <w:rPr>
                <w:rFonts w:ascii="Arial" w:hAnsi="Arial"/>
                <w:color w:val="000000"/>
                <w:sz w:val="20"/>
              </w:rPr>
              <w:t>96</w:t>
            </w:r>
          </w:p>
        </w:tc>
      </w:tr>
      <w:tr>
        <w:trPr/>
        <w:tc>
          <w:tcPr>
            <w:tcW w:w="8836" w:type="dxa"/>
            <w:tcBorders/>
            <w:tcMar>
              <w:top w:w="0" w:type="dxa"/>
              <w:left w:w="0" w:type="dxa"/>
              <w:bottom w:w="0" w:type="dxa"/>
              <w:right w:w="0" w:type="dxa"/>
            </w:tcMar>
            <w:vAlign w:val="center"/>
          </w:tcPr>
          <w:p>
            <w:pPr>
              <w:pStyle w:val="TableContents"/>
              <w:bidi w:val="0"/>
              <w:spacing w:before="40" w:after="40"/>
              <w:jc w:val="left"/>
              <w:rPr/>
            </w:pPr>
            <w:hyperlink w:anchor="cost_of_solicitation">
              <w:r>
                <w:rPr>
                  <w:rStyle w:val="InternetLink"/>
                  <w:rFonts w:ascii="Arial" w:hAnsi="Arial"/>
                  <w:color w:val="000000"/>
                  <w:sz w:val="20"/>
                </w:rPr>
                <w:t>Cost of Solicitation</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jc w:val="right"/>
              <w:rPr>
                <w:rFonts w:ascii="Arial" w:hAnsi="Arial"/>
                <w:color w:val="000000"/>
                <w:sz w:val="20"/>
              </w:rPr>
            </w:pPr>
            <w:r>
              <w:rPr>
                <w:rFonts w:ascii="Arial" w:hAnsi="Arial"/>
                <w:color w:val="000000"/>
                <w:sz w:val="20"/>
              </w:rPr>
              <w:t>97</w:t>
            </w:r>
          </w:p>
        </w:tc>
      </w:tr>
      <w:tr>
        <w:trPr/>
        <w:tc>
          <w:tcPr>
            <w:tcW w:w="8836" w:type="dxa"/>
            <w:tcBorders/>
            <w:tcMar>
              <w:top w:w="0" w:type="dxa"/>
              <w:left w:w="0" w:type="dxa"/>
              <w:bottom w:w="0" w:type="dxa"/>
              <w:right w:w="0" w:type="dxa"/>
            </w:tcMar>
            <w:vAlign w:val="center"/>
          </w:tcPr>
          <w:p>
            <w:pPr>
              <w:pStyle w:val="TableContents"/>
              <w:bidi w:val="0"/>
              <w:spacing w:before="40" w:after="40"/>
              <w:jc w:val="left"/>
              <w:rPr/>
            </w:pPr>
            <w:hyperlink w:anchor="appendix_a">
              <w:r>
                <w:rPr>
                  <w:rStyle w:val="InternetLink"/>
                  <w:rFonts w:ascii="Arial" w:hAnsi="Arial"/>
                  <w:color w:val="000000"/>
                  <w:sz w:val="20"/>
                </w:rPr>
                <w:t>Appendix A --- Genesco Inc. Fourth Amended and Restated 2020 Equity Incentive Plan</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jc w:val="right"/>
              <w:rPr>
                <w:rFonts w:ascii="Arial" w:hAnsi="Arial"/>
                <w:color w:val="000000"/>
                <w:sz w:val="20"/>
              </w:rPr>
            </w:pPr>
            <w:r>
              <w:rPr>
                <w:rFonts w:ascii="Arial" w:hAnsi="Arial"/>
                <w:color w:val="000000"/>
                <w:sz w:val="20"/>
              </w:rPr>
              <w:t>A-1</w:t>
            </w:r>
          </w:p>
        </w:tc>
      </w:tr>
      <w:tr>
        <w:trPr/>
        <w:tc>
          <w:tcPr>
            <w:tcW w:w="8836" w:type="dxa"/>
            <w:tcBorders/>
            <w:tcMar>
              <w:top w:w="0" w:type="dxa"/>
              <w:left w:w="0" w:type="dxa"/>
              <w:bottom w:w="0" w:type="dxa"/>
              <w:right w:w="0" w:type="dxa"/>
            </w:tcMar>
            <w:vAlign w:val="center"/>
          </w:tcPr>
          <w:p>
            <w:pPr>
              <w:pStyle w:val="TableContents"/>
              <w:bidi w:val="0"/>
              <w:spacing w:before="40" w:after="40"/>
              <w:jc w:val="left"/>
              <w:rPr/>
            </w:pPr>
            <w:hyperlink w:anchor="appendix_b">
              <w:r>
                <w:rPr>
                  <w:rStyle w:val="InternetLink"/>
                  <w:rFonts w:ascii="Arial" w:hAnsi="Arial"/>
                  <w:color w:val="000000"/>
                  <w:sz w:val="20"/>
                </w:rPr>
                <w:t>Appendix B --- Certain Information Regarding Participants in the Solicitation</w:t>
              </w:r>
            </w:hyperlink>
          </w:p>
        </w:tc>
        <w:tc>
          <w:tcPr>
            <w:tcW w:w="391" w:type="dxa"/>
            <w:tcBorders/>
            <w:tcMar>
              <w:top w:w="0" w:type="dxa"/>
              <w:left w:w="0" w:type="dxa"/>
              <w:bottom w:w="0" w:type="dxa"/>
              <w:right w:w="0" w:type="dxa"/>
            </w:tcMar>
            <w:vAlign w:val="center"/>
          </w:tcPr>
          <w:p>
            <w:pPr>
              <w:pStyle w:val="TableContents"/>
              <w:bidi w:val="0"/>
              <w:spacing w:before="40" w:after="40"/>
              <w:jc w:val="right"/>
              <w:rPr/>
            </w:pPr>
            <w:r>
              <w:rPr/>
              <w:t> </w:t>
            </w:r>
          </w:p>
        </w:tc>
        <w:tc>
          <w:tcPr>
            <w:tcW w:w="721" w:type="dxa"/>
            <w:tcBorders/>
            <w:tcMar>
              <w:top w:w="0" w:type="dxa"/>
              <w:left w:w="0" w:type="dxa"/>
              <w:bottom w:w="0" w:type="dxa"/>
              <w:right w:w="0" w:type="dxa"/>
            </w:tcMar>
            <w:vAlign w:val="center"/>
          </w:tcPr>
          <w:p>
            <w:pPr>
              <w:pStyle w:val="TableContents"/>
              <w:bidi w:val="0"/>
              <w:spacing w:before="40" w:after="40"/>
              <w:jc w:val="right"/>
              <w:rPr>
                <w:rFonts w:ascii="Arial" w:hAnsi="Arial"/>
                <w:color w:val="000000"/>
                <w:sz w:val="20"/>
              </w:rPr>
            </w:pPr>
            <w:r>
              <w:rPr>
                <w:rFonts w:ascii="Arial" w:hAnsi="Arial"/>
                <w:color w:val="000000"/>
                <w:sz w:val="20"/>
              </w:rPr>
              <w:t>B-1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drawing>
          <wp:inline distT="0" distB="0" distL="0" distR="0">
            <wp:extent cx="3238500" cy="866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238500" cy="866775"/>
                    </a:xfrm>
                    <a:prstGeom prst="rect">
                      <a:avLst/>
                    </a:prstGeom>
                  </pic:spPr>
                </pic:pic>
              </a:graphicData>
            </a:graphic>
          </wp:inline>
        </w:drawing>
      </w:r>
    </w:p>
    <w:p>
      <w:pPr>
        <w:pStyle w:val="TextBody"/>
        <w:bidi w:val="0"/>
        <w:spacing w:before="240" w:after="283"/>
        <w:jc w:val="center"/>
        <w:rPr>
          <w:rFonts w:ascii="Times New Roman" w:hAnsi="Times New Roman"/>
          <w:sz w:val="20"/>
        </w:rPr>
      </w:pPr>
      <w:r>
        <w:rPr>
          <w:rFonts w:ascii="Arial" w:hAnsi="Arial"/>
          <w:b/>
          <w:color w:val="000000"/>
          <w:sz w:val="24"/>
        </w:rPr>
        <w:t>PROXY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FOR ANNUAL MEETING OF SHAREHOLDERS</w:t>
      </w:r>
      <w:r>
        <w:rPr>
          <w:rFonts w:ascii="Times New Roman" w:hAnsi="Times New Roman"/>
          <w:color w:val="000000"/>
          <w:sz w:val="20"/>
        </w:rPr>
        <w:t xml:space="preserve"> </w:t>
      </w:r>
    </w:p>
    <w:p>
      <w:pPr>
        <w:pStyle w:val="TextBody"/>
        <w:bidi w:val="0"/>
        <w:jc w:val="center"/>
        <w:rPr>
          <w:rFonts w:ascii="Arial" w:hAnsi="Arial"/>
          <w:b/>
          <w:color w:val="000000"/>
          <w:sz w:val="24"/>
        </w:rPr>
      </w:pPr>
      <w:r>
        <w:rPr>
          <w:rFonts w:ascii="Arial" w:hAnsi="Arial"/>
          <w:b/>
          <w:color w:val="000000"/>
          <w:sz w:val="24"/>
        </w:rPr>
        <w:t>July 21, 2026</w:t>
      </w:r>
    </w:p>
    <w:p>
      <w:pPr>
        <w:pStyle w:val="TextBody"/>
        <w:bidi w:val="0"/>
        <w:spacing w:before="240" w:after="283"/>
        <w:jc w:val="left"/>
        <w:rPr>
          <w:rFonts w:ascii="Times New Roman" w:hAnsi="Times New Roman"/>
          <w:sz w:val="20"/>
        </w:rPr>
      </w:pPr>
      <w:r>
        <w:rPr>
          <w:rFonts w:ascii="Arial" w:hAnsi="Arial"/>
          <w:color w:val="000000"/>
          <w:sz w:val="20"/>
        </w:rPr>
        <w:t>The board of directors (“Board”) of Genesco Inc. (“Genesco” or the “Company”) is soliciting proxies to be voted at the 2026 annual meeting of shareholders (the “Annual Meeting”). The Annual Meeting will be held in virtual format at 10 a.m. Central Time, on July 21, 2026. The notice that accompanies this proxy statement describes the items on the Annual Meeting agenda.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Annual Meeting will be a completely virtual meeting of shareholders, which will be held online via a live webcast at www.cesonlineservices.com/gco26_vm, where you will be able to vote electronically and submit questions during the Annual Meeting. No physical meeting will be held. You are entitled to participate in the Annual Meeting only if you were a shareholder of the Company as of the close of business on June 11, 2026, or a validly designated proxy of such shareholder, and have pre-registered by 10 a.m. Central Time on July 20, 2026.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These proxy materials and the accompanying WHITE proxy card were first mailed to certain shareholders on or about June 15, 2026.</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20"/>
        </w:rPr>
        <w:t>ABOUT GENESCO</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Genesco, a Nashville-based specialty retailer and branded company, sells footwear, apparel and accessories in more than 1,230 retail stores throughout the U.S., Puerto Rico, Canada, the United Kingdom and the Republic of Ireland, principally under the names Journeys</w:t>
      </w:r>
      <w:r>
        <w:rPr>
          <w:rFonts w:ascii="Arial" w:hAnsi="Arial"/>
          <w:color w:val="000000"/>
          <w:sz w:val="10"/>
        </w:rPr>
        <w:t>®</w:t>
      </w:r>
      <w:r>
        <w:rPr>
          <w:rFonts w:ascii="Arial" w:hAnsi="Arial"/>
          <w:color w:val="000000"/>
          <w:sz w:val="20"/>
        </w:rPr>
        <w:t>, Journeys Kidz</w:t>
      </w:r>
      <w:r>
        <w:rPr>
          <w:rFonts w:ascii="Arial" w:hAnsi="Arial"/>
          <w:color w:val="000000"/>
          <w:sz w:val="10"/>
        </w:rPr>
        <w:t>®</w:t>
      </w:r>
      <w:r>
        <w:rPr>
          <w:rFonts w:ascii="Arial" w:hAnsi="Arial"/>
          <w:color w:val="000000"/>
          <w:sz w:val="20"/>
        </w:rPr>
        <w:t>, Little Burgundy</w:t>
      </w:r>
      <w:r>
        <w:rPr>
          <w:rFonts w:ascii="Arial" w:hAnsi="Arial"/>
          <w:color w:val="000000"/>
          <w:sz w:val="10"/>
        </w:rPr>
        <w:t>®</w:t>
      </w:r>
      <w:r>
        <w:rPr>
          <w:rFonts w:ascii="Arial" w:hAnsi="Arial"/>
          <w:color w:val="000000"/>
          <w:sz w:val="20"/>
        </w:rPr>
        <w:t>, Schuh, Schuh Kids, Johnston &amp; Murphy</w:t>
      </w:r>
      <w:r>
        <w:rPr>
          <w:rFonts w:ascii="Arial" w:hAnsi="Arial"/>
          <w:color w:val="000000"/>
          <w:sz w:val="10"/>
        </w:rPr>
        <w:t>®</w:t>
      </w:r>
      <w:r>
        <w:rPr>
          <w:rFonts w:ascii="Arial" w:hAnsi="Arial"/>
          <w:color w:val="000000"/>
          <w:sz w:val="20"/>
        </w:rPr>
        <w:t>, and on internet websites www.journeys.com, www.journeyskidz.com, www.journeys.ca, www.littleburgundyshoes.com, www.schuh.co.uk, www.schuh.ie, www.schuh.eu, www.johnstonmurphy.com and www.nashvilleshoewarehouse.com. In addition, Genesco sells wholesale footwear under its Johnston &amp; Murphy brand, the licensed Dockers</w:t>
      </w:r>
      <w:r>
        <w:rPr>
          <w:rFonts w:ascii="Arial" w:hAnsi="Arial"/>
          <w:color w:val="000000"/>
          <w:sz w:val="10"/>
        </w:rPr>
        <w:t>®</w:t>
      </w:r>
      <w:r>
        <w:rPr>
          <w:rFonts w:ascii="Times New Roman" w:hAnsi="Times New Roman"/>
          <w:color w:val="000000"/>
          <w:sz w:val="20"/>
        </w:rPr>
        <w:t xml:space="preserve"> </w:t>
      </w:r>
      <w:r>
        <w:rPr>
          <w:rFonts w:ascii="Arial" w:hAnsi="Arial"/>
          <w:color w:val="000000"/>
          <w:sz w:val="20"/>
        </w:rPr>
        <w:t>brand, the licensed Wrangler</w:t>
      </w:r>
      <w:r>
        <w:rPr>
          <w:rFonts w:ascii="Arial" w:hAnsi="Arial"/>
          <w:color w:val="000000"/>
          <w:sz w:val="10"/>
        </w:rPr>
        <w:t>®</w:t>
      </w:r>
      <w:r>
        <w:rPr>
          <w:rFonts w:ascii="Times New Roman" w:hAnsi="Times New Roman"/>
          <w:color w:val="000000"/>
          <w:sz w:val="20"/>
        </w:rPr>
        <w:t xml:space="preserve"> </w:t>
      </w:r>
      <w:r>
        <w:rPr>
          <w:rFonts w:ascii="Arial" w:hAnsi="Arial"/>
          <w:color w:val="000000"/>
          <w:sz w:val="20"/>
        </w:rPr>
        <w:t>brand and other brands that we license. Information contained on, or accessible through, any of our websites described herein is not a part of, and is not incorporated by reference into, this proxy statement.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Our Footwear First Strategy</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Under our Board Chair, President, Chief Executive Officer and Interim Chief Financial Officer, Mimi E. Vaughn, Genesco unites footwear-led brands that inspire consumers with elevated, on-trend style.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Footwear is what we know, and our brands are where we win. By combining winning assortments, distinctive brands, and exceptional customer experiences, we attract more customers and create loyalty. Our people are our advantage. We have the teams, the skills, and the drive for success. Our four strategic growth drivers include:</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Curate and create winning product;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Elevate distinctive brands; </w:t>
      </w:r>
    </w:p>
    <w:p>
      <w:pPr>
        <w:pStyle w:val="TextBody"/>
        <w:bidi w:val="0"/>
        <w:spacing w:before="240" w:after="283"/>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Create exceptional experiences; and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Build amazing teams. </w:t>
      </w:r>
    </w:p>
    <w:p>
      <w:pPr>
        <w:pStyle w:val="TextBody"/>
        <w:bidi w:val="0"/>
        <w:spacing w:before="240" w:after="283"/>
        <w:jc w:val="left"/>
        <w:rPr>
          <w:rFonts w:ascii="Times New Roman" w:hAnsi="Times New Roman"/>
          <w:sz w:val="20"/>
        </w:rPr>
      </w:pPr>
      <w:r>
        <w:rPr>
          <w:rFonts w:ascii="Arial" w:hAnsi="Arial"/>
          <w:b/>
          <w:color w:val="000000"/>
          <w:sz w:val="20"/>
        </w:rPr>
        <w:t>Our Values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recognize our responsibility to people and to the environment and embrace inclusivity with respect to our employees, customers and vendors. We believe it is important to be part of the community where we operate and support and empower our employees to do the same. Equally important is our responsibility to operate our business ethically, to model excellent supply chain management and to innovate with best practices in sustainability. Our values and methodology include:</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Act with passion and compete to win;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Treat everyone with integrity, trust and respect;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Create an unrivaled home for all talent to grow and succeed;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Never stop being curious; and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Be nimble and react fast. </w:t>
      </w:r>
    </w:p>
    <w:p>
      <w:pPr>
        <w:pStyle w:val="TextBody"/>
        <w:bidi w:val="0"/>
        <w:spacing w:before="240" w:after="283"/>
        <w:jc w:val="left"/>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Arial" w:hAnsi="Arial"/>
          <w:b/>
          <w:color w:val="000000"/>
          <w:sz w:val="20"/>
        </w:rPr>
      </w:pPr>
      <w:bookmarkStart w:id="4" w:name="corporate_governance_and"/>
      <w:bookmarkEnd w:id="4"/>
      <w:r>
        <w:rPr>
          <w:rFonts w:ascii="Arial" w:hAnsi="Arial"/>
          <w:b/>
          <w:color w:val="000000"/>
          <w:sz w:val="20"/>
        </w:rPr>
        <w:t>CORPORATE GOVERNANCE AND BOARD HIGHLIGHTS</w:t>
      </w:r>
    </w:p>
    <w:p>
      <w:pPr>
        <w:pStyle w:val="TextBody"/>
        <w:bidi w:val="0"/>
        <w:spacing w:before="240" w:after="283"/>
        <w:jc w:val="left"/>
        <w:rPr>
          <w:rFonts w:ascii="Arial" w:hAnsi="Arial"/>
          <w:color w:val="000000"/>
          <w:sz w:val="20"/>
        </w:rPr>
      </w:pPr>
      <w:r>
        <w:rPr>
          <w:rFonts w:ascii="Arial" w:hAnsi="Arial"/>
          <w:color w:val="000000"/>
          <w:sz w:val="20"/>
        </w:rPr>
        <w:t>The Board recognizes the importance of strong corporate governance and has taken proactive steps to ensure that the Board remains aligned with shareholder interests and is best positioned to oversee the Company's strategy. Since 2019, the Board has appointed seven new directors to the Board, six of whom are independent. During the same period, a new board chair, a new lead independent director and three new committee chairs have been appointed. This commitment to refreshment demonstrates the Board’s desire to achieve a balance of tenures and perspectives with qualified individuals that collectively possess the skills necessary to provide effective oversight of the Company.</w:t>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Board Composition Highlights</w:t>
      </w:r>
    </w:p>
    <w:p>
      <w:pPr>
        <w:pStyle w:val="TextBody"/>
        <w:bidi w:val="0"/>
        <w:spacing w:before="240" w:after="283"/>
        <w:jc w:val="center"/>
        <w:rPr/>
      </w:pPr>
      <w:r>
        <w:rPr/>
        <w:drawing>
          <wp:inline distT="0" distB="0" distL="0" distR="0">
            <wp:extent cx="4076700" cy="1495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076700" cy="1495425"/>
                    </a:xfrm>
                    <a:prstGeom prst="rect">
                      <a:avLst/>
                    </a:prstGeom>
                  </pic:spPr>
                </pic:pic>
              </a:graphicData>
            </a:graphic>
          </wp:inline>
        </w:drawing>
      </w:r>
      <w:r>
        <w:rPr/>
        <w:drawing>
          <wp:inline distT="0" distB="0" distL="0" distR="0">
            <wp:extent cx="1790700" cy="15049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90700" cy="1504950"/>
                    </a:xfrm>
                    <a:prstGeom prst="rect">
                      <a:avLst/>
                    </a:prstGeom>
                  </pic:spPr>
                </pic:pic>
              </a:graphicData>
            </a:graphic>
          </wp:inline>
        </w:drawing>
      </w:r>
    </w:p>
    <w:p>
      <w:pPr>
        <w:pStyle w:val="TextBody"/>
        <w:bidi w:val="0"/>
        <w:spacing w:before="240" w:after="283"/>
        <w:jc w:val="left"/>
        <w:rPr>
          <w:rFonts w:ascii="Arial" w:hAnsi="Arial"/>
          <w:b/>
          <w:color w:val="000000"/>
          <w:sz w:val="20"/>
        </w:rPr>
      </w:pPr>
      <w:r>
        <w:rPr>
          <w:rFonts w:ascii="Arial" w:hAnsi="Arial"/>
          <w:b/>
          <w:color w:val="000000"/>
          <w:sz w:val="20"/>
        </w:rPr>
        <w:t>Recent Board Changes Reflecting Best Practices: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Added seven highly-skilled directors to the Board since 2019, six of whom are independent</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Appointed a new Board chair, new lead independent director and three new committee chairs since 2019</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Enhanced the skill set of the Board by adding directors with skills to support Genesco’s footwear first strategy, including increased emphasis on branded retail, digital and e-commerce, technology, operations, finance, capital allocation and consumer-facing experience</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Maintained a highly independent Board, with eight of nine directors independent and all standing Board committees composed entirely of independent directors</w:t>
      </w:r>
    </w:p>
    <w:p>
      <w:pPr>
        <w:pStyle w:val="TextBody"/>
        <w:bidi w:val="0"/>
        <w:spacing w:before="240" w:after="283"/>
        <w:jc w:val="left"/>
        <w:rPr>
          <w:rFonts w:ascii="Arial" w:hAnsi="Arial"/>
          <w:b/>
          <w:color w:val="000000"/>
          <w:sz w:val="20"/>
        </w:rPr>
      </w:pPr>
      <w:r>
        <w:rPr>
          <w:rFonts w:ascii="Arial" w:hAnsi="Arial"/>
          <w:b/>
          <w:color w:val="000000"/>
          <w:sz w:val="20"/>
        </w:rPr>
        <w:t>Corporate Governance Best Practices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Demonstrated commitment to thoughtful Board refreshment</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Independent director oversight, including Lead Independent Director with clearly defined responsibilities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Meaningful director and executive stock ownership guidelines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Anti-hedging policy prohibiting directors and officers from hedging against future declines in the market value of Company securities</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Written related-party transaction policy, requiring approval or ratification by the audit committee or, in certain circumstances, the Board</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Code of Business Conduct and Ethics applicable to all employees, officers and directors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Annual review by the Board of the Company’s risk management processes and systems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Annual evaluation of the CEO by independent directors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Board-level oversight of governance-related risks and corporate responsibility matters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Annual Board self-evaluation</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Commitment to consider director candidates from a diverse candidate pool</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Board-established procedures for the Company’s shareholders and other interested parties to communicate with members of the Board</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Policy requiring directors over the age of 75 not to be renominated to the Board</w:t>
      </w:r>
    </w:p>
    <w:p>
      <w:pPr>
        <w:pStyle w:val="TextBody"/>
        <w:bidi w:val="0"/>
        <w:spacing w:before="240" w:after="283"/>
        <w:jc w:val="left"/>
        <w:rPr>
          <w:rFonts w:ascii="Arial" w:hAnsi="Arial"/>
          <w:b/>
          <w:color w:val="000000"/>
          <w:sz w:val="20"/>
        </w:rPr>
      </w:pPr>
      <w:r>
        <w:rPr>
          <w:rFonts w:ascii="Arial" w:hAnsi="Arial"/>
          <w:b/>
          <w:color w:val="000000"/>
          <w:sz w:val="20"/>
        </w:rPr>
        <w:t>Shareholder Engagement</w:t>
      </w:r>
    </w:p>
    <w:p>
      <w:pPr>
        <w:pStyle w:val="TextBody"/>
        <w:bidi w:val="0"/>
        <w:spacing w:before="240" w:after="283"/>
        <w:jc w:val="left"/>
        <w:rPr>
          <w:rFonts w:ascii="Times New Roman" w:hAnsi="Times New Roman"/>
          <w:sz w:val="20"/>
        </w:rPr>
      </w:pPr>
      <w:r>
        <w:rPr>
          <w:rFonts w:ascii="Arial" w:hAnsi="Arial"/>
          <w:color w:val="000000"/>
          <w:sz w:val="20"/>
        </w:rPr>
        <w:t>Each year certain members of the Board and management meet with shareholders on business and corporate strategy-related items, financial and operating performance and corporate governance matters. Management reports to the full Board on these discussions. This process ensures that the Board and management understand and consider the issues important to the Company’s shareholders and enables the Company to address such issues effectively. The Company’s corporate governance profile and executive compensation programs reflect the input of shareholders from outreach efforts. The Company also extends invitations to meet with our ten largest shareholders, every quarter for a post-earnings discussion.</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Arial" w:hAnsi="Arial"/>
          <w:b/>
          <w:color w:val="000000"/>
          <w:sz w:val="20"/>
        </w:rPr>
      </w:pPr>
      <w:bookmarkStart w:id="5" w:name="questions_and_answers"/>
      <w:bookmarkEnd w:id="5"/>
      <w:r>
        <w:rPr>
          <w:rFonts w:ascii="Arial" w:hAnsi="Arial"/>
          <w:b/>
          <w:color w:val="000000"/>
          <w:sz w:val="20"/>
        </w:rPr>
        <w:t>QUESTIONS AND ANSWERS ABOUT THE PROXY MATERIALS AND THE ANNUAL MEETING</w:t>
      </w:r>
    </w:p>
    <w:p>
      <w:pPr>
        <w:pStyle w:val="TextBody"/>
        <w:bidi w:val="0"/>
        <w:spacing w:before="240" w:after="283"/>
        <w:jc w:val="left"/>
        <w:rPr/>
      </w:pPr>
      <w:r>
        <w:rPr/>
        <w:t> </w:t>
      </w:r>
    </w:p>
    <w:p>
      <w:pPr>
        <w:pStyle w:val="TextBody"/>
        <w:bidi w:val="0"/>
        <w:spacing w:before="240" w:after="283"/>
        <w:jc w:val="left"/>
        <w:rPr>
          <w:rFonts w:ascii="Arial" w:hAnsi="Arial"/>
          <w:b/>
          <w:color w:val="000000"/>
          <w:sz w:val="20"/>
          <w:u w:val="single"/>
        </w:rPr>
      </w:pPr>
      <w:r>
        <w:rPr>
          <w:rFonts w:ascii="Arial" w:hAnsi="Arial"/>
          <w:b/>
          <w:color w:val="000000"/>
          <w:sz w:val="20"/>
          <w:u w:val="single"/>
        </w:rPr>
        <w:t>Pre-Registering for and Attending the Annual Meeting</w:t>
      </w:r>
    </w:p>
    <w:p>
      <w:pPr>
        <w:pStyle w:val="TextBody"/>
        <w:bidi w:val="0"/>
        <w:spacing w:before="240" w:after="283"/>
        <w:jc w:val="left"/>
        <w:rPr>
          <w:rFonts w:ascii="Arial" w:hAnsi="Arial"/>
          <w:b/>
          <w:i/>
          <w:color w:val="000000"/>
          <w:sz w:val="20"/>
        </w:rPr>
      </w:pPr>
      <w:r>
        <w:rPr>
          <w:rFonts w:ascii="Arial" w:hAnsi="Arial"/>
          <w:b/>
          <w:i/>
          <w:color w:val="000000"/>
          <w:sz w:val="20"/>
        </w:rPr>
        <w:t>How do I pre-register for the Annual Meeting?</w:t>
      </w:r>
    </w:p>
    <w:p>
      <w:pPr>
        <w:pStyle w:val="TextBody"/>
        <w:bidi w:val="0"/>
        <w:spacing w:before="240" w:after="283"/>
        <w:jc w:val="left"/>
        <w:rPr>
          <w:rFonts w:ascii="Arial" w:hAnsi="Arial"/>
          <w:color w:val="000000"/>
          <w:sz w:val="20"/>
        </w:rPr>
      </w:pPr>
      <w:r>
        <w:rPr>
          <w:rFonts w:ascii="Arial" w:hAnsi="Arial"/>
          <w:color w:val="000000"/>
          <w:sz w:val="20"/>
        </w:rPr>
        <w:t>In order to attend the Annual Meeting, you must pre-register at www.cesonlineservices.com/gco26_vm by 10 a.m. Central Time on July 20, 2026. To pre-register for the meeting, please follow these instructions:</w:t>
      </w:r>
    </w:p>
    <w:p>
      <w:pPr>
        <w:pStyle w:val="TextBody"/>
        <w:bidi w:val="0"/>
        <w:spacing w:before="240" w:after="283"/>
        <w:jc w:val="left"/>
        <w:rPr>
          <w:rFonts w:ascii="Arial" w:hAnsi="Arial"/>
          <w:i/>
          <w:color w:val="000000"/>
          <w:sz w:val="20"/>
        </w:rPr>
      </w:pPr>
      <w:r>
        <w:rPr>
          <w:rFonts w:ascii="Arial" w:hAnsi="Arial"/>
          <w:i/>
          <w:color w:val="000000"/>
          <w:sz w:val="20"/>
        </w:rPr>
        <w:t>Registered Shareholders</w:t>
      </w:r>
    </w:p>
    <w:p>
      <w:pPr>
        <w:pStyle w:val="TextBody"/>
        <w:bidi w:val="0"/>
        <w:spacing w:before="240" w:after="283"/>
        <w:jc w:val="left"/>
        <w:rPr>
          <w:rFonts w:ascii="Times New Roman" w:hAnsi="Times New Roman"/>
          <w:sz w:val="20"/>
        </w:rPr>
      </w:pPr>
      <w:r>
        <w:rPr>
          <w:rFonts w:ascii="Arial" w:hAnsi="Arial"/>
          <w:color w:val="000000"/>
          <w:sz w:val="20"/>
        </w:rPr>
        <w:t xml:space="preserve">Shareholders of record as of June 11, 2026 may register to participate in the Annual Meeting by visiting the website www.cesonlineservices.com/gco26_vm. Please have your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proxy card containing your control number available and follow the instructions to complete your registration request. After registering, shareholders will receive a confirmation email with a link and instructions for accessing the Annual Meeting. Requests to register to participate in the Annual Meeting must be received no later than 10 a.m. Central Time on July 20, 2026.</w:t>
      </w:r>
    </w:p>
    <w:p>
      <w:pPr>
        <w:pStyle w:val="TextBody"/>
        <w:bidi w:val="0"/>
        <w:spacing w:before="240" w:after="283"/>
        <w:jc w:val="left"/>
        <w:rPr>
          <w:rFonts w:ascii="Times New Roman" w:hAnsi="Times New Roman"/>
          <w:sz w:val="20"/>
        </w:rPr>
      </w:pPr>
      <w:r>
        <w:rPr>
          <w:rFonts w:ascii="Arial" w:hAnsi="Arial"/>
          <w:color w:val="000000"/>
          <w:sz w:val="20"/>
        </w:rPr>
        <w:t xml:space="preserve">If you do not have your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proxy card, you may still register to attend the Annual Meeting by accessing www.cesonlineservices.com/gco26_vm, but you will need to provide proof of ownership of shares of our common stock or Employees’ Subordinated Convertible Preferred Stock as of June 11, 2026 during the registration process. Such proof of ownership may include your proxy card or a statement showing your ownership as of June 11, 2026.</w:t>
      </w:r>
    </w:p>
    <w:p>
      <w:pPr>
        <w:pStyle w:val="TextBody"/>
        <w:bidi w:val="0"/>
        <w:spacing w:before="240" w:after="283"/>
        <w:jc w:val="left"/>
        <w:rPr>
          <w:rFonts w:ascii="Arial" w:hAnsi="Arial"/>
          <w:i/>
          <w:color w:val="000000"/>
          <w:sz w:val="20"/>
        </w:rPr>
      </w:pPr>
      <w:r>
        <w:rPr>
          <w:rFonts w:ascii="Arial" w:hAnsi="Arial"/>
          <w:i/>
          <w:color w:val="000000"/>
          <w:sz w:val="20"/>
        </w:rPr>
        <w:t>Beneficial Shareholders</w:t>
      </w:r>
    </w:p>
    <w:p>
      <w:pPr>
        <w:pStyle w:val="TextBody"/>
        <w:bidi w:val="0"/>
        <w:spacing w:before="240" w:after="283"/>
        <w:jc w:val="left"/>
        <w:rPr>
          <w:rFonts w:ascii="Arial" w:hAnsi="Arial"/>
          <w:color w:val="000000"/>
          <w:sz w:val="20"/>
        </w:rPr>
      </w:pPr>
      <w:r>
        <w:rPr>
          <w:rFonts w:ascii="Arial" w:hAnsi="Arial"/>
          <w:color w:val="000000"/>
          <w:sz w:val="20"/>
        </w:rPr>
        <w:t>Shareholders whose shares are held through a broker, bank or other nominee as of June 11, 2026 may register to participate in the Annual Meeting by visiting the website www.cesonlineservices.com/gco26_vm.</w:t>
      </w:r>
    </w:p>
    <w:p>
      <w:pPr>
        <w:pStyle w:val="TextBody"/>
        <w:bidi w:val="0"/>
        <w:spacing w:before="240" w:after="283"/>
        <w:jc w:val="left"/>
        <w:rPr>
          <w:rFonts w:ascii="Times New Roman" w:hAnsi="Times New Roman"/>
          <w:sz w:val="20"/>
        </w:rPr>
      </w:pPr>
      <w:r>
        <w:rPr>
          <w:rFonts w:ascii="Arial" w:hAnsi="Arial"/>
          <w:color w:val="000000"/>
          <w:sz w:val="20"/>
        </w:rPr>
        <w:t xml:space="preserve">Please have your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voting instruction form containing your control number available and follow the instructions to complete your registration request. After registering, shareholders will receive a confirmation email with a link and instructions for accessing the Annual Meeting. Requests to register to participate in the Annual Meeting must be received no later than 10 a.m. Central Time on July 20, 2026.</w:t>
      </w:r>
    </w:p>
    <w:p>
      <w:pPr>
        <w:pStyle w:val="TextBody"/>
        <w:bidi w:val="0"/>
        <w:spacing w:before="240" w:after="283"/>
        <w:jc w:val="left"/>
        <w:rPr>
          <w:rFonts w:ascii="Arial" w:hAnsi="Arial"/>
          <w:i/>
          <w:color w:val="000000"/>
          <w:sz w:val="20"/>
        </w:rPr>
      </w:pPr>
      <w:r>
        <w:rPr>
          <w:rFonts w:ascii="Arial" w:hAnsi="Arial"/>
          <w:i/>
          <w:color w:val="000000"/>
          <w:sz w:val="20"/>
        </w:rPr>
        <w:t>Questions on How to Pre-Register</w:t>
      </w:r>
    </w:p>
    <w:p>
      <w:pPr>
        <w:pStyle w:val="TextBody"/>
        <w:bidi w:val="0"/>
        <w:spacing w:before="240" w:after="283"/>
        <w:jc w:val="left"/>
        <w:rPr>
          <w:rFonts w:ascii="Arial" w:hAnsi="Arial"/>
          <w:color w:val="000000"/>
          <w:sz w:val="20"/>
        </w:rPr>
      </w:pPr>
      <w:r>
        <w:rPr>
          <w:rFonts w:ascii="Arial" w:hAnsi="Arial"/>
          <w:color w:val="000000"/>
          <w:sz w:val="20"/>
        </w:rPr>
        <w:t>If you have any questions or require any assistance with pre-registering, please contact the Company’s proxy solicitor, Innisfree M&amp;A Incorporated (“Innisfree”) at (877) 750-2689 (toll-free from the U.S. and Canada), or +1 (412) 232-3651 (from other countries).</w:t>
      </w:r>
    </w:p>
    <w:p>
      <w:pPr>
        <w:pStyle w:val="TextBody"/>
        <w:bidi w:val="0"/>
        <w:spacing w:before="240" w:after="283"/>
        <w:jc w:val="left"/>
        <w:rPr>
          <w:rFonts w:ascii="Arial" w:hAnsi="Arial"/>
          <w:b/>
          <w:i/>
          <w:color w:val="000000"/>
          <w:sz w:val="20"/>
        </w:rPr>
      </w:pPr>
      <w:r>
        <w:rPr>
          <w:rFonts w:ascii="Arial" w:hAnsi="Arial"/>
          <w:b/>
          <w:i/>
          <w:color w:val="000000"/>
          <w:sz w:val="20"/>
        </w:rPr>
        <w:t>How do I attend the Annual Meeting?</w:t>
      </w:r>
    </w:p>
    <w:p>
      <w:pPr>
        <w:pStyle w:val="TextBody"/>
        <w:bidi w:val="0"/>
        <w:spacing w:before="240" w:after="283"/>
        <w:jc w:val="left"/>
        <w:rPr>
          <w:rFonts w:ascii="Arial" w:hAnsi="Arial"/>
          <w:color w:val="000000"/>
          <w:sz w:val="20"/>
        </w:rPr>
      </w:pPr>
      <w:r>
        <w:rPr>
          <w:rFonts w:ascii="Arial" w:hAnsi="Arial"/>
          <w:color w:val="000000"/>
          <w:sz w:val="20"/>
        </w:rPr>
        <w:t>After you register, Corporate Election Services (“CES”) will send you a reminder email prior to the Annual Meeting with a link and instructions for entering the Annual Meeting. The reminder email will contain contact information for technical support or any other questions on how to participate in the Annual Meeting.</w:t>
      </w:r>
    </w:p>
    <w:p>
      <w:pPr>
        <w:pStyle w:val="TextBody"/>
        <w:bidi w:val="0"/>
        <w:spacing w:before="240" w:after="283"/>
        <w:jc w:val="left"/>
        <w:rPr>
          <w:rFonts w:ascii="Times New Roman" w:hAnsi="Times New Roman"/>
          <w:sz w:val="20"/>
        </w:rPr>
      </w:pPr>
      <w:r>
        <w:rPr>
          <w:rFonts w:ascii="Arial" w:hAnsi="Arial"/>
          <w:color w:val="000000"/>
          <w:sz w:val="20"/>
        </w:rPr>
        <w:t>Although the Annual Meeting webcast will begin at 10 a.m. Central Time on July 21, 2026, we encourage you to access the Annual Meeting site prior to the start time to allow ample time to log into the Annual Meeting webcast and test your computer system. Participants should ensure that they have a reliable Internet connection wherever they intend to participate in the Annual Meeting. Accordingly, the Annual Meeting site will first be accessible to</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registered shareholders beginning at 9:30 a.m. Central Time on the day of the Annual Meeting. Please be sure to check in by 9:30 a.m. Central Time on July 21, 2026, the day of the Annual Meeting, so we may address any technical difficulties before the Annual Meeting live webcast begins.</w:t>
      </w:r>
    </w:p>
    <w:p>
      <w:pPr>
        <w:pStyle w:val="TextBody"/>
        <w:bidi w:val="0"/>
        <w:spacing w:before="240" w:after="283"/>
        <w:jc w:val="left"/>
        <w:rPr>
          <w:rFonts w:ascii="Arial" w:hAnsi="Arial"/>
          <w:b/>
          <w:i/>
          <w:color w:val="000000"/>
          <w:sz w:val="20"/>
        </w:rPr>
      </w:pPr>
      <w:r>
        <w:rPr>
          <w:rFonts w:ascii="Arial" w:hAnsi="Arial"/>
          <w:b/>
          <w:i/>
          <w:color w:val="000000"/>
          <w:sz w:val="20"/>
        </w:rPr>
        <w:t>Can I ask questions at the Annual Meeting?</w:t>
      </w:r>
    </w:p>
    <w:p>
      <w:pPr>
        <w:pStyle w:val="TextBody"/>
        <w:bidi w:val="0"/>
        <w:spacing w:before="240" w:after="283"/>
        <w:jc w:val="left"/>
        <w:rPr>
          <w:rFonts w:ascii="Arial" w:hAnsi="Arial"/>
          <w:color w:val="000000"/>
          <w:sz w:val="20"/>
        </w:rPr>
      </w:pPr>
      <w:r>
        <w:rPr>
          <w:rFonts w:ascii="Arial" w:hAnsi="Arial"/>
          <w:color w:val="000000"/>
          <w:sz w:val="20"/>
        </w:rPr>
        <w:t>Shareholders as of the close of business on June 11, 2026 who register, attend and participate in the Annual Meeting will have an opportunity to submit questions live via the Internet during a designated portion of the Annual Meeting. These shareholders may also submit a question in advance of the Annual Meeting by registering at www.cesonlineservices.com/gco26_vm and submitting a question via email to</w:t>
        <w:br/>
        <w:t>GCORegister@Proxy-Agent.com.</w:t>
      </w:r>
    </w:p>
    <w:p>
      <w:pPr>
        <w:pStyle w:val="TextBody"/>
        <w:bidi w:val="0"/>
        <w:spacing w:before="240" w:after="283"/>
        <w:jc w:val="left"/>
        <w:rPr>
          <w:rFonts w:ascii="Arial" w:hAnsi="Arial"/>
          <w:b/>
          <w:i/>
          <w:color w:val="000000"/>
          <w:sz w:val="20"/>
        </w:rPr>
      </w:pPr>
      <w:r>
        <w:rPr>
          <w:rFonts w:ascii="Arial" w:hAnsi="Arial"/>
          <w:b/>
          <w:i/>
          <w:color w:val="000000"/>
          <w:sz w:val="20"/>
        </w:rPr>
        <w:t>Will a list of shareholders of record be available?</w:t>
      </w:r>
    </w:p>
    <w:p>
      <w:pPr>
        <w:pStyle w:val="TextBody"/>
        <w:bidi w:val="0"/>
        <w:spacing w:before="240" w:after="283"/>
        <w:jc w:val="left"/>
        <w:rPr>
          <w:rFonts w:ascii="Times New Roman" w:hAnsi="Times New Roman"/>
          <w:sz w:val="20"/>
        </w:rPr>
      </w:pPr>
      <w:r>
        <w:rPr>
          <w:rFonts w:ascii="Arial" w:hAnsi="Arial"/>
          <w:color w:val="000000"/>
          <w:sz w:val="20"/>
        </w:rPr>
        <w:t xml:space="preserve">We will make available a list of shareholders of record as of the close of business of June 11, 2026 for inspection by shareholders for any proper purpose from June 17, 2026 through July 21, 2026 at our headquarters located at 535 Marriott Drive, Nashville, Tennessee 37214. If you wish to inspect the list, please submit your request, along with proof of ownership, by email to </w:t>
      </w:r>
      <w:r>
        <w:rPr>
          <w:rFonts w:ascii="Arial" w:hAnsi="Arial"/>
          <w:color w:val="0000FF"/>
          <w:sz w:val="20"/>
          <w:u w:val="single"/>
        </w:rPr>
        <w:t>shareholderlist@genesco.com</w:t>
      </w:r>
      <w:r>
        <w:rPr>
          <w:rFonts w:ascii="Arial" w:hAnsi="Arial"/>
          <w:color w:val="000000"/>
          <w:sz w:val="20"/>
        </w:rPr>
        <w:t>. The list will also be available electronically to shareholders of record on the meeting website during the live webcast of the Annual Meeting.</w:t>
      </w:r>
    </w:p>
    <w:p>
      <w:pPr>
        <w:pStyle w:val="TextBody"/>
        <w:bidi w:val="0"/>
        <w:spacing w:before="240" w:after="283"/>
        <w:jc w:val="left"/>
        <w:rPr>
          <w:rFonts w:ascii="Arial" w:hAnsi="Arial"/>
          <w:b/>
          <w:color w:val="000000"/>
          <w:sz w:val="20"/>
          <w:u w:val="single"/>
        </w:rPr>
      </w:pPr>
      <w:r>
        <w:rPr>
          <w:rFonts w:ascii="Arial" w:hAnsi="Arial"/>
          <w:b/>
          <w:color w:val="000000"/>
          <w:sz w:val="20"/>
          <w:u w:val="single"/>
        </w:rPr>
        <w:t>Proxy Materials and Voting</w:t>
      </w:r>
    </w:p>
    <w:p>
      <w:pPr>
        <w:pStyle w:val="TextBody"/>
        <w:bidi w:val="0"/>
        <w:spacing w:before="240" w:after="283"/>
        <w:jc w:val="left"/>
        <w:rPr>
          <w:rFonts w:ascii="Arial" w:hAnsi="Arial"/>
          <w:b/>
          <w:i/>
          <w:color w:val="000000"/>
          <w:sz w:val="20"/>
        </w:rPr>
      </w:pPr>
      <w:r>
        <w:rPr>
          <w:rFonts w:ascii="Arial" w:hAnsi="Arial"/>
          <w:b/>
          <w:i/>
          <w:color w:val="000000"/>
          <w:sz w:val="20"/>
        </w:rPr>
        <w:t>What is included in these proxy materials and why am I receiving these proxy materials?</w:t>
      </w:r>
    </w:p>
    <w:p>
      <w:pPr>
        <w:pStyle w:val="TextBody"/>
        <w:bidi w:val="0"/>
        <w:spacing w:before="240" w:after="283"/>
        <w:jc w:val="left"/>
        <w:rPr>
          <w:rFonts w:ascii="Times New Roman" w:hAnsi="Times New Roman"/>
          <w:sz w:val="20"/>
        </w:rPr>
      </w:pPr>
      <w:r>
        <w:rPr>
          <w:rFonts w:ascii="Arial" w:hAnsi="Arial"/>
          <w:color w:val="000000"/>
          <w:sz w:val="20"/>
        </w:rPr>
        <w:t xml:space="preserve">Our Board is soliciting proxies for our Annual Meeting. You are receiving these proxy materials, which include the Notice of Annual Meeting of Shareholders, this Proxy Statement, the enclosed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proxy card and the annual report, because you owned shares of our common stock and/or Employees’ Subordinated Convertible Preferred</w:t>
        <w:br/>
        <w:t>Stock as of the close of business on June 11, 2026. These proxy materials are first being sent on or about June 15, 2026 to shareholders of record as of June 11, 2026.</w:t>
      </w:r>
    </w:p>
    <w:p>
      <w:pPr>
        <w:pStyle w:val="TextBody"/>
        <w:bidi w:val="0"/>
        <w:spacing w:before="240" w:after="283"/>
        <w:jc w:val="left"/>
        <w:rPr>
          <w:rFonts w:ascii="Times New Roman" w:hAnsi="Times New Roman"/>
          <w:sz w:val="20"/>
        </w:rPr>
      </w:pPr>
      <w:r>
        <w:rPr>
          <w:rFonts w:ascii="Arial" w:hAnsi="Arial"/>
          <w:color w:val="000000"/>
          <w:sz w:val="20"/>
        </w:rPr>
        <w:t xml:space="preserve">You are invited to attend the Annual Meeting and we request that you vote on the proposals described in this Proxy Statement. Whether or not you plan to attend the Annual Meeting, we urge you to promptly sign, date and return the enclosed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 xml:space="preserve">proxy card in the postage-paid envelope provided, or vote via the Internet or by telephone as instructed on the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proxy card.</w:t>
      </w:r>
      <w:r>
        <w:rPr>
          <w:rFonts w:ascii="Times New Roman" w:hAnsi="Times New Roman"/>
          <w:color w:val="000000"/>
          <w:sz w:val="20"/>
        </w:rPr>
        <w:t xml:space="preserve"> </w:t>
      </w:r>
    </w:p>
    <w:p>
      <w:pPr>
        <w:pStyle w:val="TextBody"/>
        <w:bidi w:val="0"/>
        <w:spacing w:before="240" w:after="283"/>
        <w:jc w:val="left"/>
        <w:rPr>
          <w:rFonts w:ascii="Arial" w:hAnsi="Arial"/>
          <w:b/>
          <w:i/>
          <w:color w:val="000000"/>
          <w:sz w:val="20"/>
        </w:rPr>
      </w:pPr>
      <w:r>
        <w:rPr>
          <w:rFonts w:ascii="Arial" w:hAnsi="Arial"/>
          <w:b/>
          <w:i/>
          <w:color w:val="000000"/>
          <w:sz w:val="20"/>
        </w:rPr>
        <w:t>What is a proxy?</w:t>
      </w:r>
    </w:p>
    <w:p>
      <w:pPr>
        <w:pStyle w:val="TextBody"/>
        <w:bidi w:val="0"/>
        <w:spacing w:before="240" w:after="283"/>
        <w:jc w:val="left"/>
        <w:rPr>
          <w:rFonts w:ascii="Times New Roman" w:hAnsi="Times New Roman"/>
          <w:sz w:val="20"/>
        </w:rPr>
      </w:pPr>
      <w:r>
        <w:rPr>
          <w:rFonts w:ascii="Arial" w:hAnsi="Arial"/>
          <w:color w:val="000000"/>
          <w:sz w:val="20"/>
        </w:rPr>
        <w:t xml:space="preserve">A proxy is your legal designation of another person to vote the shares you own. The person you designate is called a proxy. If you designate someone as your proxy in a written document, that document is also called a proxy or a proxy card. By submitting your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 xml:space="preserve">proxy card (either by voting electronically on the Internet or by telephone according to the instructions contained in the enclosed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 xml:space="preserve">proxy card or by signing and returning the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proxy card), you authorize the</w:t>
      </w:r>
      <w:r>
        <w:rPr>
          <w:rFonts w:ascii="Times New Roman" w:hAnsi="Times New Roman"/>
          <w:color w:val="000000"/>
          <w:sz w:val="20"/>
        </w:rPr>
        <w:t xml:space="preserve"> </w:t>
      </w:r>
      <w:r>
        <w:rPr>
          <w:rFonts w:ascii="Arial" w:hAnsi="Arial"/>
          <w:color w:val="000000"/>
          <w:sz w:val="20"/>
        </w:rPr>
        <w:t xml:space="preserve">persons named on the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proxy card to represent you and vote your shares at the meeting in accordance with your instructions. They also may vote your shares to adjourn the meeting and will be authorized to vote your shares at any postponements or adjournments of the meeting.</w:t>
      </w:r>
    </w:p>
    <w:p>
      <w:pPr>
        <w:pStyle w:val="TextBody"/>
        <w:bidi w:val="0"/>
        <w:spacing w:before="240" w:after="283"/>
        <w:jc w:val="left"/>
        <w:rPr>
          <w:rFonts w:ascii="Arial" w:hAnsi="Arial"/>
          <w:b/>
          <w:i/>
          <w:color w:val="000000"/>
          <w:sz w:val="20"/>
        </w:rPr>
      </w:pPr>
      <w:r>
        <w:rPr>
          <w:rFonts w:ascii="Arial" w:hAnsi="Arial"/>
          <w:b/>
          <w:i/>
          <w:color w:val="000000"/>
          <w:sz w:val="20"/>
        </w:rPr>
        <w:t>Who is entitled to vote at the Annual Meeting?</w:t>
      </w:r>
    </w:p>
    <w:p>
      <w:pPr>
        <w:pStyle w:val="TextBody"/>
        <w:bidi w:val="0"/>
        <w:spacing w:before="240" w:after="283"/>
        <w:jc w:val="left"/>
        <w:rPr>
          <w:rFonts w:ascii="Times New Roman" w:hAnsi="Times New Roman"/>
          <w:sz w:val="20"/>
        </w:rPr>
      </w:pPr>
      <w:r>
        <w:rPr>
          <w:rFonts w:ascii="Arial" w:hAnsi="Arial"/>
          <w:color w:val="000000"/>
          <w:sz w:val="20"/>
        </w:rPr>
        <w:t>The record date for the meeting is June 11, 2026. Only holders of our common stock and Employees’</w:t>
        <w:br/>
        <w:t>Subordinated Convertible Preferred Stock as of the close of business on the record date are entitled to vote at the</w:t>
        <w:br/>
        <w:t>meeting. Each share of common stock and Employees’ Subordinated Convertible Preferred Stock is entitled to</w:t>
        <w:br/>
        <w:t>one vote for all matters before the meeting. At the close of business on the record date, there were 11,106,973</w:t>
        <w:br/>
      </w:r>
      <w:r>
        <w:rPr>
          <w:rFonts w:ascii="Times New Roman" w:hAnsi="Times New Roman"/>
          <w:color w:val="000000"/>
          <w:sz w:val="20"/>
        </w:rPr>
        <w:t> </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shares of common stock and 28,495 shares of Employees’ Subordinated Convertible Preferred Stock</w:t>
        <w:br/>
        <w:t>outstanding and entitled to vote.</w:t>
      </w:r>
    </w:p>
    <w:p>
      <w:pPr>
        <w:pStyle w:val="TextBody"/>
        <w:bidi w:val="0"/>
        <w:spacing w:before="240" w:after="283"/>
        <w:jc w:val="left"/>
        <w:rPr>
          <w:rFonts w:ascii="Arial" w:hAnsi="Arial"/>
          <w:b/>
          <w:i/>
          <w:color w:val="000000"/>
          <w:sz w:val="20"/>
        </w:rPr>
      </w:pPr>
      <w:r>
        <w:rPr>
          <w:rFonts w:ascii="Arial" w:hAnsi="Arial"/>
          <w:b/>
          <w:i/>
          <w:color w:val="000000"/>
          <w:sz w:val="20"/>
        </w:rPr>
        <w:t>How many votes do I have?</w:t>
      </w:r>
    </w:p>
    <w:p>
      <w:pPr>
        <w:pStyle w:val="TextBody"/>
        <w:bidi w:val="0"/>
        <w:spacing w:before="240" w:after="283"/>
        <w:jc w:val="left"/>
        <w:rPr>
          <w:rFonts w:ascii="Arial" w:hAnsi="Arial"/>
          <w:color w:val="000000"/>
          <w:sz w:val="20"/>
        </w:rPr>
      </w:pPr>
      <w:r>
        <w:rPr>
          <w:rFonts w:ascii="Arial" w:hAnsi="Arial"/>
          <w:color w:val="000000"/>
          <w:sz w:val="20"/>
        </w:rPr>
        <w:t>Each outstanding share of our common stock and Employees’ Subordinated Convertible Preferred Stock you owned as of June 11, 2026 will be entitled to one vote for each matter considered at the Annual Meeting.</w:t>
      </w:r>
    </w:p>
    <w:p>
      <w:pPr>
        <w:pStyle w:val="TextBody"/>
        <w:bidi w:val="0"/>
        <w:spacing w:before="240" w:after="283"/>
        <w:jc w:val="left"/>
        <w:rPr>
          <w:rFonts w:ascii="Arial" w:hAnsi="Arial"/>
          <w:b/>
          <w:i/>
          <w:color w:val="000000"/>
          <w:sz w:val="20"/>
        </w:rPr>
      </w:pPr>
      <w:r>
        <w:rPr>
          <w:rFonts w:ascii="Arial" w:hAnsi="Arial"/>
          <w:b/>
          <w:i/>
          <w:color w:val="000000"/>
          <w:sz w:val="20"/>
        </w:rPr>
        <w:t>What are the proposals to be voted on at the Annual Meeting?</w:t>
      </w:r>
    </w:p>
    <w:p>
      <w:pPr>
        <w:pStyle w:val="TextBody"/>
        <w:bidi w:val="0"/>
        <w:spacing w:before="240" w:after="283"/>
        <w:jc w:val="left"/>
        <w:rPr>
          <w:rFonts w:ascii="Arial" w:hAnsi="Arial"/>
          <w:color w:val="000000"/>
          <w:sz w:val="20"/>
        </w:rPr>
      </w:pPr>
      <w:r>
        <w:rPr>
          <w:rFonts w:ascii="Arial" w:hAnsi="Arial"/>
          <w:color w:val="000000"/>
          <w:sz w:val="20"/>
        </w:rPr>
        <w:t>There are four proposals scheduled to be voted on at the Annual Meeting:</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The election of nine directors to the Board of Directors.</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A non-binding, advisory vote on the Company’s named executive officers’ compensation.</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The approval of the Genesco Inc. Fourth Amended and Restated 2020 Equity Incentive Plan.</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The ratification of the appointment of Deloitte &amp; Touche LLP as independent registered public accounting firm to the Company for the current fiscal year.</w:t>
      </w:r>
    </w:p>
    <w:p>
      <w:pPr>
        <w:pStyle w:val="TextBody"/>
        <w:bidi w:val="0"/>
        <w:spacing w:before="240" w:after="283"/>
        <w:jc w:val="left"/>
        <w:rPr>
          <w:rFonts w:ascii="Times New Roman" w:hAnsi="Times New Roman"/>
          <w:sz w:val="20"/>
        </w:rPr>
      </w:pPr>
      <w:r>
        <w:rPr>
          <w:rFonts w:ascii="Arial" w:hAnsi="Arial"/>
          <w:color w:val="000000"/>
          <w:sz w:val="20"/>
        </w:rPr>
        <w:t>THE BOARD UNANIMOUSLY RECOMMENDS VOTING “</w:t>
      </w:r>
      <w:r>
        <w:rPr>
          <w:rFonts w:ascii="Arial" w:hAnsi="Arial"/>
          <w:b/>
          <w:color w:val="000000"/>
          <w:sz w:val="20"/>
        </w:rPr>
        <w:t>FOR</w:t>
      </w:r>
      <w:r>
        <w:rPr>
          <w:rFonts w:ascii="Times New Roman" w:hAnsi="Times New Roman"/>
          <w:color w:val="000000"/>
          <w:sz w:val="20"/>
        </w:rPr>
        <w:t xml:space="preserve">” </w:t>
      </w:r>
      <w:r>
        <w:rPr>
          <w:rFonts w:ascii="Arial" w:hAnsi="Arial"/>
          <w:color w:val="000000"/>
          <w:sz w:val="20"/>
        </w:rPr>
        <w:t xml:space="preserve">THE ELECTION OF </w:t>
      </w:r>
      <w:r>
        <w:rPr>
          <w:rFonts w:ascii="Arial" w:hAnsi="Arial"/>
          <w:b/>
          <w:color w:val="000000"/>
          <w:sz w:val="20"/>
        </w:rPr>
        <w:t xml:space="preserve">ONLY </w:t>
      </w:r>
      <w:r>
        <w:rPr>
          <w:rFonts w:ascii="Arial" w:hAnsi="Arial"/>
          <w:color w:val="000000"/>
          <w:sz w:val="20"/>
        </w:rPr>
        <w:t>THE NINE DIRECTORS NOMINATED BY THE BOARD AND LISTED IN THIS PROXY STATEMENT UNDER PROPOSAL 1, “</w:t>
      </w:r>
      <w:r>
        <w:rPr>
          <w:rFonts w:ascii="Arial" w:hAnsi="Arial"/>
          <w:b/>
          <w:color w:val="000000"/>
          <w:sz w:val="20"/>
        </w:rPr>
        <w:t>FOR</w:t>
      </w:r>
      <w:r>
        <w:rPr>
          <w:rFonts w:ascii="Times New Roman" w:hAnsi="Times New Roman"/>
          <w:color w:val="000000"/>
          <w:sz w:val="20"/>
        </w:rPr>
        <w:t xml:space="preserve">” </w:t>
      </w:r>
      <w:r>
        <w:rPr>
          <w:rFonts w:ascii="Arial" w:hAnsi="Arial"/>
          <w:color w:val="000000"/>
          <w:sz w:val="20"/>
        </w:rPr>
        <w:t>THE NON-BINDING, ADVISORY VOTE ON THE COMPANY’S NAMED EXECUTIVE OFFICERS’ COMPENSATION UNDER PROPOSAL 2, “</w:t>
      </w:r>
      <w:r>
        <w:rPr>
          <w:rFonts w:ascii="Arial" w:hAnsi="Arial"/>
          <w:b/>
          <w:color w:val="000000"/>
          <w:sz w:val="20"/>
        </w:rPr>
        <w:t>FOR</w:t>
      </w:r>
      <w:r>
        <w:rPr>
          <w:rFonts w:ascii="Times New Roman" w:hAnsi="Times New Roman"/>
          <w:color w:val="000000"/>
          <w:sz w:val="20"/>
        </w:rPr>
        <w:t xml:space="preserve">” </w:t>
      </w:r>
      <w:r>
        <w:rPr>
          <w:rFonts w:ascii="Arial" w:hAnsi="Arial"/>
          <w:color w:val="000000"/>
          <w:sz w:val="20"/>
        </w:rPr>
        <w:t>THE PROPOSAL TO APPROVE THE GENESCO INC. FOURTH AMENDED AND RESTATED 2020 EQUITY INCENTIVE PLAN UNDER PROPOSAL 3 AND “</w:t>
      </w:r>
      <w:r>
        <w:rPr>
          <w:rFonts w:ascii="Arial" w:hAnsi="Arial"/>
          <w:b/>
          <w:color w:val="000000"/>
          <w:sz w:val="20"/>
        </w:rPr>
        <w:t>FOR</w:t>
      </w:r>
      <w:r>
        <w:rPr>
          <w:rFonts w:ascii="Times New Roman" w:hAnsi="Times New Roman"/>
          <w:color w:val="000000"/>
          <w:sz w:val="20"/>
        </w:rPr>
        <w:t xml:space="preserve">” </w:t>
      </w:r>
      <w:r>
        <w:rPr>
          <w:rFonts w:ascii="Arial" w:hAnsi="Arial"/>
          <w:color w:val="000000"/>
          <w:sz w:val="20"/>
        </w:rPr>
        <w:t>THE PROPOSAL TO RATIFY THE APPOINTMENT OF DELOITTE &amp; TOUCHE LLP AS INDEPENDENT REGISTERED PUBLIC ACCOUNTING FIRM TO THE COMPANY FOR THE CURRENT FISCAL YEAR UNDER PROPOSAL 4.</w:t>
      </w:r>
    </w:p>
    <w:p>
      <w:pPr>
        <w:pStyle w:val="TextBody"/>
        <w:bidi w:val="0"/>
        <w:spacing w:before="240" w:after="283"/>
        <w:jc w:val="left"/>
        <w:rPr>
          <w:rFonts w:ascii="Times New Roman" w:hAnsi="Times New Roman"/>
          <w:sz w:val="20"/>
        </w:rPr>
      </w:pPr>
      <w:r>
        <w:rPr>
          <w:rFonts w:ascii="Arial" w:hAnsi="Arial"/>
          <w:b/>
          <w:i/>
          <w:color w:val="000000"/>
          <w:sz w:val="20"/>
        </w:rPr>
        <w:t>Who is Bradley L. Radoff and how is he involved in the Annual Meeting</w:t>
      </w:r>
      <w:r>
        <w:rPr>
          <w:rFonts w:ascii="Arial" w:hAnsi="Arial"/>
          <w:b/>
          <w:color w:val="000000"/>
          <w:sz w:val="20"/>
        </w:rPr>
        <w:t>?</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Mr. Radoff has provided notice to the Company of his intent to nominate a slate of four nominees (the “Radoff Nominees”) for election as directors at the Annual Meeting.</w:t>
      </w:r>
    </w:p>
    <w:p>
      <w:pPr>
        <w:pStyle w:val="TextBody"/>
        <w:bidi w:val="0"/>
        <w:spacing w:before="240" w:after="283"/>
        <w:jc w:val="left"/>
        <w:rPr>
          <w:rFonts w:ascii="Times New Roman" w:hAnsi="Times New Roman"/>
          <w:sz w:val="20"/>
        </w:rPr>
      </w:pPr>
      <w:r>
        <w:rPr>
          <w:rFonts w:ascii="Arial" w:hAnsi="Arial"/>
          <w:b/>
          <w:color w:val="000000"/>
          <w:sz w:val="20"/>
        </w:rPr>
        <w:t xml:space="preserve">Under Securities and Exchange Commission (“SEC”) rules, we are required to use a universal proxy card that includes all nominees for election, including the Radoff Nominees. However, the Board does NOT endorse any of the Radoff Nominees and unanimously recommends that you vote “FOR” the election of ONLY the nine nominees nominated by the Board on the </w:t>
      </w:r>
      <w:r>
        <w:rPr>
          <w:rFonts w:ascii="Arial" w:hAnsi="Arial"/>
          <w:b/>
          <w:color w:val="000000"/>
          <w:sz w:val="20"/>
          <w:u w:val="single"/>
        </w:rPr>
        <w:t>WHITE</w:t>
      </w:r>
      <w:r>
        <w:rPr>
          <w:rFonts w:ascii="Times New Roman" w:hAnsi="Times New Roman"/>
          <w:color w:val="000000"/>
          <w:sz w:val="20"/>
        </w:rPr>
        <w:t xml:space="preserve"> </w:t>
      </w:r>
      <w:r>
        <w:rPr>
          <w:rFonts w:ascii="Arial" w:hAnsi="Arial"/>
          <w:b/>
          <w:color w:val="000000"/>
          <w:sz w:val="20"/>
        </w:rPr>
        <w:t>proxy card.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You may receive opposition proxy solicitation materials from Mr. Radoff. </w:t>
      </w:r>
      <w:r>
        <w:rPr>
          <w:rFonts w:ascii="Arial" w:hAnsi="Arial"/>
          <w:b/>
          <w:color w:val="000000"/>
          <w:sz w:val="20"/>
        </w:rPr>
        <w:t xml:space="preserve">The Board recommends that you disregard any Gold proxy cards you may receive. </w:t>
      </w:r>
      <w:r>
        <w:rPr>
          <w:rFonts w:ascii="Arial" w:hAnsi="Arial"/>
          <w:color w:val="000000"/>
          <w:sz w:val="20"/>
        </w:rPr>
        <w:t xml:space="preserve">We are not responsible for the accuracy of any information provided by or relating to Mr. Radoff and the Radoff Nominees contained in any proxy solicitation materials filed or disseminated by, or on behalf of, Mr. Radoff or any other statements that Mr. Radoff may otherwise make. The Board strongly urges you not to sign or return any Gold proxy card sent to you by Mr. Radoff. If you already have voted using the Gold proxy card provided by Mr. Radoff, you have the right to change your vote by using the enclosed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proxy card to vote by telephone or via the Internet by following the instructions provided on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 xml:space="preserve">card. You may also submit your vote by signing, dating and returning the enclosed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proxy card in the postage-paid envelope provided. Only the latest dated proxy card you submit will be counted.</w:t>
      </w:r>
    </w:p>
    <w:p>
      <w:pPr>
        <w:pStyle w:val="TextBody"/>
        <w:bidi w:val="0"/>
        <w:spacing w:before="240" w:after="283"/>
        <w:jc w:val="left"/>
        <w:rPr>
          <w:rFonts w:ascii="Times New Roman" w:hAnsi="Times New Roman"/>
          <w:sz w:val="20"/>
        </w:rPr>
      </w:pPr>
      <w:r>
        <w:rPr>
          <w:rFonts w:ascii="Arial" w:hAnsi="Arial"/>
          <w:color w:val="000000"/>
          <w:sz w:val="20"/>
        </w:rPr>
        <w:t xml:space="preserve">If you vote “withhold” on the Radoff Nominees using the Gold proxy card provided by Mr. Radoff, your vote will not be counted as a vote for the Board’s nominees, but will result in the revocation of any previous vote you may have cast on the Company’s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 xml:space="preserve">proxy card. If you wish to vote pursuant to the recommendation of the Board, you should disregard any Gold proxy card that you receive and vote the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proxy card.</w:t>
      </w:r>
    </w:p>
    <w:p>
      <w:pPr>
        <w:pStyle w:val="TextBody"/>
        <w:bidi w:val="0"/>
        <w:spacing w:before="240" w:after="283"/>
        <w:jc w:val="left"/>
        <w:rPr>
          <w:rFonts w:ascii="Times New Roman" w:hAnsi="Times New Roman"/>
          <w:sz w:val="20"/>
        </w:rPr>
      </w:pPr>
      <w:r>
        <w:rPr>
          <w:rFonts w:ascii="Arial" w:hAnsi="Arial"/>
          <w:b/>
          <w:i/>
          <w:color w:val="000000"/>
          <w:sz w:val="20"/>
        </w:rPr>
        <w:t xml:space="preserve">How will shares be voted by the </w:t>
      </w:r>
      <w:r>
        <w:rPr>
          <w:rFonts w:ascii="Arial" w:hAnsi="Arial"/>
          <w:b/>
          <w:i/>
          <w:color w:val="000000"/>
          <w:sz w:val="20"/>
          <w:u w:val="single"/>
        </w:rPr>
        <w:t>WHITE</w:t>
      </w:r>
      <w:r>
        <w:rPr>
          <w:rFonts w:ascii="Times New Roman" w:hAnsi="Times New Roman"/>
          <w:color w:val="000000"/>
          <w:sz w:val="20"/>
        </w:rPr>
        <w:t xml:space="preserve"> </w:t>
      </w:r>
      <w:r>
        <w:rPr>
          <w:rFonts w:ascii="Arial" w:hAnsi="Arial"/>
          <w:b/>
          <w:i/>
          <w:color w:val="000000"/>
          <w:sz w:val="20"/>
        </w:rPr>
        <w:t>proxy card?</w:t>
      </w:r>
    </w:p>
    <w:p>
      <w:pPr>
        <w:pStyle w:val="TextBody"/>
        <w:bidi w:val="0"/>
        <w:spacing w:before="240" w:after="283"/>
        <w:jc w:val="left"/>
        <w:rPr>
          <w:rFonts w:ascii="Times New Roman" w:hAnsi="Times New Roman"/>
          <w:sz w:val="20"/>
        </w:rPr>
      </w:pPr>
      <w:r>
        <w:rPr>
          <w:rFonts w:ascii="Arial" w:hAnsi="Arial"/>
          <w:color w:val="000000"/>
          <w:sz w:val="20"/>
        </w:rPr>
        <w:t xml:space="preserve">All valid proxies will be voted as the Board unanimously recommends (i.e., “FOR” the election of </w:t>
      </w:r>
      <w:r>
        <w:rPr>
          <w:rFonts w:ascii="Arial" w:hAnsi="Arial"/>
          <w:b/>
          <w:color w:val="000000"/>
          <w:sz w:val="20"/>
        </w:rPr>
        <w:t>ONLY</w:t>
      </w:r>
      <w:r>
        <w:rPr>
          <w:rFonts w:ascii="Times New Roman" w:hAnsi="Times New Roman"/>
          <w:color w:val="000000"/>
          <w:sz w:val="20"/>
        </w:rPr>
        <w:t xml:space="preserve"> </w:t>
      </w:r>
      <w:r>
        <w:rPr>
          <w:rFonts w:ascii="Arial" w:hAnsi="Arial"/>
          <w:color w:val="000000"/>
          <w:sz w:val="20"/>
        </w:rPr>
        <w:t>the nine directors nominated by the Board listed in this proxy statement, “FOR” the non-binding, advisory vote on the Company’s named executive officers’ compensation, “FOR” the proposal to approve the Genesco Inc. Fourth Amended and Restated 2020 Equity Incentive Plan and “FOR” the proposal to ratify the appointment of Deloitte &amp; Touche LLP as independent registered public accounting firm to the Company for the current fiscal year), unless otherwise specified.</w:t>
      </w:r>
    </w:p>
    <w:p>
      <w:pPr>
        <w:pStyle w:val="TextBody"/>
        <w:bidi w:val="0"/>
        <w:spacing w:before="240" w:after="283"/>
        <w:jc w:val="left"/>
        <w:rPr>
          <w:rFonts w:ascii="Arial" w:hAnsi="Arial"/>
          <w:b/>
          <w:i/>
          <w:color w:val="000000"/>
          <w:sz w:val="20"/>
        </w:rPr>
      </w:pPr>
      <w:r>
        <w:rPr>
          <w:rFonts w:ascii="Arial" w:hAnsi="Arial"/>
          <w:b/>
          <w:i/>
          <w:color w:val="000000"/>
          <w:sz w:val="20"/>
        </w:rPr>
        <w:t>How can I change or revoke my proxy?</w:t>
      </w:r>
    </w:p>
    <w:p>
      <w:pPr>
        <w:pStyle w:val="TextBody"/>
        <w:bidi w:val="0"/>
        <w:spacing w:before="240" w:after="283"/>
        <w:jc w:val="left"/>
        <w:rPr>
          <w:rFonts w:ascii="Arial" w:hAnsi="Arial"/>
          <w:color w:val="000000"/>
          <w:sz w:val="20"/>
        </w:rPr>
      </w:pPr>
      <w:r>
        <w:rPr>
          <w:rFonts w:ascii="Arial" w:hAnsi="Arial"/>
          <w:color w:val="000000"/>
          <w:sz w:val="20"/>
        </w:rPr>
        <w:t>A shareholder may change a proxy by executing and delivering a later-dated proxy, by casting a new vote by telephone or the Internet or by attending the virtual Annual Meeting and voting the shares the proxy represents at the Annual Meeting.</w:t>
      </w:r>
    </w:p>
    <w:p>
      <w:pPr>
        <w:pStyle w:val="TextBody"/>
        <w:bidi w:val="0"/>
        <w:spacing w:before="240" w:after="283"/>
        <w:jc w:val="left"/>
        <w:rPr>
          <w:rFonts w:ascii="Arial" w:hAnsi="Arial"/>
          <w:color w:val="000000"/>
          <w:sz w:val="20"/>
        </w:rPr>
      </w:pPr>
      <w:r>
        <w:rPr>
          <w:rFonts w:ascii="Arial" w:hAnsi="Arial"/>
          <w:color w:val="000000"/>
          <w:sz w:val="20"/>
        </w:rPr>
        <w:t>A shareholder may revoke a proxy before the proxy is voted at the Annual Meeting by giving written notice of revocation to the Secretary of the Company, or by changing the proxy by any of the means above.</w:t>
      </w:r>
    </w:p>
    <w:p>
      <w:pPr>
        <w:pStyle w:val="TextBody"/>
        <w:bidi w:val="0"/>
        <w:spacing w:before="240" w:after="283"/>
        <w:jc w:val="left"/>
        <w:rPr>
          <w:rFonts w:ascii="Arial" w:hAnsi="Arial"/>
          <w:b/>
          <w:i/>
          <w:color w:val="000000"/>
          <w:sz w:val="20"/>
        </w:rPr>
      </w:pPr>
      <w:r>
        <w:rPr>
          <w:rFonts w:ascii="Arial" w:hAnsi="Arial"/>
          <w:b/>
          <w:i/>
          <w:color w:val="000000"/>
          <w:sz w:val="20"/>
        </w:rPr>
        <w:t>Could other matters be decided at the Annual Meeting?</w:t>
      </w:r>
    </w:p>
    <w:p>
      <w:pPr>
        <w:pStyle w:val="TextBody"/>
        <w:bidi w:val="0"/>
        <w:spacing w:before="240" w:after="283"/>
        <w:jc w:val="left"/>
        <w:rPr>
          <w:rFonts w:ascii="Times New Roman" w:hAnsi="Times New Roman"/>
          <w:sz w:val="20"/>
        </w:rPr>
      </w:pPr>
      <w:r>
        <w:rPr>
          <w:rFonts w:ascii="Arial" w:hAnsi="Arial"/>
          <w:color w:val="000000"/>
          <w:sz w:val="20"/>
        </w:rPr>
        <w:t xml:space="preserve">Under our governing documents, no other business may be raised by shareholders at the Annual Meeting unless proper and timely notice has been given to us by the shareholders seeking to bring such business before the Annual Meeting. As of the date of this Proxy Statement, the Board knows of no business other than that set forth above to be transacted at the Annual Meeting, but if other matters requiring a vote do arise, it is the intention of the persons named as proxies on the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proxy card, to whom you are granting your proxy and to whom such proxy confers discretionary authority to vote on any unanticipated matters, to vote in accordance with their best judgment on such matters.</w:t>
      </w:r>
    </w:p>
    <w:p>
      <w:pPr>
        <w:pStyle w:val="TextBody"/>
        <w:bidi w:val="0"/>
        <w:spacing w:before="240" w:after="283"/>
        <w:jc w:val="left"/>
        <w:rPr>
          <w:rFonts w:ascii="Arial" w:hAnsi="Arial"/>
          <w:b/>
          <w:i/>
          <w:color w:val="000000"/>
          <w:sz w:val="20"/>
        </w:rPr>
      </w:pPr>
      <w:r>
        <w:rPr>
          <w:rFonts w:ascii="Arial" w:hAnsi="Arial"/>
          <w:b/>
          <w:i/>
          <w:color w:val="000000"/>
          <w:sz w:val="20"/>
        </w:rPr>
        <w:t>Who can I contact with questions about voting?</w:t>
      </w:r>
    </w:p>
    <w:p>
      <w:pPr>
        <w:pStyle w:val="TextBody"/>
        <w:bidi w:val="0"/>
        <w:spacing w:before="240" w:after="283"/>
        <w:jc w:val="left"/>
        <w:rPr>
          <w:rFonts w:ascii="Arial" w:hAnsi="Arial"/>
          <w:b/>
          <w:color w:val="000000"/>
          <w:sz w:val="20"/>
        </w:rPr>
      </w:pPr>
      <w:r>
        <w:rPr>
          <w:rFonts w:ascii="Arial" w:hAnsi="Arial"/>
          <w:b/>
          <w:color w:val="000000"/>
          <w:sz w:val="20"/>
        </w:rPr>
        <w:t>It is extremely important that your shares be represented and voted at the Annual Meeting. If you have any questions or need assistance voting, please call our proxy solicitor, Innisfree at (877) 750-2689 (toll-free from the U.S. and Canada), or +1 (412) 232-3651 (from other countries).</w:t>
      </w:r>
    </w:p>
    <w:p>
      <w:pPr>
        <w:pStyle w:val="TextBody"/>
        <w:bidi w:val="0"/>
        <w:spacing w:before="240" w:after="283"/>
        <w:jc w:val="left"/>
        <w:rPr>
          <w:rFonts w:ascii="Arial" w:hAnsi="Arial"/>
          <w:b/>
          <w:i/>
          <w:color w:val="000000"/>
          <w:sz w:val="20"/>
        </w:rPr>
      </w:pPr>
      <w:r>
        <w:rPr>
          <w:rFonts w:ascii="Arial" w:hAnsi="Arial"/>
          <w:b/>
          <w:i/>
          <w:color w:val="000000"/>
          <w:sz w:val="20"/>
        </w:rPr>
        <w:t>When and how do I vote?</w:t>
      </w:r>
    </w:p>
    <w:p>
      <w:pPr>
        <w:pStyle w:val="TextBody"/>
        <w:bidi w:val="0"/>
        <w:spacing w:before="240" w:after="283"/>
        <w:jc w:val="left"/>
        <w:rPr>
          <w:rFonts w:ascii="Times New Roman" w:hAnsi="Times New Roman"/>
          <w:sz w:val="20"/>
        </w:rPr>
      </w:pPr>
      <w:r>
        <w:rPr>
          <w:rFonts w:ascii="Arial" w:hAnsi="Arial"/>
          <w:b/>
          <w:color w:val="000000"/>
          <w:sz w:val="20"/>
        </w:rPr>
        <w:t xml:space="preserve">Whether or not you plan to attend the Annual Meeting, please vote as soon as possible. We urge you to use the enclosed </w:t>
      </w:r>
      <w:r>
        <w:rPr>
          <w:rFonts w:ascii="Arial" w:hAnsi="Arial"/>
          <w:b/>
          <w:color w:val="000000"/>
          <w:sz w:val="20"/>
          <w:u w:val="single"/>
        </w:rPr>
        <w:t>WHITE</w:t>
      </w:r>
      <w:r>
        <w:rPr>
          <w:rFonts w:ascii="Times New Roman" w:hAnsi="Times New Roman"/>
          <w:color w:val="000000"/>
          <w:sz w:val="20"/>
        </w:rPr>
        <w:t xml:space="preserve"> </w:t>
      </w:r>
      <w:r>
        <w:rPr>
          <w:rFonts w:ascii="Arial" w:hAnsi="Arial"/>
          <w:b/>
          <w:color w:val="000000"/>
          <w:sz w:val="20"/>
        </w:rPr>
        <w:t xml:space="preserve">proxy card to vote by telephone or Internet or to sign, date and return the enclosed </w:t>
      </w:r>
      <w:r>
        <w:rPr>
          <w:rFonts w:ascii="Arial" w:hAnsi="Arial"/>
          <w:b/>
          <w:color w:val="000000"/>
          <w:sz w:val="20"/>
          <w:u w:val="single"/>
        </w:rPr>
        <w:t>WHITE</w:t>
      </w:r>
      <w:r>
        <w:rPr>
          <w:rFonts w:ascii="Times New Roman" w:hAnsi="Times New Roman"/>
          <w:color w:val="000000"/>
          <w:sz w:val="20"/>
        </w:rPr>
        <w:t xml:space="preserve"> </w:t>
      </w:r>
      <w:r>
        <w:rPr>
          <w:rFonts w:ascii="Arial" w:hAnsi="Arial"/>
          <w:b/>
          <w:color w:val="000000"/>
          <w:sz w:val="20"/>
        </w:rPr>
        <w:t xml:space="preserve">proxy card in the postage-paid envelope provided. </w:t>
      </w:r>
      <w:r>
        <w:rPr>
          <w:rFonts w:ascii="Arial" w:hAnsi="Arial"/>
          <w:color w:val="000000"/>
          <w:sz w:val="20"/>
        </w:rPr>
        <w:t>Voting now will not limit your right to change your vote or to attend the Annual Meeting. If you should be present at the Annual Meeting and desire to vote by ballot, that vote will revoke any previously submitted proxy. If your shares are held in the name of a broker, bank or other holder of record (in “street name”), follow the voting instructions you received from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holder of record in order to vote your shares. If your shares are held in street name, you must provide a legal proxy from the holder of record in order to vote by ballot at the Annual Meeting.</w:t>
      </w:r>
    </w:p>
    <w:p>
      <w:pPr>
        <w:pStyle w:val="TextBody"/>
        <w:bidi w:val="0"/>
        <w:spacing w:before="240" w:after="283"/>
        <w:jc w:val="left"/>
        <w:rPr>
          <w:rFonts w:ascii="Arial" w:hAnsi="Arial"/>
          <w:b/>
          <w:i/>
          <w:color w:val="000000"/>
          <w:sz w:val="20"/>
        </w:rPr>
      </w:pPr>
      <w:r>
        <w:rPr>
          <w:rFonts w:ascii="Arial" w:hAnsi="Arial"/>
          <w:b/>
          <w:i/>
          <w:color w:val="000000"/>
          <w:sz w:val="20"/>
        </w:rPr>
        <w:t>What is the deadline for submitting my proxy?</w:t>
      </w:r>
    </w:p>
    <w:p>
      <w:pPr>
        <w:pStyle w:val="TextBody"/>
        <w:bidi w:val="0"/>
        <w:spacing w:before="240" w:after="283"/>
        <w:jc w:val="left"/>
        <w:rPr>
          <w:rFonts w:ascii="Arial" w:hAnsi="Arial"/>
          <w:color w:val="000000"/>
          <w:sz w:val="20"/>
        </w:rPr>
      </w:pPr>
      <w:r>
        <w:rPr>
          <w:rFonts w:ascii="Arial" w:hAnsi="Arial"/>
          <w:color w:val="000000"/>
          <w:sz w:val="20"/>
        </w:rPr>
        <w:t>Deadlines for voting your shares may vary depending on how you hold your shares. Please follow the instructions showing on your WHITE proxy card or voting instruction form to ensure your shares will be represented at the Annual Meeting, timely.</w:t>
      </w:r>
    </w:p>
    <w:p>
      <w:pPr>
        <w:pStyle w:val="TextBody"/>
        <w:bidi w:val="0"/>
        <w:spacing w:before="240" w:after="283"/>
        <w:jc w:val="left"/>
        <w:rPr>
          <w:rFonts w:ascii="Times New Roman" w:hAnsi="Times New Roman"/>
          <w:sz w:val="20"/>
        </w:rPr>
      </w:pPr>
      <w:r>
        <w:rPr>
          <w:rFonts w:ascii="Arial" w:hAnsi="Arial"/>
          <w:b/>
          <w:i/>
          <w:color w:val="000000"/>
          <w:sz w:val="20"/>
        </w:rPr>
        <w:t>Is the Company using a universal proxy card in connection with voting at the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Yes. The SEC has adopted rules requiring the use of a universal proxy card in contested director elections. Although we are required to include all nominees for election on our universal proxy card, the Board</w:t>
      </w:r>
      <w:r>
        <w:rPr>
          <w:rFonts w:ascii="Times New Roman" w:hAnsi="Times New Roman"/>
          <w:color w:val="000000"/>
          <w:sz w:val="20"/>
        </w:rPr>
        <w:t xml:space="preserve"> </w:t>
      </w:r>
      <w:r>
        <w:rPr>
          <w:rFonts w:ascii="Arial" w:hAnsi="Arial"/>
          <w:color w:val="000000"/>
          <w:sz w:val="20"/>
        </w:rPr>
        <w:t xml:space="preserve">does not endorse any of the Radoff Nominees and unanimously recommends shareholders vote </w:t>
      </w:r>
      <w:r>
        <w:rPr>
          <w:rFonts w:ascii="Arial" w:hAnsi="Arial"/>
          <w:b/>
          <w:color w:val="000000"/>
          <w:sz w:val="20"/>
        </w:rPr>
        <w:t>ONLY</w:t>
      </w:r>
      <w:r>
        <w:rPr>
          <w:rFonts w:ascii="Times New Roman" w:hAnsi="Times New Roman"/>
          <w:color w:val="000000"/>
          <w:sz w:val="20"/>
        </w:rPr>
        <w:t xml:space="preserve"> </w:t>
      </w:r>
      <w:r>
        <w:rPr>
          <w:rFonts w:ascii="Arial" w:hAnsi="Arial"/>
          <w:color w:val="000000"/>
          <w:sz w:val="20"/>
        </w:rPr>
        <w:t xml:space="preserve">for the nine nominees nominated by the Board and as the Board recommends on all other proposals, using the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proxy card.</w:t>
      </w:r>
    </w:p>
    <w:p>
      <w:pPr>
        <w:pStyle w:val="TextBody"/>
        <w:bidi w:val="0"/>
        <w:spacing w:before="240" w:after="283"/>
        <w:jc w:val="left"/>
        <w:rPr>
          <w:rFonts w:ascii="Arial" w:hAnsi="Arial"/>
          <w:b/>
          <w:i/>
          <w:color w:val="000000"/>
          <w:sz w:val="20"/>
        </w:rPr>
      </w:pPr>
      <w:r>
        <w:rPr>
          <w:rFonts w:ascii="Arial" w:hAnsi="Arial"/>
          <w:b/>
          <w:i/>
          <w:color w:val="000000"/>
          <w:sz w:val="20"/>
        </w:rPr>
        <w:t>Will my shares be voted if I do nothing, or if I do not vote for some of the proposals listed on my proxy card?</w:t>
      </w:r>
    </w:p>
    <w:p>
      <w:pPr>
        <w:pStyle w:val="TextBody"/>
        <w:bidi w:val="0"/>
        <w:spacing w:before="240" w:after="283"/>
        <w:jc w:val="left"/>
        <w:rPr>
          <w:rFonts w:ascii="Times New Roman" w:hAnsi="Times New Roman"/>
          <w:sz w:val="20"/>
        </w:rPr>
      </w:pPr>
      <w:r>
        <w:rPr>
          <w:rFonts w:ascii="Arial" w:hAnsi="Arial"/>
          <w:color w:val="000000"/>
          <w:sz w:val="20"/>
        </w:rPr>
        <w:t xml:space="preserve">If you are a shareholder of record and you do not provide a proxy or vote your shares at the Annual Meeting, those shares will not be voted. If you submit the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proxy card and do not vote for some of the proposals, your shares will be voted in accordance with the Board’s recommendations on those proposals.</w:t>
      </w:r>
    </w:p>
    <w:p>
      <w:pPr>
        <w:pStyle w:val="TextBody"/>
        <w:bidi w:val="0"/>
        <w:spacing w:before="240" w:after="283"/>
        <w:jc w:val="left"/>
        <w:rPr>
          <w:rFonts w:ascii="Times New Roman" w:hAnsi="Times New Roman"/>
          <w:sz w:val="20"/>
        </w:rPr>
      </w:pPr>
      <w:r>
        <w:rPr>
          <w:rFonts w:ascii="Arial" w:hAnsi="Arial"/>
          <w:color w:val="000000"/>
          <w:sz w:val="20"/>
        </w:rPr>
        <w:t>If you are a shareholder whose shares are held through a broker, bank or other holder of record (in “street name”), you must vote by providing instructions to such holder of record rather than directly to the Company. If you do not instruct such holder of record, then the holder will not be able to vote your shares with respect to Proposal 1, Proposal 2 or Proposal 3, or, to the extent that Mr. Radoff provides you with his proxy materials through your broker, bank or other holder of record, Proposal 4. If Mr. Radoff does not provide you with his proxy materials through your broker, bank or other holder of record, your broker, bank or other holder of record may be able to vote your shares with respect to Proposal 4 without your specific instruction.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We strongly encourage all street name holders to instruct your broker, bank or other holder of record to vote your shares by following the directions shown on the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voting instruction form. Voting your shares will help to ensure that your interests are represented at the meeting.</w:t>
      </w:r>
    </w:p>
    <w:p>
      <w:pPr>
        <w:pStyle w:val="TextBody"/>
        <w:bidi w:val="0"/>
        <w:spacing w:before="240" w:after="283"/>
        <w:jc w:val="left"/>
        <w:rPr>
          <w:rFonts w:ascii="Arial" w:hAnsi="Arial"/>
          <w:b/>
          <w:color w:val="000000"/>
          <w:sz w:val="20"/>
          <w:u w:val="single"/>
        </w:rPr>
      </w:pPr>
      <w:r>
        <w:rPr>
          <w:rFonts w:ascii="Arial" w:hAnsi="Arial"/>
          <w:b/>
          <w:color w:val="000000"/>
          <w:sz w:val="20"/>
          <w:u w:val="single"/>
        </w:rPr>
        <w:t>Quorum and Voting Standards</w:t>
      </w:r>
    </w:p>
    <w:p>
      <w:pPr>
        <w:pStyle w:val="TextBody"/>
        <w:bidi w:val="0"/>
        <w:spacing w:before="240" w:after="283"/>
        <w:jc w:val="left"/>
        <w:rPr>
          <w:rFonts w:ascii="Arial" w:hAnsi="Arial"/>
          <w:b/>
          <w:i/>
          <w:color w:val="000000"/>
          <w:sz w:val="20"/>
        </w:rPr>
      </w:pPr>
      <w:r>
        <w:rPr>
          <w:rFonts w:ascii="Arial" w:hAnsi="Arial"/>
          <w:b/>
          <w:i/>
          <w:color w:val="000000"/>
          <w:sz w:val="20"/>
        </w:rPr>
        <w:t>How many shares must be present to hold the meeting?</w:t>
      </w:r>
    </w:p>
    <w:p>
      <w:pPr>
        <w:pStyle w:val="TextBody"/>
        <w:bidi w:val="0"/>
        <w:spacing w:before="240" w:after="283"/>
        <w:jc w:val="left"/>
        <w:rPr>
          <w:rFonts w:ascii="Times New Roman" w:hAnsi="Times New Roman"/>
          <w:sz w:val="20"/>
        </w:rPr>
      </w:pPr>
      <w:r>
        <w:rPr>
          <w:rFonts w:ascii="Arial" w:hAnsi="Arial"/>
          <w:color w:val="000000"/>
          <w:sz w:val="20"/>
        </w:rPr>
        <w:t>A quorum must be present at the meeting for any business to be conducted. A majority of the votes entitled to be cast on a matter constitutes a quorum for action on that matter. Abstentions will be counted for purposes of</w:t>
        <w:br/>
        <w:t>establishing a quorum. Only to the extent broker non-votes arise in the limited circumstances noted below where a broker exercises discretionary authority with respect to Proposal 4, such broker non-votes will be counted for purposes of calculating whether a quorum is present at the Annual Meeting. Unvoted shares (including a beneficial holder’s shares for which Mr. Radoff has provided his proxy materials to the beneficial holder and such</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beneficial holder does not provide any voting instructions to the broker) will not be counted for the purposes of determining quorum at the Annual Meeting.</w:t>
      </w:r>
    </w:p>
    <w:p>
      <w:pPr>
        <w:pStyle w:val="TextBody"/>
        <w:bidi w:val="0"/>
        <w:spacing w:before="240" w:after="283"/>
        <w:jc w:val="left"/>
        <w:rPr>
          <w:rFonts w:ascii="Arial" w:hAnsi="Arial"/>
          <w:b/>
          <w:i/>
          <w:color w:val="000000"/>
          <w:sz w:val="20"/>
        </w:rPr>
      </w:pPr>
      <w:r>
        <w:rPr>
          <w:rFonts w:ascii="Arial" w:hAnsi="Arial"/>
          <w:b/>
          <w:i/>
          <w:color w:val="000000"/>
          <w:sz w:val="20"/>
        </w:rPr>
        <w:t>What are the votes required to elect each director nominee and approve the other proposals?</w:t>
      </w:r>
    </w:p>
    <w:tbl>
      <w:tblPr>
        <w:tblW w:w="10205" w:type="dxa"/>
        <w:jc w:val="left"/>
        <w:tblInd w:w="0" w:type="dxa"/>
        <w:tblLayout w:type="fixed"/>
        <w:tblCellMar>
          <w:top w:w="28" w:type="dxa"/>
          <w:left w:w="28" w:type="dxa"/>
          <w:bottom w:w="28" w:type="dxa"/>
          <w:right w:w="28" w:type="dxa"/>
        </w:tblCellMar>
      </w:tblPr>
      <w:tblGrid>
        <w:gridCol w:w="2312"/>
        <w:gridCol w:w="146"/>
        <w:gridCol w:w="2496"/>
        <w:gridCol w:w="146"/>
        <w:gridCol w:w="1053"/>
        <w:gridCol w:w="146"/>
        <w:gridCol w:w="1394"/>
        <w:gridCol w:w="146"/>
        <w:gridCol w:w="2366"/>
      </w:tblGrid>
      <w:tr>
        <w:trPr/>
        <w:tc>
          <w:tcPr>
            <w:tcW w:w="2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2312" w:type="dxa"/>
            <w:tcBorders>
              <w:bottom w:val="single" w:sz="4" w:space="0" w:color="0DA3DD"/>
            </w:tcBorders>
            <w:tcMar>
              <w:top w:w="0" w:type="dxa"/>
              <w:left w:w="0" w:type="dxa"/>
              <w:bottom w:w="43" w:type="dxa"/>
              <w:right w:w="0" w:type="dxa"/>
            </w:tcMar>
            <w:vAlign w:val="center"/>
          </w:tcPr>
          <w:p>
            <w:pPr>
              <w:pStyle w:val="TableContents"/>
              <w:bidi w:val="0"/>
              <w:spacing w:before="240" w:after="283"/>
              <w:jc w:val="left"/>
              <w:rPr>
                <w:rFonts w:ascii="Times New Roman" w:hAnsi="Times New Roman"/>
                <w:sz w:val="20"/>
              </w:rPr>
            </w:pPr>
            <w:r>
              <w:rPr>
                <w:rFonts w:ascii="Arial" w:hAnsi="Arial"/>
                <w:b/>
                <w:color w:val="000000"/>
                <w:sz w:val="20"/>
              </w:rPr>
              <w:t>Proposal</w:t>
            </w:r>
            <w:r>
              <w:rPr>
                <w:rFonts w:ascii="Times New Roman" w:hAnsi="Times New Roman"/>
                <w:color w:val="000000"/>
                <w:sz w:val="20"/>
              </w:rPr>
              <w:t xml:space="preserve"> </w:t>
            </w:r>
          </w:p>
        </w:tc>
        <w:tc>
          <w:tcPr>
            <w:tcW w:w="146" w:type="dxa"/>
            <w:tcBorders>
              <w:bottom w:val="single" w:sz="4" w:space="0" w:color="0DA3DD"/>
            </w:tcBorders>
            <w:tcMar>
              <w:top w:w="0" w:type="dxa"/>
              <w:left w:w="0" w:type="dxa"/>
              <w:right w:w="0" w:type="dxa"/>
            </w:tcMar>
            <w:vAlign w:val="center"/>
          </w:tcPr>
          <w:p>
            <w:pPr>
              <w:pStyle w:val="TableContents"/>
              <w:bidi w:val="0"/>
              <w:spacing w:before="240" w:after="283"/>
              <w:jc w:val="left"/>
              <w:rPr/>
            </w:pPr>
            <w:r>
              <w:rPr/>
              <w:t> </w:t>
            </w:r>
          </w:p>
        </w:tc>
        <w:tc>
          <w:tcPr>
            <w:tcW w:w="2496" w:type="dxa"/>
            <w:tcBorders>
              <w:bottom w:val="single" w:sz="4" w:space="0" w:color="0DA3DD"/>
            </w:tcBorders>
            <w:tcMar>
              <w:top w:w="0" w:type="dxa"/>
              <w:left w:w="0" w:type="dxa"/>
              <w:bottom w:w="43" w:type="dxa"/>
              <w:right w:w="0" w:type="dxa"/>
            </w:tcMar>
            <w:vAlign w:val="center"/>
          </w:tcPr>
          <w:p>
            <w:pPr>
              <w:pStyle w:val="TableContents"/>
              <w:bidi w:val="0"/>
              <w:spacing w:before="240" w:after="283"/>
              <w:jc w:val="left"/>
              <w:rPr>
                <w:rFonts w:ascii="Times New Roman" w:hAnsi="Times New Roman"/>
                <w:sz w:val="20"/>
              </w:rPr>
            </w:pPr>
            <w:r>
              <w:rPr>
                <w:rFonts w:ascii="Arial" w:hAnsi="Arial"/>
                <w:b/>
                <w:color w:val="000000"/>
                <w:sz w:val="20"/>
              </w:rPr>
              <w:t>Voting Options and Board</w:t>
              <w:br/>
              <w:t>Recommendation</w:t>
            </w:r>
            <w:r>
              <w:rPr>
                <w:rFonts w:ascii="Times New Roman" w:hAnsi="Times New Roman"/>
                <w:color w:val="000000"/>
                <w:sz w:val="20"/>
              </w:rPr>
              <w:t xml:space="preserve"> </w:t>
            </w:r>
          </w:p>
        </w:tc>
        <w:tc>
          <w:tcPr>
            <w:tcW w:w="146" w:type="dxa"/>
            <w:tcBorders>
              <w:bottom w:val="single" w:sz="4" w:space="0" w:color="0DA3DD"/>
            </w:tcBorders>
            <w:tcMar>
              <w:top w:w="0" w:type="dxa"/>
              <w:left w:w="0" w:type="dxa"/>
              <w:right w:w="0" w:type="dxa"/>
            </w:tcMar>
            <w:vAlign w:val="center"/>
          </w:tcPr>
          <w:p>
            <w:pPr>
              <w:pStyle w:val="TableContents"/>
              <w:bidi w:val="0"/>
              <w:spacing w:before="240" w:after="283"/>
              <w:jc w:val="left"/>
              <w:rPr/>
            </w:pPr>
            <w:r>
              <w:rPr/>
              <w:t> </w:t>
            </w:r>
          </w:p>
        </w:tc>
        <w:tc>
          <w:tcPr>
            <w:tcW w:w="1053" w:type="dxa"/>
            <w:tcBorders>
              <w:bottom w:val="single" w:sz="4" w:space="0" w:color="0DA3DD"/>
            </w:tcBorders>
            <w:tcMar>
              <w:top w:w="0" w:type="dxa"/>
              <w:left w:w="0" w:type="dxa"/>
              <w:bottom w:w="43" w:type="dxa"/>
              <w:right w:w="0" w:type="dxa"/>
            </w:tcMar>
            <w:vAlign w:val="center"/>
          </w:tcPr>
          <w:p>
            <w:pPr>
              <w:pStyle w:val="TableContents"/>
              <w:bidi w:val="0"/>
              <w:spacing w:before="240" w:after="283"/>
              <w:jc w:val="left"/>
              <w:rPr>
                <w:rFonts w:ascii="Times New Roman" w:hAnsi="Times New Roman"/>
                <w:sz w:val="20"/>
              </w:rPr>
            </w:pPr>
            <w:r>
              <w:rPr>
                <w:rFonts w:ascii="Arial" w:hAnsi="Arial"/>
                <w:b/>
                <w:color w:val="000000"/>
                <w:sz w:val="20"/>
              </w:rPr>
              <w:t>Voting Standard</w:t>
            </w:r>
            <w:r>
              <w:rPr>
                <w:rFonts w:ascii="Times New Roman" w:hAnsi="Times New Roman"/>
                <w:color w:val="000000"/>
                <w:sz w:val="20"/>
              </w:rPr>
              <w:t xml:space="preserve"> </w:t>
            </w:r>
          </w:p>
        </w:tc>
        <w:tc>
          <w:tcPr>
            <w:tcW w:w="146" w:type="dxa"/>
            <w:tcBorders>
              <w:bottom w:val="single" w:sz="4" w:space="0" w:color="0DA3DD"/>
            </w:tcBorders>
            <w:tcMar>
              <w:top w:w="0" w:type="dxa"/>
              <w:left w:w="0" w:type="dxa"/>
              <w:right w:w="0" w:type="dxa"/>
            </w:tcMar>
            <w:vAlign w:val="center"/>
          </w:tcPr>
          <w:p>
            <w:pPr>
              <w:pStyle w:val="TableContents"/>
              <w:bidi w:val="0"/>
              <w:spacing w:before="240" w:after="283"/>
              <w:jc w:val="left"/>
              <w:rPr/>
            </w:pPr>
            <w:r>
              <w:rPr/>
              <w:t> </w:t>
            </w:r>
          </w:p>
        </w:tc>
        <w:tc>
          <w:tcPr>
            <w:tcW w:w="1394" w:type="dxa"/>
            <w:tcBorders>
              <w:bottom w:val="single" w:sz="4" w:space="0" w:color="0DA3DD"/>
            </w:tcBorders>
            <w:tcMar>
              <w:top w:w="0" w:type="dxa"/>
              <w:left w:w="0" w:type="dxa"/>
              <w:bottom w:w="43" w:type="dxa"/>
              <w:right w:w="0" w:type="dxa"/>
            </w:tcMar>
            <w:vAlign w:val="center"/>
          </w:tcPr>
          <w:p>
            <w:pPr>
              <w:pStyle w:val="TableContents"/>
              <w:bidi w:val="0"/>
              <w:spacing w:before="240" w:after="283"/>
              <w:jc w:val="left"/>
              <w:rPr>
                <w:rFonts w:ascii="Arial" w:hAnsi="Arial"/>
                <w:b/>
                <w:color w:val="000000"/>
                <w:sz w:val="20"/>
              </w:rPr>
            </w:pPr>
            <w:r>
              <w:rPr>
                <w:rFonts w:ascii="Arial" w:hAnsi="Arial"/>
                <w:b/>
                <w:color w:val="000000"/>
                <w:sz w:val="20"/>
              </w:rPr>
              <w:t>Effect of</w:t>
              <w:br/>
              <w:t>Abstentions</w:t>
            </w:r>
          </w:p>
        </w:tc>
        <w:tc>
          <w:tcPr>
            <w:tcW w:w="146" w:type="dxa"/>
            <w:tcBorders>
              <w:bottom w:val="single" w:sz="4" w:space="0" w:color="0DA3DD"/>
            </w:tcBorders>
            <w:tcMar>
              <w:top w:w="0" w:type="dxa"/>
              <w:left w:w="0" w:type="dxa"/>
              <w:right w:w="0" w:type="dxa"/>
            </w:tcMar>
            <w:vAlign w:val="center"/>
          </w:tcPr>
          <w:p>
            <w:pPr>
              <w:pStyle w:val="TableContents"/>
              <w:bidi w:val="0"/>
              <w:spacing w:before="240" w:after="283"/>
              <w:jc w:val="left"/>
              <w:rPr/>
            </w:pPr>
            <w:r>
              <w:rPr/>
              <w:t> </w:t>
            </w:r>
          </w:p>
        </w:tc>
        <w:tc>
          <w:tcPr>
            <w:tcW w:w="2366" w:type="dxa"/>
            <w:tcBorders>
              <w:bottom w:val="single" w:sz="4" w:space="0" w:color="0DA3DD"/>
            </w:tcBorders>
            <w:tcMar>
              <w:top w:w="0" w:type="dxa"/>
              <w:left w:w="0" w:type="dxa"/>
              <w:bottom w:w="43" w:type="dxa"/>
              <w:right w:w="0" w:type="dxa"/>
            </w:tcMar>
            <w:vAlign w:val="center"/>
          </w:tcPr>
          <w:p>
            <w:pPr>
              <w:pStyle w:val="TableContents"/>
              <w:bidi w:val="0"/>
              <w:spacing w:before="240" w:after="283"/>
              <w:jc w:val="left"/>
              <w:rPr>
                <w:rFonts w:ascii="Times New Roman" w:hAnsi="Times New Roman"/>
                <w:sz w:val="20"/>
              </w:rPr>
            </w:pPr>
            <w:r>
              <w:rPr>
                <w:rFonts w:ascii="Arial" w:hAnsi="Arial"/>
                <w:b/>
                <w:color w:val="000000"/>
                <w:sz w:val="20"/>
              </w:rPr>
              <w:t>Effect of Broker</w:t>
              <w:br/>
              <w:t>Non-Votes</w:t>
            </w:r>
            <w:r>
              <w:rPr>
                <w:rFonts w:ascii="Times New Roman" w:hAnsi="Times New Roman"/>
                <w:color w:val="000000"/>
                <w:sz w:val="20"/>
              </w:rPr>
              <w:t xml:space="preserve"> </w:t>
            </w:r>
          </w:p>
        </w:tc>
      </w:tr>
      <w:tr>
        <w:trPr/>
        <w:tc>
          <w:tcPr>
            <w:tcW w:w="2312" w:type="dxa"/>
            <w:tcBorders>
              <w:bottom w:val="single" w:sz="4" w:space="0" w:color="231F20"/>
            </w:tcBorders>
            <w:tcMar>
              <w:top w:w="0" w:type="dxa"/>
              <w:left w:w="0" w:type="dxa"/>
              <w:right w:w="0" w:type="dxa"/>
            </w:tcMar>
            <w:vAlign w:val="center"/>
          </w:tcPr>
          <w:p>
            <w:pPr>
              <w:pStyle w:val="TableContents"/>
              <w:bidi w:val="0"/>
              <w:spacing w:before="240" w:after="283"/>
              <w:jc w:val="left"/>
              <w:rPr>
                <w:rFonts w:ascii="Arial" w:hAnsi="Arial"/>
                <w:b/>
                <w:color w:val="000000"/>
                <w:sz w:val="20"/>
              </w:rPr>
            </w:pPr>
            <w:r>
              <w:rPr>
                <w:rFonts w:ascii="Arial" w:hAnsi="Arial"/>
                <w:b/>
                <w:color w:val="000000"/>
                <w:sz w:val="20"/>
              </w:rPr>
              <w:t>Proposal 1: Election of 9 Directors to Hold Office until the 2027 Annual Meeting</w:t>
            </w:r>
          </w:p>
        </w:tc>
        <w:tc>
          <w:tcPr>
            <w:tcW w:w="146" w:type="dxa"/>
            <w:tcBorders>
              <w:bottom w:val="single" w:sz="4" w:space="0" w:color="231F20"/>
            </w:tcBorders>
            <w:tcMar>
              <w:top w:w="0" w:type="dxa"/>
              <w:left w:w="0" w:type="dxa"/>
              <w:right w:w="0" w:type="dxa"/>
            </w:tcMar>
            <w:vAlign w:val="center"/>
          </w:tcPr>
          <w:p>
            <w:pPr>
              <w:pStyle w:val="TableContents"/>
              <w:bidi w:val="0"/>
              <w:spacing w:before="240" w:after="283"/>
              <w:jc w:val="left"/>
              <w:rPr/>
            </w:pPr>
            <w:r>
              <w:rPr/>
              <w:t> </w:t>
            </w:r>
          </w:p>
        </w:tc>
        <w:tc>
          <w:tcPr>
            <w:tcW w:w="2496" w:type="dxa"/>
            <w:tcBorders>
              <w:bottom w:val="single" w:sz="4" w:space="0" w:color="231F20"/>
            </w:tcBorders>
            <w:tcMar>
              <w:top w:w="0" w:type="dxa"/>
              <w:left w:w="0" w:type="dxa"/>
              <w:right w:w="0" w:type="dxa"/>
            </w:tcMar>
            <w:vAlign w:val="center"/>
          </w:tcPr>
          <w:p>
            <w:pPr>
              <w:pStyle w:val="TableContents"/>
              <w:bidi w:val="0"/>
              <w:spacing w:before="240" w:after="283"/>
              <w:jc w:val="left"/>
              <w:rPr>
                <w:rFonts w:ascii="Arial" w:hAnsi="Arial"/>
                <w:color w:val="000000"/>
                <w:sz w:val="20"/>
              </w:rPr>
            </w:pPr>
            <w:r>
              <w:rPr>
                <w:rFonts w:ascii="Arial" w:hAnsi="Arial"/>
                <w:color w:val="000000"/>
                <w:sz w:val="20"/>
              </w:rPr>
              <w:t>FOR or WITHHOLD</w:t>
            </w:r>
          </w:p>
          <w:p>
            <w:pPr>
              <w:pStyle w:val="TableContents"/>
              <w:bidi w:val="0"/>
              <w:spacing w:before="240" w:after="283"/>
              <w:jc w:val="left"/>
              <w:rPr>
                <w:rFonts w:ascii="Arial" w:hAnsi="Arial"/>
                <w:color w:val="000000"/>
                <w:sz w:val="20"/>
              </w:rPr>
            </w:pPr>
            <w:r>
              <w:rPr>
                <w:rFonts w:ascii="Arial" w:hAnsi="Arial"/>
                <w:color w:val="000000"/>
                <w:sz w:val="20"/>
              </w:rPr>
              <w:t>(for each nominee for director)</w:t>
            </w:r>
          </w:p>
          <w:p>
            <w:pPr>
              <w:pStyle w:val="TableContents"/>
              <w:bidi w:val="0"/>
              <w:spacing w:before="240" w:after="283"/>
              <w:jc w:val="left"/>
              <w:rPr>
                <w:rFonts w:ascii="Times New Roman" w:hAnsi="Times New Roman"/>
                <w:sz w:val="20"/>
              </w:rPr>
            </w:pPr>
            <w:r>
              <w:rPr>
                <w:rFonts w:ascii="Arial" w:hAnsi="Arial"/>
                <w:b/>
                <w:color w:val="000000"/>
                <w:sz w:val="20"/>
              </w:rPr>
              <w:t>The Board recommends a vote “FOR” each of the nine Board nominees for director</w:t>
            </w:r>
            <w:r>
              <w:rPr>
                <w:rFonts w:ascii="Times New Roman" w:hAnsi="Times New Roman"/>
                <w:color w:val="000000"/>
                <w:sz w:val="20"/>
              </w:rPr>
              <w:t xml:space="preserve"> </w:t>
            </w:r>
          </w:p>
        </w:tc>
        <w:tc>
          <w:tcPr>
            <w:tcW w:w="146" w:type="dxa"/>
            <w:tcBorders>
              <w:bottom w:val="single" w:sz="4" w:space="0" w:color="231F20"/>
            </w:tcBorders>
            <w:tcMar>
              <w:top w:w="0" w:type="dxa"/>
              <w:left w:w="0" w:type="dxa"/>
              <w:right w:w="0" w:type="dxa"/>
            </w:tcMar>
            <w:vAlign w:val="center"/>
          </w:tcPr>
          <w:p>
            <w:pPr>
              <w:pStyle w:val="TableContents"/>
              <w:bidi w:val="0"/>
              <w:spacing w:before="240" w:after="283"/>
              <w:jc w:val="left"/>
              <w:rPr/>
            </w:pPr>
            <w:r>
              <w:rPr/>
              <w:t> </w:t>
            </w:r>
          </w:p>
          <w:p>
            <w:pPr>
              <w:pStyle w:val="TableContents"/>
              <w:bidi w:val="0"/>
              <w:spacing w:before="240" w:after="283"/>
              <w:jc w:val="left"/>
              <w:rPr/>
            </w:pPr>
            <w:r>
              <w:rPr/>
              <w:t> </w:t>
            </w:r>
          </w:p>
          <w:p>
            <w:pPr>
              <w:pStyle w:val="TableContents"/>
              <w:bidi w:val="0"/>
              <w:spacing w:before="240" w:after="283"/>
              <w:jc w:val="left"/>
              <w:rPr/>
            </w:pPr>
            <w:r>
              <w:rPr/>
              <w:t> </w:t>
            </w:r>
          </w:p>
        </w:tc>
        <w:tc>
          <w:tcPr>
            <w:tcW w:w="1053" w:type="dxa"/>
            <w:tcBorders>
              <w:bottom w:val="single" w:sz="4" w:space="0" w:color="231F20"/>
            </w:tcBorders>
            <w:tcMar>
              <w:top w:w="0" w:type="dxa"/>
              <w:left w:w="0" w:type="dxa"/>
              <w:right w:w="0" w:type="dxa"/>
            </w:tcMar>
            <w:vAlign w:val="center"/>
          </w:tcPr>
          <w:p>
            <w:pPr>
              <w:pStyle w:val="TableContents"/>
              <w:bidi w:val="0"/>
              <w:spacing w:before="240" w:after="283"/>
              <w:jc w:val="left"/>
              <w:rPr>
                <w:rFonts w:ascii="Times New Roman" w:hAnsi="Times New Roman"/>
                <w:sz w:val="20"/>
              </w:rPr>
            </w:pPr>
            <w:r>
              <w:rPr>
                <w:rFonts w:ascii="Arial" w:hAnsi="Arial"/>
                <w:color w:val="000000"/>
                <w:sz w:val="20"/>
              </w:rPr>
              <w:t>Plurality of votes cast</w:t>
            </w:r>
            <w:r>
              <w:rPr>
                <w:rFonts w:ascii="Times New Roman" w:hAnsi="Times New Roman"/>
                <w:color w:val="000000"/>
                <w:sz w:val="20"/>
              </w:rPr>
              <w:t xml:space="preserve"> </w:t>
            </w:r>
          </w:p>
        </w:tc>
        <w:tc>
          <w:tcPr>
            <w:tcW w:w="146" w:type="dxa"/>
            <w:tcBorders>
              <w:bottom w:val="single" w:sz="4" w:space="0" w:color="231F20"/>
            </w:tcBorders>
            <w:tcMar>
              <w:top w:w="0" w:type="dxa"/>
              <w:left w:w="0" w:type="dxa"/>
              <w:right w:w="0" w:type="dxa"/>
            </w:tcMar>
            <w:vAlign w:val="center"/>
          </w:tcPr>
          <w:p>
            <w:pPr>
              <w:pStyle w:val="TableContents"/>
              <w:bidi w:val="0"/>
              <w:spacing w:before="240" w:after="283"/>
              <w:jc w:val="left"/>
              <w:rPr/>
            </w:pPr>
            <w:r>
              <w:rPr/>
              <w:t> </w:t>
            </w:r>
          </w:p>
        </w:tc>
        <w:tc>
          <w:tcPr>
            <w:tcW w:w="1394" w:type="dxa"/>
            <w:tcBorders>
              <w:bottom w:val="single" w:sz="4" w:space="0" w:color="231F20"/>
            </w:tcBorders>
            <w:tcMar>
              <w:top w:w="0" w:type="dxa"/>
              <w:left w:w="0" w:type="dxa"/>
              <w:right w:w="0" w:type="dxa"/>
            </w:tcMar>
            <w:vAlign w:val="center"/>
          </w:tcPr>
          <w:p>
            <w:pPr>
              <w:pStyle w:val="TableContents"/>
              <w:bidi w:val="0"/>
              <w:spacing w:before="240" w:after="283"/>
              <w:jc w:val="left"/>
              <w:rPr>
                <w:rFonts w:ascii="Times New Roman" w:hAnsi="Times New Roman"/>
                <w:sz w:val="20"/>
              </w:rPr>
            </w:pPr>
            <w:r>
              <w:rPr>
                <w:rFonts w:ascii="Arial" w:hAnsi="Arial"/>
                <w:color w:val="000000"/>
                <w:sz w:val="20"/>
              </w:rPr>
              <w:t>No effect – not counted as a vote</w:t>
            </w:r>
            <w:r>
              <w:rPr>
                <w:rFonts w:ascii="Times New Roman" w:hAnsi="Times New Roman"/>
                <w:color w:val="000000"/>
                <w:sz w:val="20"/>
              </w:rPr>
              <w:t xml:space="preserve"> </w:t>
            </w:r>
          </w:p>
        </w:tc>
        <w:tc>
          <w:tcPr>
            <w:tcW w:w="146" w:type="dxa"/>
            <w:tcBorders>
              <w:bottom w:val="single" w:sz="4" w:space="0" w:color="231F2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6" w:type="dxa"/>
            <w:tcBorders>
              <w:bottom w:val="single" w:sz="4" w:space="0" w:color="231F20"/>
            </w:tcBorders>
            <w:tcMar>
              <w:top w:w="0" w:type="dxa"/>
              <w:left w:w="0" w:type="dxa"/>
              <w:right w:w="0" w:type="dxa"/>
            </w:tcMar>
            <w:vAlign w:val="center"/>
          </w:tcPr>
          <w:p>
            <w:pPr>
              <w:pStyle w:val="TableContents"/>
              <w:bidi w:val="0"/>
              <w:spacing w:before="240" w:after="283"/>
              <w:jc w:val="left"/>
              <w:rPr>
                <w:rFonts w:ascii="Times New Roman" w:hAnsi="Times New Roman"/>
                <w:sz w:val="20"/>
              </w:rPr>
            </w:pPr>
            <w:r>
              <w:rPr>
                <w:rFonts w:ascii="Arial" w:hAnsi="Arial"/>
                <w:color w:val="000000"/>
                <w:sz w:val="20"/>
              </w:rPr>
              <w:t>No effect – broker discretionary voting is not permitted</w:t>
            </w:r>
            <w:r>
              <w:rPr>
                <w:rFonts w:ascii="Times New Roman" w:hAnsi="Times New Roman"/>
                <w:color w:val="000000"/>
                <w:sz w:val="20"/>
              </w:rPr>
              <w:t xml:space="preserve"> </w:t>
            </w:r>
          </w:p>
        </w:tc>
      </w:tr>
      <w:tr>
        <w:trPr/>
        <w:tc>
          <w:tcPr>
            <w:tcW w:w="2312" w:type="dxa"/>
            <w:tcBorders>
              <w:bottom w:val="single" w:sz="4" w:space="0" w:color="231F20"/>
            </w:tcBorders>
            <w:tcMar>
              <w:top w:w="0" w:type="dxa"/>
              <w:left w:w="0" w:type="dxa"/>
              <w:right w:w="0" w:type="dxa"/>
            </w:tcMar>
            <w:vAlign w:val="center"/>
          </w:tcPr>
          <w:p>
            <w:pPr>
              <w:pStyle w:val="TableContents"/>
              <w:bidi w:val="0"/>
              <w:spacing w:before="240" w:after="283"/>
              <w:jc w:val="left"/>
              <w:rPr>
                <w:rFonts w:ascii="Arial" w:hAnsi="Arial"/>
                <w:b/>
                <w:color w:val="000000"/>
                <w:sz w:val="20"/>
              </w:rPr>
            </w:pPr>
            <w:r>
              <w:rPr>
                <w:rFonts w:ascii="Arial" w:hAnsi="Arial"/>
                <w:b/>
                <w:color w:val="000000"/>
                <w:sz w:val="20"/>
              </w:rPr>
              <w:t>Proposal 2: Advisory Vote on Compensation of Named Executive Officers</w:t>
            </w:r>
          </w:p>
        </w:tc>
        <w:tc>
          <w:tcPr>
            <w:tcW w:w="146" w:type="dxa"/>
            <w:tcBorders>
              <w:bottom w:val="single" w:sz="4" w:space="0" w:color="231F20"/>
            </w:tcBorders>
            <w:tcMar>
              <w:top w:w="0" w:type="dxa"/>
              <w:left w:w="0" w:type="dxa"/>
              <w:right w:w="0" w:type="dxa"/>
            </w:tcMar>
            <w:vAlign w:val="center"/>
          </w:tcPr>
          <w:p>
            <w:pPr>
              <w:pStyle w:val="TableContents"/>
              <w:bidi w:val="0"/>
              <w:spacing w:before="240" w:after="283"/>
              <w:jc w:val="left"/>
              <w:rPr/>
            </w:pPr>
            <w:r>
              <w:rPr/>
              <w:t> </w:t>
            </w:r>
          </w:p>
        </w:tc>
        <w:tc>
          <w:tcPr>
            <w:tcW w:w="2496" w:type="dxa"/>
            <w:tcBorders>
              <w:bottom w:val="single" w:sz="4" w:space="0" w:color="231F20"/>
            </w:tcBorders>
            <w:tcMar>
              <w:top w:w="0" w:type="dxa"/>
              <w:left w:w="0" w:type="dxa"/>
              <w:right w:w="0" w:type="dxa"/>
            </w:tcMar>
            <w:vAlign w:val="center"/>
          </w:tcPr>
          <w:p>
            <w:pPr>
              <w:pStyle w:val="TableContents"/>
              <w:bidi w:val="0"/>
              <w:spacing w:before="240" w:after="283"/>
              <w:jc w:val="left"/>
              <w:rPr>
                <w:rFonts w:ascii="Arial" w:hAnsi="Arial"/>
                <w:color w:val="000000"/>
                <w:sz w:val="20"/>
              </w:rPr>
            </w:pPr>
            <w:r>
              <w:rPr>
                <w:rFonts w:ascii="Arial" w:hAnsi="Arial"/>
                <w:color w:val="000000"/>
                <w:sz w:val="20"/>
              </w:rPr>
              <w:t>FOR, AGAINST or ABSTAIN</w:t>
            </w:r>
          </w:p>
          <w:p>
            <w:pPr>
              <w:pStyle w:val="TableContents"/>
              <w:bidi w:val="0"/>
              <w:spacing w:before="240" w:after="283"/>
              <w:jc w:val="left"/>
              <w:rPr>
                <w:rFonts w:ascii="Arial" w:hAnsi="Arial"/>
                <w:b/>
                <w:color w:val="000000"/>
                <w:sz w:val="20"/>
              </w:rPr>
            </w:pPr>
            <w:r>
              <w:rPr>
                <w:rFonts w:ascii="Arial" w:hAnsi="Arial"/>
                <w:b/>
                <w:color w:val="000000"/>
                <w:sz w:val="20"/>
              </w:rPr>
              <w:t>The Board recommends a vote “FOR” the advisory vote on compensation of named executive officers</w:t>
            </w:r>
          </w:p>
        </w:tc>
        <w:tc>
          <w:tcPr>
            <w:tcW w:w="146" w:type="dxa"/>
            <w:tcBorders>
              <w:bottom w:val="single" w:sz="4" w:space="0" w:color="231F20"/>
            </w:tcBorders>
            <w:tcMar>
              <w:top w:w="0" w:type="dxa"/>
              <w:left w:w="0" w:type="dxa"/>
              <w:right w:w="0" w:type="dxa"/>
            </w:tcMar>
            <w:vAlign w:val="center"/>
          </w:tcPr>
          <w:p>
            <w:pPr>
              <w:pStyle w:val="TableContents"/>
              <w:bidi w:val="0"/>
              <w:spacing w:before="240" w:after="283"/>
              <w:jc w:val="left"/>
              <w:rPr/>
            </w:pPr>
            <w:r>
              <w:rPr/>
              <w:t> </w:t>
            </w:r>
          </w:p>
          <w:p>
            <w:pPr>
              <w:pStyle w:val="TableContents"/>
              <w:bidi w:val="0"/>
              <w:spacing w:before="240" w:after="283"/>
              <w:jc w:val="left"/>
              <w:rPr/>
            </w:pPr>
            <w:r>
              <w:rPr/>
              <w:t> </w:t>
            </w:r>
          </w:p>
        </w:tc>
        <w:tc>
          <w:tcPr>
            <w:tcW w:w="1053" w:type="dxa"/>
            <w:tcBorders>
              <w:bottom w:val="single" w:sz="4" w:space="0" w:color="231F20"/>
            </w:tcBorders>
            <w:tcMar>
              <w:top w:w="0" w:type="dxa"/>
              <w:left w:w="0" w:type="dxa"/>
              <w:right w:w="0" w:type="dxa"/>
            </w:tcMar>
            <w:vAlign w:val="center"/>
          </w:tcPr>
          <w:p>
            <w:pPr>
              <w:pStyle w:val="TableContents"/>
              <w:bidi w:val="0"/>
              <w:spacing w:before="240" w:after="283"/>
              <w:jc w:val="left"/>
              <w:rPr>
                <w:rFonts w:ascii="Arial" w:hAnsi="Arial"/>
                <w:color w:val="000000"/>
                <w:sz w:val="20"/>
              </w:rPr>
            </w:pPr>
            <w:r>
              <w:rPr>
                <w:rFonts w:ascii="Arial" w:hAnsi="Arial"/>
                <w:color w:val="000000"/>
                <w:sz w:val="20"/>
              </w:rPr>
              <w:t>Majority of votes cast</w:t>
            </w:r>
          </w:p>
        </w:tc>
        <w:tc>
          <w:tcPr>
            <w:tcW w:w="146" w:type="dxa"/>
            <w:tcBorders>
              <w:bottom w:val="single" w:sz="4" w:space="0" w:color="231F20"/>
            </w:tcBorders>
            <w:tcMar>
              <w:top w:w="0" w:type="dxa"/>
              <w:left w:w="0" w:type="dxa"/>
              <w:right w:w="0" w:type="dxa"/>
            </w:tcMar>
            <w:vAlign w:val="center"/>
          </w:tcPr>
          <w:p>
            <w:pPr>
              <w:pStyle w:val="TableContents"/>
              <w:bidi w:val="0"/>
              <w:spacing w:before="240" w:after="283"/>
              <w:jc w:val="left"/>
              <w:rPr/>
            </w:pPr>
            <w:r>
              <w:rPr/>
              <w:t> </w:t>
            </w:r>
          </w:p>
        </w:tc>
        <w:tc>
          <w:tcPr>
            <w:tcW w:w="1394" w:type="dxa"/>
            <w:tcBorders>
              <w:bottom w:val="single" w:sz="4" w:space="0" w:color="231F20"/>
            </w:tcBorders>
            <w:tcMar>
              <w:top w:w="0" w:type="dxa"/>
              <w:left w:w="0" w:type="dxa"/>
              <w:right w:w="0" w:type="dxa"/>
            </w:tcMar>
            <w:vAlign w:val="center"/>
          </w:tcPr>
          <w:p>
            <w:pPr>
              <w:pStyle w:val="TableContents"/>
              <w:bidi w:val="0"/>
              <w:spacing w:before="240" w:after="283"/>
              <w:jc w:val="left"/>
              <w:rPr>
                <w:rFonts w:ascii="Times New Roman" w:hAnsi="Times New Roman"/>
                <w:sz w:val="20"/>
              </w:rPr>
            </w:pPr>
            <w:r>
              <w:rPr>
                <w:rFonts w:ascii="Arial" w:hAnsi="Arial"/>
                <w:color w:val="000000"/>
                <w:sz w:val="20"/>
              </w:rPr>
              <w:t>No effect – not counted as a vote</w:t>
            </w:r>
            <w:r>
              <w:rPr>
                <w:rFonts w:ascii="Times New Roman" w:hAnsi="Times New Roman"/>
                <w:color w:val="000000"/>
                <w:sz w:val="20"/>
              </w:rPr>
              <w:t xml:space="preserve"> </w:t>
            </w:r>
          </w:p>
        </w:tc>
        <w:tc>
          <w:tcPr>
            <w:tcW w:w="146" w:type="dxa"/>
            <w:tcBorders>
              <w:bottom w:val="single" w:sz="4" w:space="0" w:color="231F20"/>
            </w:tcBorders>
            <w:tcMar>
              <w:top w:w="0" w:type="dxa"/>
              <w:left w:w="0" w:type="dxa"/>
              <w:right w:w="0" w:type="dxa"/>
            </w:tcMar>
            <w:vAlign w:val="center"/>
          </w:tcPr>
          <w:p>
            <w:pPr>
              <w:pStyle w:val="TableContents"/>
              <w:bidi w:val="0"/>
              <w:spacing w:before="240" w:after="283"/>
              <w:jc w:val="left"/>
              <w:rPr/>
            </w:pPr>
            <w:r>
              <w:rPr/>
              <w:t> </w:t>
            </w:r>
          </w:p>
        </w:tc>
        <w:tc>
          <w:tcPr>
            <w:tcW w:w="2366" w:type="dxa"/>
            <w:tcBorders>
              <w:bottom w:val="single" w:sz="4" w:space="0" w:color="231F20"/>
            </w:tcBorders>
            <w:tcMar>
              <w:top w:w="0" w:type="dxa"/>
              <w:left w:w="0" w:type="dxa"/>
              <w:right w:w="0" w:type="dxa"/>
            </w:tcMar>
            <w:vAlign w:val="center"/>
          </w:tcPr>
          <w:p>
            <w:pPr>
              <w:pStyle w:val="TableContents"/>
              <w:bidi w:val="0"/>
              <w:spacing w:before="240" w:after="283"/>
              <w:jc w:val="left"/>
              <w:rPr>
                <w:rFonts w:ascii="Times New Roman" w:hAnsi="Times New Roman"/>
                <w:sz w:val="20"/>
              </w:rPr>
            </w:pPr>
            <w:r>
              <w:rPr>
                <w:rFonts w:ascii="Arial" w:hAnsi="Arial"/>
                <w:color w:val="000000"/>
                <w:sz w:val="20"/>
              </w:rPr>
              <w:t>No effect – broker discretionary voting is not permitted</w:t>
            </w:r>
            <w:r>
              <w:rPr>
                <w:rFonts w:ascii="Times New Roman" w:hAnsi="Times New Roman"/>
                <w:color w:val="000000"/>
                <w:sz w:val="20"/>
              </w:rPr>
              <w:t xml:space="preserve"> </w:t>
            </w:r>
          </w:p>
        </w:tc>
      </w:tr>
      <w:tr>
        <w:trPr/>
        <w:tc>
          <w:tcPr>
            <w:tcW w:w="2312" w:type="dxa"/>
            <w:tcBorders>
              <w:bottom w:val="single" w:sz="4" w:space="0" w:color="231F20"/>
            </w:tcBorders>
            <w:tcMar>
              <w:top w:w="0" w:type="dxa"/>
              <w:left w:w="0" w:type="dxa"/>
              <w:right w:w="0" w:type="dxa"/>
            </w:tcMar>
            <w:vAlign w:val="center"/>
          </w:tcPr>
          <w:p>
            <w:pPr>
              <w:pStyle w:val="TableContents"/>
              <w:bidi w:val="0"/>
              <w:spacing w:before="240" w:after="283"/>
              <w:jc w:val="left"/>
              <w:rPr>
                <w:rFonts w:ascii="Arial" w:hAnsi="Arial"/>
                <w:b/>
                <w:color w:val="000000"/>
                <w:sz w:val="20"/>
              </w:rPr>
            </w:pPr>
            <w:r>
              <w:rPr>
                <w:rFonts w:ascii="Arial" w:hAnsi="Arial"/>
                <w:b/>
                <w:color w:val="000000"/>
                <w:sz w:val="20"/>
              </w:rPr>
              <w:t>Proposal 3: Proposal to Approve the Genesco Inc. Fourth Amended and Restated 2020 Equity Incentive Plan</w:t>
            </w:r>
          </w:p>
        </w:tc>
        <w:tc>
          <w:tcPr>
            <w:tcW w:w="146" w:type="dxa"/>
            <w:tcBorders>
              <w:bottom w:val="single" w:sz="4" w:space="0" w:color="231F20"/>
            </w:tcBorders>
            <w:tcMar>
              <w:top w:w="0" w:type="dxa"/>
              <w:left w:w="0" w:type="dxa"/>
              <w:right w:w="0" w:type="dxa"/>
            </w:tcMar>
            <w:vAlign w:val="center"/>
          </w:tcPr>
          <w:p>
            <w:pPr>
              <w:pStyle w:val="TableContents"/>
              <w:bidi w:val="0"/>
              <w:spacing w:before="240" w:after="283"/>
              <w:jc w:val="left"/>
              <w:rPr/>
            </w:pPr>
            <w:r>
              <w:rPr/>
              <w:t> </w:t>
            </w:r>
          </w:p>
        </w:tc>
        <w:tc>
          <w:tcPr>
            <w:tcW w:w="2496" w:type="dxa"/>
            <w:tcBorders>
              <w:bottom w:val="single" w:sz="4" w:space="0" w:color="231F20"/>
            </w:tcBorders>
            <w:tcMar>
              <w:top w:w="0" w:type="dxa"/>
              <w:left w:w="0" w:type="dxa"/>
              <w:right w:w="0" w:type="dxa"/>
            </w:tcMar>
            <w:vAlign w:val="center"/>
          </w:tcPr>
          <w:p>
            <w:pPr>
              <w:pStyle w:val="TableContents"/>
              <w:bidi w:val="0"/>
              <w:spacing w:before="240" w:after="283"/>
              <w:jc w:val="left"/>
              <w:rPr>
                <w:rFonts w:ascii="Arial" w:hAnsi="Arial"/>
                <w:color w:val="000000"/>
                <w:sz w:val="20"/>
              </w:rPr>
            </w:pPr>
            <w:r>
              <w:rPr>
                <w:rFonts w:ascii="Arial" w:hAnsi="Arial"/>
                <w:color w:val="000000"/>
                <w:sz w:val="20"/>
              </w:rPr>
              <w:t>FOR, AGAINST or ABSTAIN</w:t>
            </w:r>
          </w:p>
          <w:p>
            <w:pPr>
              <w:pStyle w:val="TableContents"/>
              <w:bidi w:val="0"/>
              <w:spacing w:before="240" w:after="283"/>
              <w:jc w:val="left"/>
              <w:rPr>
                <w:rFonts w:ascii="Arial" w:hAnsi="Arial"/>
                <w:b/>
                <w:color w:val="000000"/>
                <w:sz w:val="20"/>
              </w:rPr>
            </w:pPr>
            <w:r>
              <w:rPr>
                <w:rFonts w:ascii="Arial" w:hAnsi="Arial"/>
                <w:b/>
                <w:color w:val="000000"/>
                <w:sz w:val="20"/>
              </w:rPr>
              <w:t>The Board recommends a vote “FOR” the amended plan</w:t>
            </w:r>
          </w:p>
        </w:tc>
        <w:tc>
          <w:tcPr>
            <w:tcW w:w="146" w:type="dxa"/>
            <w:tcBorders>
              <w:bottom w:val="single" w:sz="4" w:space="0" w:color="231F20"/>
            </w:tcBorders>
            <w:tcMar>
              <w:top w:w="0" w:type="dxa"/>
              <w:left w:w="0" w:type="dxa"/>
              <w:right w:w="0" w:type="dxa"/>
            </w:tcMar>
            <w:vAlign w:val="center"/>
          </w:tcPr>
          <w:p>
            <w:pPr>
              <w:pStyle w:val="TableContents"/>
              <w:bidi w:val="0"/>
              <w:spacing w:before="240" w:after="283"/>
              <w:jc w:val="left"/>
              <w:rPr/>
            </w:pPr>
            <w:r>
              <w:rPr/>
              <w:t> </w:t>
            </w:r>
          </w:p>
          <w:p>
            <w:pPr>
              <w:pStyle w:val="TableContents"/>
              <w:bidi w:val="0"/>
              <w:spacing w:before="240" w:after="283"/>
              <w:jc w:val="left"/>
              <w:rPr/>
            </w:pPr>
            <w:r>
              <w:rPr/>
              <w:t> </w:t>
            </w:r>
          </w:p>
        </w:tc>
        <w:tc>
          <w:tcPr>
            <w:tcW w:w="1053" w:type="dxa"/>
            <w:tcBorders>
              <w:bottom w:val="single" w:sz="4" w:space="0" w:color="231F20"/>
            </w:tcBorders>
            <w:tcMar>
              <w:top w:w="0" w:type="dxa"/>
              <w:left w:w="0" w:type="dxa"/>
              <w:right w:w="0" w:type="dxa"/>
            </w:tcMar>
            <w:vAlign w:val="center"/>
          </w:tcPr>
          <w:p>
            <w:pPr>
              <w:pStyle w:val="TableContents"/>
              <w:bidi w:val="0"/>
              <w:spacing w:before="240" w:after="283"/>
              <w:jc w:val="left"/>
              <w:rPr>
                <w:rFonts w:ascii="Arial" w:hAnsi="Arial"/>
                <w:color w:val="000000"/>
                <w:sz w:val="20"/>
              </w:rPr>
            </w:pPr>
            <w:r>
              <w:rPr>
                <w:rFonts w:ascii="Arial" w:hAnsi="Arial"/>
                <w:color w:val="000000"/>
                <w:sz w:val="20"/>
              </w:rPr>
              <w:t>Majority of votes cast</w:t>
            </w:r>
          </w:p>
        </w:tc>
        <w:tc>
          <w:tcPr>
            <w:tcW w:w="146" w:type="dxa"/>
            <w:tcBorders>
              <w:bottom w:val="single" w:sz="4" w:space="0" w:color="231F20"/>
            </w:tcBorders>
            <w:tcMar>
              <w:top w:w="0" w:type="dxa"/>
              <w:left w:w="0" w:type="dxa"/>
              <w:right w:w="0" w:type="dxa"/>
            </w:tcMar>
            <w:vAlign w:val="center"/>
          </w:tcPr>
          <w:p>
            <w:pPr>
              <w:pStyle w:val="TableContents"/>
              <w:bidi w:val="0"/>
              <w:spacing w:before="240" w:after="283"/>
              <w:jc w:val="left"/>
              <w:rPr/>
            </w:pPr>
            <w:r>
              <w:rPr/>
              <w:t> </w:t>
            </w:r>
          </w:p>
        </w:tc>
        <w:tc>
          <w:tcPr>
            <w:tcW w:w="1394" w:type="dxa"/>
            <w:tcBorders>
              <w:bottom w:val="single" w:sz="4" w:space="0" w:color="231F20"/>
            </w:tcBorders>
            <w:tcMar>
              <w:top w:w="0" w:type="dxa"/>
              <w:left w:w="0" w:type="dxa"/>
              <w:right w:w="0" w:type="dxa"/>
            </w:tcMar>
            <w:vAlign w:val="center"/>
          </w:tcPr>
          <w:p>
            <w:pPr>
              <w:pStyle w:val="TableContents"/>
              <w:bidi w:val="0"/>
              <w:spacing w:before="240" w:after="283"/>
              <w:jc w:val="left"/>
              <w:rPr>
                <w:rFonts w:ascii="Times New Roman" w:hAnsi="Times New Roman"/>
                <w:sz w:val="20"/>
              </w:rPr>
            </w:pPr>
            <w:r>
              <w:rPr>
                <w:rFonts w:ascii="Arial" w:hAnsi="Arial"/>
                <w:color w:val="000000"/>
                <w:sz w:val="20"/>
              </w:rPr>
              <w:t>No effect – not counted as a vote</w:t>
            </w:r>
            <w:r>
              <w:rPr>
                <w:rFonts w:ascii="Times New Roman" w:hAnsi="Times New Roman"/>
                <w:color w:val="000000"/>
                <w:sz w:val="20"/>
              </w:rPr>
              <w:t xml:space="preserve"> </w:t>
            </w:r>
          </w:p>
        </w:tc>
        <w:tc>
          <w:tcPr>
            <w:tcW w:w="146" w:type="dxa"/>
            <w:tcBorders>
              <w:bottom w:val="single" w:sz="4" w:space="0" w:color="231F20"/>
            </w:tcBorders>
            <w:tcMar>
              <w:top w:w="0" w:type="dxa"/>
              <w:left w:w="0" w:type="dxa"/>
              <w:right w:w="0" w:type="dxa"/>
            </w:tcMar>
            <w:vAlign w:val="center"/>
          </w:tcPr>
          <w:p>
            <w:pPr>
              <w:pStyle w:val="TableContents"/>
              <w:bidi w:val="0"/>
              <w:spacing w:before="240" w:after="283"/>
              <w:jc w:val="left"/>
              <w:rPr/>
            </w:pPr>
            <w:r>
              <w:rPr/>
              <w:t> </w:t>
            </w:r>
          </w:p>
        </w:tc>
        <w:tc>
          <w:tcPr>
            <w:tcW w:w="2366" w:type="dxa"/>
            <w:tcBorders>
              <w:bottom w:val="single" w:sz="4" w:space="0" w:color="231F20"/>
            </w:tcBorders>
            <w:tcMar>
              <w:top w:w="0" w:type="dxa"/>
              <w:left w:w="0" w:type="dxa"/>
              <w:right w:w="0" w:type="dxa"/>
            </w:tcMar>
            <w:vAlign w:val="center"/>
          </w:tcPr>
          <w:p>
            <w:pPr>
              <w:pStyle w:val="TableContents"/>
              <w:bidi w:val="0"/>
              <w:spacing w:before="240" w:after="283"/>
              <w:jc w:val="left"/>
              <w:rPr>
                <w:rFonts w:ascii="Times New Roman" w:hAnsi="Times New Roman"/>
                <w:sz w:val="20"/>
              </w:rPr>
            </w:pPr>
            <w:r>
              <w:rPr>
                <w:rFonts w:ascii="Arial" w:hAnsi="Arial"/>
                <w:color w:val="000000"/>
                <w:sz w:val="20"/>
              </w:rPr>
              <w:t>No effect – broker discretionary voting is not permitted</w:t>
            </w:r>
            <w:r>
              <w:rPr>
                <w:rFonts w:ascii="Times New Roman" w:hAnsi="Times New Roman"/>
                <w:color w:val="000000"/>
                <w:sz w:val="20"/>
              </w:rPr>
              <w:t xml:space="preserve"> </w:t>
            </w:r>
          </w:p>
        </w:tc>
      </w:tr>
      <w:tr>
        <w:trPr/>
        <w:tc>
          <w:tcPr>
            <w:tcW w:w="2312" w:type="dxa"/>
            <w:tcBorders>
              <w:bottom w:val="single" w:sz="4" w:space="0" w:color="231F20"/>
            </w:tcBorders>
            <w:tcMar>
              <w:top w:w="0" w:type="dxa"/>
              <w:left w:w="0" w:type="dxa"/>
              <w:right w:w="0" w:type="dxa"/>
            </w:tcMar>
            <w:vAlign w:val="center"/>
          </w:tcPr>
          <w:p>
            <w:pPr>
              <w:pStyle w:val="TableContents"/>
              <w:bidi w:val="0"/>
              <w:spacing w:before="240" w:after="283"/>
              <w:jc w:val="left"/>
              <w:rPr>
                <w:rFonts w:ascii="Arial" w:hAnsi="Arial"/>
                <w:b/>
                <w:color w:val="000000"/>
                <w:sz w:val="20"/>
              </w:rPr>
            </w:pPr>
            <w:r>
              <w:rPr>
                <w:rFonts w:ascii="Arial" w:hAnsi="Arial"/>
                <w:b/>
                <w:color w:val="000000"/>
                <w:sz w:val="20"/>
              </w:rPr>
              <w:t>Proposal 4: Ratification of the Appointment of Deloitte &amp; Touche LLP</w:t>
            </w:r>
          </w:p>
        </w:tc>
        <w:tc>
          <w:tcPr>
            <w:tcW w:w="146" w:type="dxa"/>
            <w:tcBorders>
              <w:bottom w:val="single" w:sz="4" w:space="0" w:color="231F20"/>
            </w:tcBorders>
            <w:tcMar>
              <w:top w:w="0" w:type="dxa"/>
              <w:left w:w="0" w:type="dxa"/>
              <w:right w:w="0" w:type="dxa"/>
            </w:tcMar>
            <w:vAlign w:val="center"/>
          </w:tcPr>
          <w:p>
            <w:pPr>
              <w:pStyle w:val="TableContents"/>
              <w:bidi w:val="0"/>
              <w:spacing w:before="240" w:after="283"/>
              <w:jc w:val="left"/>
              <w:rPr/>
            </w:pPr>
            <w:r>
              <w:rPr/>
              <w:t> </w:t>
            </w:r>
          </w:p>
        </w:tc>
        <w:tc>
          <w:tcPr>
            <w:tcW w:w="2496" w:type="dxa"/>
            <w:tcBorders>
              <w:bottom w:val="single" w:sz="4" w:space="0" w:color="231F20"/>
            </w:tcBorders>
            <w:tcMar>
              <w:top w:w="0" w:type="dxa"/>
              <w:left w:w="0" w:type="dxa"/>
              <w:right w:w="0" w:type="dxa"/>
            </w:tcMar>
            <w:vAlign w:val="center"/>
          </w:tcPr>
          <w:p>
            <w:pPr>
              <w:pStyle w:val="TableContents"/>
              <w:bidi w:val="0"/>
              <w:spacing w:before="240" w:after="283"/>
              <w:jc w:val="left"/>
              <w:rPr>
                <w:rFonts w:ascii="Arial" w:hAnsi="Arial"/>
                <w:color w:val="000000"/>
                <w:sz w:val="20"/>
              </w:rPr>
            </w:pPr>
            <w:r>
              <w:rPr>
                <w:rFonts w:ascii="Arial" w:hAnsi="Arial"/>
                <w:color w:val="000000"/>
                <w:sz w:val="20"/>
              </w:rPr>
              <w:t>FOR, AGAINST or ABSTAIN</w:t>
            </w:r>
          </w:p>
          <w:p>
            <w:pPr>
              <w:pStyle w:val="TableContents"/>
              <w:bidi w:val="0"/>
              <w:spacing w:before="240" w:after="283"/>
              <w:jc w:val="left"/>
              <w:rPr>
                <w:rFonts w:ascii="Arial" w:hAnsi="Arial"/>
                <w:b/>
                <w:color w:val="000000"/>
                <w:sz w:val="20"/>
              </w:rPr>
            </w:pPr>
            <w:r>
              <w:rPr>
                <w:rFonts w:ascii="Arial" w:hAnsi="Arial"/>
                <w:b/>
                <w:color w:val="000000"/>
                <w:sz w:val="20"/>
              </w:rPr>
              <w:t>The Board recommends a vote “FOR” the ratification</w:t>
            </w:r>
          </w:p>
        </w:tc>
        <w:tc>
          <w:tcPr>
            <w:tcW w:w="146" w:type="dxa"/>
            <w:tcBorders>
              <w:bottom w:val="single" w:sz="4" w:space="0" w:color="231F20"/>
            </w:tcBorders>
            <w:tcMar>
              <w:top w:w="0" w:type="dxa"/>
              <w:left w:w="0" w:type="dxa"/>
              <w:right w:w="0" w:type="dxa"/>
            </w:tcMar>
            <w:vAlign w:val="center"/>
          </w:tcPr>
          <w:p>
            <w:pPr>
              <w:pStyle w:val="TableContents"/>
              <w:bidi w:val="0"/>
              <w:spacing w:before="240" w:after="283"/>
              <w:jc w:val="left"/>
              <w:rPr/>
            </w:pPr>
            <w:r>
              <w:rPr/>
              <w:t> </w:t>
            </w:r>
          </w:p>
          <w:p>
            <w:pPr>
              <w:pStyle w:val="TableContents"/>
              <w:bidi w:val="0"/>
              <w:spacing w:before="240" w:after="283"/>
              <w:jc w:val="left"/>
              <w:rPr/>
            </w:pPr>
            <w:r>
              <w:rPr/>
              <w:t> </w:t>
            </w:r>
          </w:p>
        </w:tc>
        <w:tc>
          <w:tcPr>
            <w:tcW w:w="1053" w:type="dxa"/>
            <w:tcBorders>
              <w:bottom w:val="single" w:sz="4" w:space="0" w:color="231F20"/>
            </w:tcBorders>
            <w:tcMar>
              <w:top w:w="0" w:type="dxa"/>
              <w:left w:w="0" w:type="dxa"/>
              <w:right w:w="0" w:type="dxa"/>
            </w:tcMar>
            <w:vAlign w:val="center"/>
          </w:tcPr>
          <w:p>
            <w:pPr>
              <w:pStyle w:val="TableContents"/>
              <w:bidi w:val="0"/>
              <w:spacing w:before="240" w:after="283"/>
              <w:jc w:val="left"/>
              <w:rPr>
                <w:rFonts w:ascii="Arial" w:hAnsi="Arial"/>
                <w:color w:val="000000"/>
                <w:sz w:val="20"/>
              </w:rPr>
            </w:pPr>
            <w:r>
              <w:rPr>
                <w:rFonts w:ascii="Arial" w:hAnsi="Arial"/>
                <w:color w:val="000000"/>
                <w:sz w:val="20"/>
              </w:rPr>
              <w:t>Majority of votes cast</w:t>
            </w:r>
          </w:p>
        </w:tc>
        <w:tc>
          <w:tcPr>
            <w:tcW w:w="146" w:type="dxa"/>
            <w:tcBorders>
              <w:bottom w:val="single" w:sz="4" w:space="0" w:color="231F20"/>
            </w:tcBorders>
            <w:tcMar>
              <w:top w:w="0" w:type="dxa"/>
              <w:left w:w="0" w:type="dxa"/>
              <w:right w:w="0" w:type="dxa"/>
            </w:tcMar>
            <w:vAlign w:val="center"/>
          </w:tcPr>
          <w:p>
            <w:pPr>
              <w:pStyle w:val="TableContents"/>
              <w:bidi w:val="0"/>
              <w:spacing w:before="240" w:after="283"/>
              <w:jc w:val="left"/>
              <w:rPr/>
            </w:pPr>
            <w:r>
              <w:rPr/>
              <w:t> </w:t>
            </w:r>
          </w:p>
        </w:tc>
        <w:tc>
          <w:tcPr>
            <w:tcW w:w="1394" w:type="dxa"/>
            <w:tcBorders>
              <w:bottom w:val="single" w:sz="4" w:space="0" w:color="231F20"/>
            </w:tcBorders>
            <w:tcMar>
              <w:top w:w="0" w:type="dxa"/>
              <w:left w:w="0" w:type="dxa"/>
              <w:right w:w="0" w:type="dxa"/>
            </w:tcMar>
            <w:vAlign w:val="center"/>
          </w:tcPr>
          <w:p>
            <w:pPr>
              <w:pStyle w:val="TableContents"/>
              <w:bidi w:val="0"/>
              <w:spacing w:before="240" w:after="283"/>
              <w:jc w:val="left"/>
              <w:rPr>
                <w:rFonts w:ascii="Times New Roman" w:hAnsi="Times New Roman"/>
                <w:sz w:val="20"/>
              </w:rPr>
            </w:pPr>
            <w:r>
              <w:rPr>
                <w:rFonts w:ascii="Arial" w:hAnsi="Arial"/>
                <w:color w:val="000000"/>
                <w:sz w:val="20"/>
              </w:rPr>
              <w:t>No effect – not counted as a vote</w:t>
            </w:r>
            <w:r>
              <w:rPr>
                <w:rFonts w:ascii="Times New Roman" w:hAnsi="Times New Roman"/>
                <w:color w:val="000000"/>
                <w:sz w:val="20"/>
              </w:rPr>
              <w:t xml:space="preserve"> </w:t>
            </w:r>
          </w:p>
        </w:tc>
        <w:tc>
          <w:tcPr>
            <w:tcW w:w="146" w:type="dxa"/>
            <w:tcBorders>
              <w:bottom w:val="single" w:sz="4" w:space="0" w:color="231F20"/>
            </w:tcBorders>
            <w:tcMar>
              <w:top w:w="0" w:type="dxa"/>
              <w:left w:w="0" w:type="dxa"/>
              <w:right w:w="0" w:type="dxa"/>
            </w:tcMar>
            <w:vAlign w:val="center"/>
          </w:tcPr>
          <w:p>
            <w:pPr>
              <w:pStyle w:val="TableContents"/>
              <w:bidi w:val="0"/>
              <w:spacing w:before="240" w:after="283"/>
              <w:jc w:val="left"/>
              <w:rPr/>
            </w:pPr>
            <w:r>
              <w:rPr/>
              <w:t> </w:t>
            </w:r>
          </w:p>
        </w:tc>
        <w:tc>
          <w:tcPr>
            <w:tcW w:w="2366" w:type="dxa"/>
            <w:tcBorders>
              <w:bottom w:val="single" w:sz="4" w:space="0" w:color="231F20"/>
            </w:tcBorders>
            <w:tcMar>
              <w:top w:w="0" w:type="dxa"/>
              <w:left w:w="0" w:type="dxa"/>
              <w:right w:w="0" w:type="dxa"/>
            </w:tcMar>
            <w:vAlign w:val="center"/>
          </w:tcPr>
          <w:p>
            <w:pPr>
              <w:pStyle w:val="TableContents"/>
              <w:bidi w:val="0"/>
              <w:spacing w:before="240" w:after="283"/>
              <w:jc w:val="left"/>
              <w:rPr>
                <w:rFonts w:ascii="Arial" w:hAnsi="Arial"/>
                <w:color w:val="000000"/>
                <w:sz w:val="20"/>
              </w:rPr>
            </w:pPr>
            <w:r>
              <w:rPr>
                <w:rFonts w:ascii="Arial" w:hAnsi="Arial"/>
                <w:color w:val="000000"/>
                <w:sz w:val="20"/>
              </w:rPr>
              <w:t>No effect – broker discretionary voting is permitted only to the extent beneficial owners have not been provided with Mr. Radoff’s proxy materials</w:t>
            </w:r>
          </w:p>
        </w:tc>
      </w:tr>
    </w:tbl>
    <w:p>
      <w:pPr>
        <w:pStyle w:val="TextBody"/>
        <w:bidi w:val="0"/>
        <w:spacing w:before="240" w:after="283"/>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i/>
          <w:color w:val="000000"/>
          <w:sz w:val="20"/>
        </w:rPr>
        <w:t>What is a “Broker Non-Vote”?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If you own shares through a broker, bank or other holder of record, you may instruct such holder of record how to vote your shares. A “broker non-vote” occurs when you fail to provide such holder of record with voting instructions and such holder does not have the discretionary authority to vote your shares on a particular proposal. To the extent that Mr. Radoff has provided you with his proxy materials through such holder, such holder will not have discretionary voting authority to vote on your behalf on any of the proposals presented at the Annual Meeting. If, however, Mr. Radoff has not provided his proxy materials to you through your broker, bank or other holder of record, then such holder may be able to vote upon Proposal 4 on your behalf absent your specific voting instructions. It is possible that such holder may choose not to exercise discretionary authority with respect to Proposal 4. In that case, if you do not instruct the holder how to vote with respect to Proposal 4, the holder may not vote with respect to such proposal. Therefore, we encourage you to instruct your broker, bank or other holder of record to vote your shares by executing and returning the enclosed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 xml:space="preserve">voting instruction card or by voting via the Internet or by telephone by following the instructions provided on the enclosed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voting instruction form.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 xml:space="preserve">What if I return my </w:t>
      </w:r>
      <w:r>
        <w:rPr>
          <w:rFonts w:ascii="Arial" w:hAnsi="Arial"/>
          <w:b/>
          <w:i/>
          <w:color w:val="000000"/>
          <w:sz w:val="20"/>
          <w:u w:val="single"/>
        </w:rPr>
        <w:t>WHITE</w:t>
      </w:r>
      <w:r>
        <w:rPr>
          <w:rFonts w:ascii="Times New Roman" w:hAnsi="Times New Roman"/>
          <w:color w:val="000000"/>
          <w:sz w:val="20"/>
        </w:rPr>
        <w:t xml:space="preserve"> </w:t>
      </w:r>
      <w:r>
        <w:rPr>
          <w:rFonts w:ascii="Arial" w:hAnsi="Arial"/>
          <w:b/>
          <w:i/>
          <w:color w:val="000000"/>
          <w:sz w:val="20"/>
        </w:rPr>
        <w:t>proxy but do not vote for some of the matters listed on my proxy card? What if I give voting instructions for fewer than nine candidates or for more than nine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If you return a signed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 xml:space="preserve">proxy card or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 xml:space="preserve">voting instruction form without indicating your vote (and the proxy is not revoked), your shares will be voted </w:t>
      </w:r>
      <w:r>
        <w:rPr>
          <w:rFonts w:ascii="Times New Roman" w:hAnsi="Times New Roman"/>
          <w:color w:val="000000"/>
          <w:sz w:val="20"/>
        </w:rPr>
        <w:t>“</w:t>
      </w:r>
      <w:r>
        <w:rPr>
          <w:rFonts w:ascii="Arial" w:hAnsi="Arial"/>
          <w:b/>
          <w:color w:val="000000"/>
          <w:sz w:val="20"/>
        </w:rPr>
        <w:t xml:space="preserve">FOR” </w:t>
      </w:r>
      <w:r>
        <w:rPr>
          <w:rFonts w:ascii="Arial" w:hAnsi="Arial"/>
          <w:color w:val="000000"/>
          <w:sz w:val="20"/>
        </w:rPr>
        <w:t xml:space="preserve">the election of the nine directors nominated by the Board and listed in this Proxy Statement (Proposal 1), </w:t>
      </w:r>
      <w:r>
        <w:rPr>
          <w:rFonts w:ascii="Times New Roman" w:hAnsi="Times New Roman"/>
          <w:color w:val="000000"/>
          <w:sz w:val="20"/>
        </w:rPr>
        <w:t>“</w:t>
      </w:r>
      <w:r>
        <w:rPr>
          <w:rFonts w:ascii="Arial" w:hAnsi="Arial"/>
          <w:b/>
          <w:color w:val="000000"/>
          <w:sz w:val="20"/>
        </w:rPr>
        <w:t>FOR”</w:t>
      </w:r>
      <w:r>
        <w:rPr>
          <w:rFonts w:ascii="Times New Roman" w:hAnsi="Times New Roman"/>
          <w:color w:val="000000"/>
          <w:sz w:val="20"/>
        </w:rPr>
        <w:t xml:space="preserve"> </w:t>
      </w:r>
      <w:r>
        <w:rPr>
          <w:rFonts w:ascii="Arial" w:hAnsi="Arial"/>
          <w:color w:val="000000"/>
          <w:sz w:val="20"/>
        </w:rPr>
        <w:t xml:space="preserve">the non-binding advisory vote on the Company’s named executive officers’ compensation (Proposal 2), </w:t>
      </w:r>
      <w:r>
        <w:rPr>
          <w:rFonts w:ascii="Times New Roman" w:hAnsi="Times New Roman"/>
          <w:color w:val="000000"/>
          <w:sz w:val="20"/>
        </w:rPr>
        <w:t>“</w:t>
      </w:r>
      <w:r>
        <w:rPr>
          <w:rFonts w:ascii="Arial" w:hAnsi="Arial"/>
          <w:b/>
          <w:color w:val="000000"/>
          <w:sz w:val="20"/>
        </w:rPr>
        <w:t>FOR”</w:t>
      </w:r>
      <w:r>
        <w:rPr>
          <w:rFonts w:ascii="Times New Roman" w:hAnsi="Times New Roman"/>
          <w:color w:val="000000"/>
          <w:sz w:val="20"/>
        </w:rPr>
        <w:t xml:space="preserve"> </w:t>
      </w:r>
      <w:r>
        <w:rPr>
          <w:rFonts w:ascii="Arial" w:hAnsi="Arial"/>
          <w:color w:val="000000"/>
          <w:sz w:val="20"/>
        </w:rPr>
        <w:t xml:space="preserve">the proposal to approve the Genesco Inc. Fourth Amended and Restated 2020 Equity Incentive Plan (Proposal 3) and </w:t>
      </w:r>
      <w:r>
        <w:rPr>
          <w:rFonts w:ascii="Times New Roman" w:hAnsi="Times New Roman"/>
          <w:color w:val="000000"/>
          <w:sz w:val="20"/>
        </w:rPr>
        <w:t>“</w:t>
      </w:r>
      <w:r>
        <w:rPr>
          <w:rFonts w:ascii="Arial" w:hAnsi="Arial"/>
          <w:b/>
          <w:color w:val="000000"/>
          <w:sz w:val="20"/>
        </w:rPr>
        <w:t>FOR”</w:t>
      </w:r>
      <w:r>
        <w:rPr>
          <w:rFonts w:ascii="Times New Roman" w:hAnsi="Times New Roman"/>
          <w:color w:val="000000"/>
          <w:sz w:val="20"/>
        </w:rPr>
        <w:t xml:space="preserve"> </w:t>
      </w:r>
      <w:r>
        <w:rPr>
          <w:rFonts w:ascii="Arial" w:hAnsi="Arial"/>
          <w:color w:val="000000"/>
          <w:sz w:val="20"/>
        </w:rPr>
        <w:t>the proposal to ratify the appointment of Deloitte &amp; Touche LLP as independent registered public accounting firm to the Company for the current fiscal year (Proposal 4).</w:t>
      </w:r>
    </w:p>
    <w:p>
      <w:pPr>
        <w:pStyle w:val="TextBody"/>
        <w:bidi w:val="0"/>
        <w:spacing w:before="240" w:after="283"/>
        <w:jc w:val="left"/>
        <w:rPr>
          <w:rFonts w:ascii="Times New Roman" w:hAnsi="Times New Roman"/>
          <w:sz w:val="20"/>
        </w:rPr>
      </w:pPr>
      <w:r>
        <w:rPr>
          <w:rFonts w:ascii="Arial" w:hAnsi="Arial"/>
          <w:color w:val="000000"/>
          <w:sz w:val="20"/>
        </w:rPr>
        <w:t xml:space="preserve">You are permitted to vote for fewer than nine nominees for director. If you vote for fewer than nine nominees for director, your shares will only be voted </w:t>
      </w:r>
      <w:r>
        <w:rPr>
          <w:rFonts w:ascii="Times New Roman" w:hAnsi="Times New Roman"/>
          <w:color w:val="000000"/>
          <w:sz w:val="20"/>
        </w:rPr>
        <w:t>“</w:t>
      </w:r>
      <w:r>
        <w:rPr>
          <w:rFonts w:ascii="Arial" w:hAnsi="Arial"/>
          <w:b/>
          <w:color w:val="000000"/>
          <w:sz w:val="20"/>
        </w:rPr>
        <w:t xml:space="preserve">FOR” </w:t>
      </w:r>
      <w:r>
        <w:rPr>
          <w:rFonts w:ascii="Arial" w:hAnsi="Arial"/>
          <w:color w:val="000000"/>
          <w:sz w:val="20"/>
        </w:rPr>
        <w:t xml:space="preserve">those nominees you have so marked. No discretionary authority is available to vote shares represented by an undervoted proxy card for the remaining director seats up for election. If you are a registered holder and submit a validly executed proxy card but vote </w:t>
      </w:r>
      <w:r>
        <w:rPr>
          <w:rFonts w:ascii="Times New Roman" w:hAnsi="Times New Roman"/>
          <w:color w:val="000000"/>
          <w:sz w:val="20"/>
        </w:rPr>
        <w:t>“</w:t>
      </w:r>
      <w:r>
        <w:rPr>
          <w:rFonts w:ascii="Arial" w:hAnsi="Arial"/>
          <w:b/>
          <w:color w:val="000000"/>
          <w:sz w:val="20"/>
        </w:rPr>
        <w:t xml:space="preserve">FOR” </w:t>
      </w:r>
      <w:r>
        <w:rPr>
          <w:rFonts w:ascii="Arial" w:hAnsi="Arial"/>
          <w:color w:val="000000"/>
          <w:sz w:val="20"/>
        </w:rPr>
        <w:t>more than nine nominees, all of your votes with respect to the election of directors will be invalid and will not be counted. Votes on other matters included on the proxy card for which there is no overvote can be counted, and can be counted for purposes of determining a quorum.</w:t>
      </w:r>
    </w:p>
    <w:p>
      <w:pPr>
        <w:pStyle w:val="TextBody"/>
        <w:bidi w:val="0"/>
        <w:spacing w:before="240" w:after="283"/>
        <w:jc w:val="left"/>
        <w:rPr>
          <w:rFonts w:ascii="Arial" w:hAnsi="Arial"/>
          <w:b/>
          <w:i/>
          <w:color w:val="000000"/>
          <w:sz w:val="20"/>
        </w:rPr>
      </w:pPr>
      <w:r>
        <w:rPr>
          <w:rFonts w:ascii="Arial" w:hAnsi="Arial"/>
          <w:b/>
          <w:i/>
          <w:color w:val="000000"/>
          <w:sz w:val="20"/>
        </w:rPr>
        <w:t>What happens if Mr. Radoff withdraws or abandons his solicitation or fails to comply with the universal proxy rules?</w:t>
      </w:r>
    </w:p>
    <w:p>
      <w:pPr>
        <w:pStyle w:val="TextBody"/>
        <w:bidi w:val="0"/>
        <w:spacing w:before="240" w:after="283"/>
        <w:jc w:val="left"/>
        <w:rPr>
          <w:rFonts w:ascii="Times New Roman" w:hAnsi="Times New Roman"/>
          <w:sz w:val="20"/>
        </w:rPr>
      </w:pPr>
      <w:r>
        <w:rPr>
          <w:rFonts w:ascii="Arial" w:hAnsi="Arial"/>
          <w:color w:val="000000"/>
          <w:sz w:val="20"/>
        </w:rPr>
        <w:t xml:space="preserve">In the event that Mr. Radoff withdraws his nominees, abandons his solicitation, or fails to comply with the universal proxy rules after a shareholder has already granted proxy authority, shareholders can still use a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 xml:space="preserve">proxy card or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 xml:space="preserve">voting instruction form to submit a later-dated vote by the Internet, telephone, or mail. In the event that Mr. Radoff withdraws his nominees, abandons his solicitation, or fails to comply with the universal proxy rules, any votes cast in favor of the Radoff Nominees will be disregarded and not counted, whether such vote is provided on the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 xml:space="preserve">proxy card or </w:t>
      </w:r>
      <w:r>
        <w:rPr>
          <w:rFonts w:ascii="Arial" w:hAnsi="Arial"/>
          <w:b/>
          <w:color w:val="000000"/>
          <w:sz w:val="20"/>
          <w:u w:val="single"/>
        </w:rPr>
        <w:t>WHITE</w:t>
      </w:r>
      <w:r>
        <w:rPr>
          <w:rFonts w:ascii="Times New Roman" w:hAnsi="Times New Roman"/>
          <w:color w:val="000000"/>
          <w:sz w:val="20"/>
        </w:rPr>
        <w:t xml:space="preserve"> </w:t>
      </w:r>
      <w:r>
        <w:rPr>
          <w:rFonts w:ascii="Arial" w:hAnsi="Arial"/>
          <w:color w:val="000000"/>
          <w:sz w:val="20"/>
        </w:rPr>
        <w:t>voting instruction form or on Mr. Radoff’s Gold proxy card or Gold voting instruction form.</w:t>
      </w:r>
    </w:p>
    <w:p>
      <w:pPr>
        <w:pStyle w:val="TextBody"/>
        <w:bidi w:val="0"/>
        <w:spacing w:before="240" w:after="283"/>
        <w:jc w:val="left"/>
        <w:rPr>
          <w:rFonts w:ascii="Arial" w:hAnsi="Arial"/>
          <w:b/>
          <w:i/>
          <w:color w:val="000000"/>
          <w:sz w:val="20"/>
        </w:rPr>
      </w:pPr>
      <w:r>
        <w:rPr>
          <w:rFonts w:ascii="Arial" w:hAnsi="Arial"/>
          <w:b/>
          <w:i/>
          <w:color w:val="000000"/>
          <w:sz w:val="20"/>
        </w:rPr>
        <w:t>How does plurality voting work?</w:t>
      </w:r>
    </w:p>
    <w:p>
      <w:pPr>
        <w:pStyle w:val="TextBody"/>
        <w:bidi w:val="0"/>
        <w:spacing w:before="240" w:after="283"/>
        <w:jc w:val="left"/>
        <w:rPr>
          <w:rFonts w:ascii="Times New Roman" w:hAnsi="Times New Roman"/>
          <w:sz w:val="20"/>
        </w:rPr>
      </w:pPr>
      <w:r>
        <w:rPr>
          <w:rFonts w:ascii="Arial" w:hAnsi="Arial"/>
          <w:color w:val="000000"/>
          <w:sz w:val="20"/>
        </w:rPr>
        <w:t>As described previously, Mr. Radoff has nominated the Radoff Nominees for election as directors at the Annual Meeting in opposition to the nominees recommended by the Board. As a result, assuming the Radoff Nominees are in fact proposed for election at the Annual Meeting and all such nominations have not been withdrawn by Mr.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Radoff, the election of directors will be considered a contested election and, as provided by the Company’s Second Amended and Restated Bylaws, directors will be elected on a plurality basis.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This means that the nine director nominees receiving the greatest number of votes cast FOR their election will be elected.</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u w:val="single"/>
        </w:rPr>
      </w:pPr>
      <w:r>
        <w:rPr>
          <w:rFonts w:ascii="Arial" w:hAnsi="Arial"/>
          <w:b/>
          <w:color w:val="000000"/>
          <w:sz w:val="20"/>
          <w:u w:val="single"/>
        </w:rPr>
        <w:t>Annual Meeting Results</w:t>
      </w:r>
    </w:p>
    <w:p>
      <w:pPr>
        <w:pStyle w:val="TextBody"/>
        <w:bidi w:val="0"/>
        <w:spacing w:before="240" w:after="283"/>
        <w:jc w:val="left"/>
        <w:rPr>
          <w:rFonts w:ascii="Arial" w:hAnsi="Arial"/>
          <w:b/>
          <w:i/>
          <w:color w:val="000000"/>
          <w:sz w:val="20"/>
        </w:rPr>
      </w:pPr>
      <w:r>
        <w:rPr>
          <w:rFonts w:ascii="Arial" w:hAnsi="Arial"/>
          <w:b/>
          <w:i/>
          <w:color w:val="000000"/>
          <w:sz w:val="20"/>
        </w:rPr>
        <w:t>Who counts the votes?</w:t>
      </w:r>
    </w:p>
    <w:p>
      <w:pPr>
        <w:pStyle w:val="TextBody"/>
        <w:bidi w:val="0"/>
        <w:spacing w:before="240" w:after="283"/>
        <w:jc w:val="left"/>
        <w:rPr>
          <w:rFonts w:ascii="Arial" w:hAnsi="Arial"/>
          <w:color w:val="000000"/>
          <w:sz w:val="20"/>
        </w:rPr>
      </w:pPr>
      <w:r>
        <w:rPr>
          <w:rFonts w:ascii="Arial" w:hAnsi="Arial"/>
          <w:color w:val="000000"/>
          <w:sz w:val="20"/>
        </w:rPr>
        <w:t>Our independent inspector of elections, First Coast Results, Inc. (the “Independent Inspector of Elections”), will tabulate the votes cast by each proxy and in person at the Annual Meeting.</w:t>
      </w:r>
    </w:p>
    <w:p>
      <w:pPr>
        <w:pStyle w:val="TextBody"/>
        <w:bidi w:val="0"/>
        <w:spacing w:before="240" w:after="283"/>
        <w:jc w:val="left"/>
        <w:rPr>
          <w:rFonts w:ascii="Arial" w:hAnsi="Arial"/>
          <w:b/>
          <w:i/>
          <w:color w:val="000000"/>
          <w:sz w:val="20"/>
        </w:rPr>
      </w:pPr>
      <w:r>
        <w:rPr>
          <w:rFonts w:ascii="Arial" w:hAnsi="Arial"/>
          <w:b/>
          <w:i/>
          <w:color w:val="000000"/>
          <w:sz w:val="20"/>
        </w:rPr>
        <w:t>When will the Company announce the results of the voting at the Annual Meeting?</w:t>
      </w:r>
    </w:p>
    <w:p>
      <w:pPr>
        <w:pStyle w:val="TextBody"/>
        <w:bidi w:val="0"/>
        <w:spacing w:before="240" w:after="283"/>
        <w:jc w:val="left"/>
        <w:rPr>
          <w:rFonts w:ascii="Times New Roman" w:hAnsi="Times New Roman"/>
          <w:sz w:val="20"/>
        </w:rPr>
      </w:pPr>
      <w:r>
        <w:rPr>
          <w:rFonts w:ascii="Arial" w:hAnsi="Arial"/>
          <w:color w:val="000000"/>
          <w:sz w:val="20"/>
        </w:rPr>
        <w:t>Given that we expect the Annual Meeting to be a contested meeting, we may not announce preliminary results of the voting at the Annual Meeting. We will publicly disclose preliminary results of voting at the Annual Meeting based on the preliminary report of the Independent Inspector of Elections on a Current Report on Form 8-K filed with the SEC within four business days following the Annual Meeting, and final results as certified by the Independent Inspector of Elections as soon as practicable thereafter.</w:t>
      </w:r>
      <w:r>
        <w:rPr>
          <w:rFonts w:ascii="Times New Roman" w:hAnsi="Times New Roman"/>
          <w:color w:val="000000"/>
          <w:sz w:val="20"/>
        </w:rPr>
        <w:br/>
        <w:t> </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b/>
          <w:color w:val="000000"/>
          <w:sz w:val="20"/>
        </w:rPr>
      </w:pPr>
      <w:bookmarkStart w:id="6" w:name="backgroun_o_the_solicitation"/>
      <w:bookmarkEnd w:id="6"/>
      <w:r>
        <w:rPr>
          <w:rFonts w:ascii="Arial" w:hAnsi="Arial"/>
          <w:b/>
          <w:color w:val="000000"/>
          <w:sz w:val="20"/>
        </w:rPr>
        <w:t>BACKGROUND TO THE SOLICITATION</w:t>
      </w:r>
    </w:p>
    <w:p>
      <w:pPr>
        <w:pStyle w:val="TextBody"/>
        <w:bidi w:val="0"/>
        <w:spacing w:before="240" w:after="283"/>
        <w:jc w:val="left"/>
        <w:rPr>
          <w:rFonts w:ascii="Arial" w:hAnsi="Arial"/>
          <w:color w:val="000000"/>
          <w:sz w:val="20"/>
        </w:rPr>
      </w:pPr>
      <w:r>
        <w:rPr>
          <w:rFonts w:ascii="Arial" w:hAnsi="Arial"/>
          <w:color w:val="000000"/>
          <w:sz w:val="20"/>
        </w:rPr>
        <w:t>On March 16, 2026, a representative of Bradley Radoff sent an email to the Company’s investor relations team, identifying Mr. Radoff as a shareholder and requesting a meeting with representatives of the Company. This was the first time the Company had heard from Mr. Radoff. The Company responded to Mr. Radoff and arranged a meeting.</w:t>
      </w:r>
    </w:p>
    <w:p>
      <w:pPr>
        <w:pStyle w:val="TextBody"/>
        <w:bidi w:val="0"/>
        <w:spacing w:before="240" w:after="283"/>
        <w:jc w:val="left"/>
        <w:rPr>
          <w:rFonts w:ascii="Times New Roman" w:hAnsi="Times New Roman"/>
          <w:sz w:val="20"/>
        </w:rPr>
      </w:pPr>
      <w:r>
        <w:rPr>
          <w:rFonts w:ascii="Arial" w:hAnsi="Arial"/>
          <w:color w:val="000000"/>
          <w:sz w:val="20"/>
        </w:rPr>
        <w:t>On March 30, 2026, representatives from the Company’s investor relations team met virtually with Mr. Radoff, and Mr. Radoff asked questions about the Company’s strategy and operations.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Two weeks later, on April 13, 2026, Mr. Radoff notified the Company that he was a part of an investor group that would soon be filing a Schedule 13D, disclosing collective ownership of nearly 8% of the Company’s outstanding shares. Mr. Radoff also requested a meeting with Mimi Vaughn, Board Chair, President, Chief Executive Officer and Interim Chief Financial Officer of the Company. The Company responded to Mr. Radoff and arranged a meeting with Ms. Vaughn.</w:t>
      </w:r>
    </w:p>
    <w:p>
      <w:pPr>
        <w:pStyle w:val="TextBody"/>
        <w:bidi w:val="0"/>
        <w:spacing w:before="240" w:after="283"/>
        <w:jc w:val="left"/>
        <w:rPr>
          <w:rFonts w:ascii="Arial" w:hAnsi="Arial"/>
          <w:color w:val="000000"/>
          <w:sz w:val="20"/>
        </w:rPr>
      </w:pPr>
      <w:r>
        <w:rPr>
          <w:rFonts w:ascii="Arial" w:hAnsi="Arial"/>
          <w:color w:val="000000"/>
          <w:sz w:val="20"/>
        </w:rPr>
        <w:t>That same day, representatives from Olshan Frome Wolosky LLP (“Olshan”), counsel to Mr. Radoff and Jumana Capital Investments LLC (“Jumana”), requested the Company’s form of director questionnaire, as required for director nominations pursuant to Article II, Section 6 of the Company’s Second Amended and Restated Bylaws. The Company provided the requested director questionnaire to Olshan on April 17, 2026.</w:t>
      </w:r>
    </w:p>
    <w:p>
      <w:pPr>
        <w:pStyle w:val="TextBody"/>
        <w:bidi w:val="0"/>
        <w:spacing w:before="240" w:after="283"/>
        <w:jc w:val="left"/>
        <w:rPr>
          <w:rFonts w:ascii="Arial" w:hAnsi="Arial"/>
          <w:color w:val="000000"/>
          <w:sz w:val="20"/>
        </w:rPr>
      </w:pPr>
      <w:r>
        <w:rPr>
          <w:rFonts w:ascii="Arial" w:hAnsi="Arial"/>
          <w:color w:val="000000"/>
          <w:sz w:val="20"/>
        </w:rPr>
        <w:t>On April 15, 2026, Mr. Radoff and Jumana jointly filed a Schedule 13D with the SEC, disclosing collective ownership of approximately 7.64% of the Company’s outstanding shares.</w:t>
      </w:r>
    </w:p>
    <w:p>
      <w:pPr>
        <w:pStyle w:val="TextBody"/>
        <w:bidi w:val="0"/>
        <w:spacing w:before="240" w:after="283"/>
        <w:jc w:val="left"/>
        <w:rPr>
          <w:rFonts w:ascii="Arial" w:hAnsi="Arial"/>
          <w:color w:val="000000"/>
          <w:sz w:val="20"/>
        </w:rPr>
      </w:pPr>
      <w:r>
        <w:rPr>
          <w:rFonts w:ascii="Arial" w:hAnsi="Arial"/>
          <w:color w:val="000000"/>
          <w:sz w:val="20"/>
        </w:rPr>
        <w:t>On April 21, 2026, Ms. Vaughn held a virtual meeting with Mr. Radoff and Adam Hirsch, Managing Director at Jumana. At the meeting, Messrs. Radoff and Hirsch suggested the Company could consider a sale of some of its businesses, a sale and leaseback of its real estate, a sale of the entire Company, increased share repurchases and changes to the Board. They did not provide any details on these topics, nor were they willing to identify any suggested candidates or any specific skill sets for the Board. Ms. Vaughn indicated that the Company was open to continuing to engage with Messrs. Radoff and Hirsch to better understand their views.</w:t>
      </w:r>
    </w:p>
    <w:p>
      <w:pPr>
        <w:pStyle w:val="TextBody"/>
        <w:bidi w:val="0"/>
        <w:spacing w:before="240" w:after="283"/>
        <w:jc w:val="left"/>
        <w:rPr>
          <w:rFonts w:ascii="Arial" w:hAnsi="Arial"/>
          <w:color w:val="000000"/>
          <w:sz w:val="20"/>
        </w:rPr>
      </w:pPr>
      <w:r>
        <w:rPr>
          <w:rFonts w:ascii="Arial" w:hAnsi="Arial"/>
          <w:color w:val="000000"/>
          <w:sz w:val="20"/>
        </w:rPr>
        <w:t>On April 24, 2026, Olshan delivered to the Company a formal notice of nomination (the “Nomination Notice”) from Mr. Radoff, stating that Mr. Radoff intended to nominate four director candidates for election at the Annual Meeting: Westervelt T. Ballard, Jr., Glen W. Herrick, Kashif Molwani and Paula J. Poskon. Until delivery of the Nomination Notice, Mr. Radoff had not identified the names or profiles of any of these individuals to the Company.</w:t>
      </w:r>
    </w:p>
    <w:p>
      <w:pPr>
        <w:pStyle w:val="TextBody"/>
        <w:bidi w:val="0"/>
        <w:spacing w:before="240" w:after="283"/>
        <w:jc w:val="left"/>
        <w:rPr>
          <w:rFonts w:ascii="Arial" w:hAnsi="Arial"/>
          <w:color w:val="000000"/>
          <w:sz w:val="20"/>
        </w:rPr>
      </w:pPr>
      <w:r>
        <w:rPr>
          <w:rFonts w:ascii="Arial" w:hAnsi="Arial"/>
          <w:color w:val="000000"/>
          <w:sz w:val="20"/>
        </w:rPr>
        <w:t>On April 27, 2026, Mr. Radoff and Jumana filed an amendment to their Schedule 13D, disclosing an increased collective ownership of approximately 8.06% of the Company’s outstanding shares and disclosing Mr. Radoff’s nomination of his director candidates.</w:t>
      </w:r>
    </w:p>
    <w:p>
      <w:pPr>
        <w:pStyle w:val="TextBody"/>
        <w:bidi w:val="0"/>
        <w:spacing w:before="240" w:after="283"/>
        <w:jc w:val="left"/>
        <w:rPr>
          <w:rFonts w:ascii="Arial" w:hAnsi="Arial"/>
          <w:color w:val="000000"/>
          <w:sz w:val="20"/>
        </w:rPr>
      </w:pPr>
      <w:r>
        <w:rPr>
          <w:rFonts w:ascii="Arial" w:hAnsi="Arial"/>
          <w:color w:val="000000"/>
          <w:sz w:val="20"/>
        </w:rPr>
        <w:t>On April 28, 2026, Scott Becker, the Company’s Senior Vice President, General Counsel and Corporate Secretary, emailed Mr. Radoff that the Company was in receipt of his Nomination Notice and that the Board would review the director candidates in accordance with its established procedures. Mr. Becker also offered to arrange another meeting with Ms. Vaughn to further discuss Mr. Radoff’s perspectives on the Company. In response to Mr. Becker’s invitation, Mr. Radoff requested to meet with Greg Sandfort, the Board’s lead independent director, and any other “non-legacy” directors.</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On May 1, 2026, Mr. Becker indicated that Mr. Sandfort and Ms. Vaughn would be available for a meeting with Mr. Radoff.</w:t>
      </w:r>
    </w:p>
    <w:p>
      <w:pPr>
        <w:pStyle w:val="TextBody"/>
        <w:bidi w:val="0"/>
        <w:spacing w:before="240" w:after="283"/>
        <w:jc w:val="left"/>
        <w:rPr>
          <w:rFonts w:ascii="Times New Roman" w:hAnsi="Times New Roman"/>
          <w:sz w:val="20"/>
        </w:rPr>
      </w:pPr>
      <w:r>
        <w:rPr>
          <w:rFonts w:ascii="Arial" w:hAnsi="Arial"/>
          <w:color w:val="000000"/>
          <w:sz w:val="20"/>
        </w:rPr>
        <w:t>On May 1, 2026, Mr. Radoff declined the offer to meet, claiming that Ms. Vaughn’s attendance at a meeting with Mr. Sandfort would be “inappropriate.”</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On May 4, 2026, Mr. Becker sent an email to Mr. Radoff suggesting a follow-up meeting with Ms. Vaughn, in which Mr. Sandfort would also participate if Mr. Radoff so desired. Mr. Becker’s email also asked to set up interviews of Mr. Radoff’s nominees with the Board’s Nominating and Governance Committee (the “Nominating and Governance Committee”). The same day, Mr. Radoff responded that he and Mr. Hirsch were open to a follow-up meeting with Ms. Vaughn, but that they also wanted to meet with Mr. Sandfort without Ms. Vaughn. Mr. Radoff said that he would only make his nominees available for interviews after he met with Mr. Sandfort.</w:t>
      </w:r>
    </w:p>
    <w:p>
      <w:pPr>
        <w:pStyle w:val="TextBody"/>
        <w:bidi w:val="0"/>
        <w:spacing w:before="240" w:after="283"/>
        <w:jc w:val="left"/>
        <w:rPr>
          <w:rFonts w:ascii="Arial" w:hAnsi="Arial"/>
          <w:color w:val="000000"/>
          <w:sz w:val="20"/>
        </w:rPr>
      </w:pPr>
      <w:r>
        <w:rPr>
          <w:rFonts w:ascii="Arial" w:hAnsi="Arial"/>
          <w:color w:val="000000"/>
          <w:sz w:val="20"/>
        </w:rPr>
        <w:t>On May 7, 2026, Ms. Vaughn and Darryl MacQuarrie, the Company’s Senior Director of Financial Planning and Analysis, had a call with Messrs. Radoff and Hirsch. Mr. Radoff provided high level feedback on ways in which the Company could potentially create more value. When asked what Mr. Radoff wanted the Company to do specifically, he stated that it was premature to talk about his platform. He also said that he would not make his nominees available for interviews at that time, but would be willing to do so at the right time and under a framework. At the end of the call, Ms. Vaughn agreed to check Mr. Sandfort’s availability for a meeting with Messrs. Radoff and Hirsch.</w:t>
      </w:r>
    </w:p>
    <w:p>
      <w:pPr>
        <w:pStyle w:val="TextBody"/>
        <w:bidi w:val="0"/>
        <w:spacing w:before="240" w:after="283"/>
        <w:jc w:val="left"/>
        <w:rPr>
          <w:rFonts w:ascii="Arial" w:hAnsi="Arial"/>
          <w:color w:val="000000"/>
          <w:sz w:val="20"/>
        </w:rPr>
      </w:pPr>
      <w:r>
        <w:rPr>
          <w:rFonts w:ascii="Arial" w:hAnsi="Arial"/>
          <w:color w:val="000000"/>
          <w:sz w:val="20"/>
        </w:rPr>
        <w:t>On May 14, 2026, Messrs. Becker and Sandfort held a virtual meeting with Messrs. Radoff and Hirsch. At the meeting, Messrs. Radoff and Hirsch offered suggestions for the Company to consider, including refreshing the Board, separating the chair and CEO roles, increasing share repurchases, pursuing a sale-leaseback for distribution centers, and considering divestitures of businesses. When asked about arranging interviews of Mr. Radoff’s nominees with the Nominating and Governance Committee, Mr. Radoff reiterated that he would not make the nominees available at that time, but would be willing to do so at the right time and under a framework.</w:t>
      </w:r>
    </w:p>
    <w:p>
      <w:pPr>
        <w:pStyle w:val="TextBody"/>
        <w:bidi w:val="0"/>
        <w:spacing w:before="240" w:after="283"/>
        <w:jc w:val="left"/>
        <w:rPr>
          <w:rFonts w:ascii="Arial" w:hAnsi="Arial"/>
          <w:color w:val="000000"/>
          <w:sz w:val="20"/>
        </w:rPr>
      </w:pPr>
      <w:r>
        <w:rPr>
          <w:rFonts w:ascii="Arial" w:hAnsi="Arial"/>
          <w:color w:val="000000"/>
          <w:sz w:val="20"/>
        </w:rPr>
        <w:t>On May 19, 2026, representatives of Wachtell, Lipton, Rosen &amp; Katz (“Wachtell”), counsel to the Company in connection with the contested solicitation, contacted Olshan to indicate that the Company would be willing to give Mr. Radoff a preview of the upcoming earnings release and topics to be discussed in that release, including share buybacks, subject to Mr. Radoff executing a standard short-term non-disclosure agreement that would expire after issuance of the release and completion of the Company’s analyst call. Wachtell also repeated the Company’s request to arrange interviews with Mr. Radoff’s nominees.</w:t>
      </w:r>
    </w:p>
    <w:p>
      <w:pPr>
        <w:pStyle w:val="TextBody"/>
        <w:bidi w:val="0"/>
        <w:spacing w:before="240" w:after="283"/>
        <w:jc w:val="left"/>
        <w:rPr>
          <w:rFonts w:ascii="Arial" w:hAnsi="Arial"/>
          <w:color w:val="000000"/>
          <w:sz w:val="20"/>
        </w:rPr>
      </w:pPr>
      <w:r>
        <w:rPr>
          <w:rFonts w:ascii="Arial" w:hAnsi="Arial"/>
          <w:color w:val="000000"/>
          <w:sz w:val="20"/>
        </w:rPr>
        <w:t>Later that day, Olshan replied that Mr. Radoff was not willing to enter into a non-disclosure agreement, but would agree to make his nominees available for interviews. The Board accommodated the interviews as quickly as possible and scheduled interviews for May 27 and 28, 2026.</w:t>
      </w:r>
    </w:p>
    <w:p>
      <w:pPr>
        <w:pStyle w:val="TextBody"/>
        <w:bidi w:val="0"/>
        <w:spacing w:before="240" w:after="283"/>
        <w:jc w:val="left"/>
        <w:rPr>
          <w:rFonts w:ascii="Arial" w:hAnsi="Arial"/>
          <w:color w:val="000000"/>
          <w:sz w:val="20"/>
        </w:rPr>
      </w:pPr>
      <w:r>
        <w:rPr>
          <w:rFonts w:ascii="Arial" w:hAnsi="Arial"/>
          <w:color w:val="000000"/>
          <w:sz w:val="20"/>
        </w:rPr>
        <w:t>On May 20, 2026, Olshan contacted Wachtell to communicate that Messrs. Radoff and Hirsch had decided they were willing to enter into a standard short-term non-disclosure agreement in order to receive a preview of the upcoming earnings release and topics to be discussed in that release. On May 21, 2026, the Company and Messrs. Radoff and Hirsch entered into the non-disclosure agreement.</w:t>
      </w:r>
    </w:p>
    <w:p>
      <w:pPr>
        <w:pStyle w:val="TextBody"/>
        <w:bidi w:val="0"/>
        <w:spacing w:before="240" w:after="283"/>
        <w:jc w:val="left"/>
        <w:rPr>
          <w:rFonts w:ascii="Times New Roman" w:hAnsi="Times New Roman"/>
          <w:sz w:val="20"/>
        </w:rPr>
      </w:pPr>
      <w:r>
        <w:rPr>
          <w:rFonts w:ascii="Arial" w:hAnsi="Arial"/>
          <w:color w:val="000000"/>
          <w:sz w:val="20"/>
        </w:rPr>
        <w:t>On May 24, 2026, the Company provided Messrs. Radoff and Hirsch with a draft of the upcoming earnings release pursuant to the non-disclosure agreement. On May 26, 2026, Ms. Vaughn and Mr. Becker met virtually with Messrs. Radoff and Hirsch to discuss the draft earnings release, Messrs. Radoff and Hirsch's feedback and related topics.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On May 27 and May 28, 2026, Joanna Barsh, Chair of the Nominating and Governance Committee, Mr. Sandfort, lead independent director, and Mary E. Meixelsperger, Chair of the Audit Committee, interviewed each</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of Mr. Radoff’s nominees by videoconference, with a focus on understanding the background, skills and experiences that each of them could bring to the Board.</w:t>
      </w:r>
    </w:p>
    <w:p>
      <w:pPr>
        <w:pStyle w:val="TextBody"/>
        <w:bidi w:val="0"/>
        <w:spacing w:before="240" w:after="283"/>
        <w:jc w:val="left"/>
        <w:rPr>
          <w:rFonts w:ascii="Arial" w:hAnsi="Arial"/>
          <w:color w:val="000000"/>
          <w:sz w:val="20"/>
        </w:rPr>
      </w:pPr>
      <w:r>
        <w:rPr>
          <w:rFonts w:ascii="Arial" w:hAnsi="Arial"/>
          <w:color w:val="000000"/>
          <w:sz w:val="20"/>
        </w:rPr>
        <w:t>On May 29, 2026, the Company held its first quarter earnings call, during which the Company reported its seventh consecutive quarter of positive comparable sales and raised its full-year adjusted earnings per share guidance to a range of $2.00 to $2.40. The Company also discussed, among other things, the Company’s</w:t>
        <w:br/>
        <w:t>program for share buybacks.</w:t>
      </w:r>
    </w:p>
    <w:p>
      <w:pPr>
        <w:pStyle w:val="TextBody"/>
        <w:bidi w:val="0"/>
        <w:spacing w:before="240" w:after="283"/>
        <w:jc w:val="left"/>
        <w:rPr>
          <w:rFonts w:ascii="Arial" w:hAnsi="Arial"/>
          <w:color w:val="000000"/>
          <w:sz w:val="20"/>
        </w:rPr>
      </w:pPr>
      <w:r>
        <w:rPr>
          <w:rFonts w:ascii="Arial" w:hAnsi="Arial"/>
          <w:color w:val="000000"/>
          <w:sz w:val="20"/>
        </w:rPr>
        <w:t>Following the earnings release on May 29, 2026, Wachtell contacted Olshan to ask if Mr. Radoff would</w:t>
        <w:br/>
        <w:t>consider withdrawing his slate. Wachtell made clear that the Board had not yet met to consider Mr. Radoff’s</w:t>
        <w:br/>
        <w:t>candidates, but suggested that, in light of the Company’s strong earnings and the fact that a proxy fight would not</w:t>
        <w:br/>
        <w:t>be in anyone’s interest, Mr. Radoff might wish to consider withdrawing. Olshan replied that Mr. Radoff would not</w:t>
        <w:br/>
        <w:t>be withdrawing his slate and, with no basis, aggressively questioned whether the Company’s interviews of Mr.</w:t>
        <w:br/>
        <w:t>Radoff’s candidates were conducted in good faith. Olshan also said that, given Mr. Radoff’s and Jumana’s share</w:t>
        <w:br/>
        <w:t>ownership, they should be entitled to one Board seat. Wachtell replied that the interviews had been very</w:t>
        <w:br/>
        <w:t>informative and that, based on Olshan’s representation that Mr. Radoff would not withdraw his slate, the Board</w:t>
        <w:br/>
        <w:t>would be meeting to make a decision on the candidates.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June 1, 2026, the Board of Directors convened a special meeting to, among other things, discuss Mr. Radoff’s director nominees. The Board determined that, based upon the optimal size of the Board and the skills and experiences already represented on the Board, it would not be in the best interests of the Company and its shareholders to add any of Mr. Radoff’s nominees to the Board at that time.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Later that day, Wachtell contacted Olshan to indicate that the Board had determined not to add any of Mr.</w:t>
        <w:br/>
        <w:t>Radoff’s nominees to the Board, but that the Company remained open to a mutually agreeable resolution. Olshan</w:t>
        <w:br/>
        <w:t>reiterated that Mr. Radoff was not interested in withdrawing his nominees.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That same day, via Olshan, Mr. Radoff requested that the Company share its calculation of the average price of its share repurchases. Wachtell provided the requested information to Olshan on June 2, 2026, showing</w:t>
        <w:br/>
        <w:t>information for share repurchases over the last three years.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June 1, 2026, Mr. Hirsch contacted Ms. Vaughn to ask her to meet with Akbar Mohamed, founder of Jumana. On June 2, 2026, Ms. Vaughn replied and scheduled the meeting with Mr. Mohamed. Later on that same day, Mr. Radoff and Ms. Vaughn exchanged emails about share buybacks. Ms. Vaughn told Mr. Radoff by email that she would be happy to discuss the Company’s thoughts on share buybacks with him, but Mr. Radoff did not reply to the email.</w:t>
      </w:r>
    </w:p>
    <w:p>
      <w:pPr>
        <w:pStyle w:val="TextBody"/>
        <w:bidi w:val="0"/>
        <w:jc w:val="left"/>
        <w:rPr>
          <w:rFonts w:ascii="Arial" w:hAnsi="Arial"/>
          <w:color w:val="000000"/>
          <w:sz w:val="20"/>
        </w:rPr>
      </w:pPr>
      <w:r>
        <w:rPr>
          <w:rFonts w:ascii="Arial" w:hAnsi="Arial"/>
          <w:color w:val="000000"/>
          <w:sz w:val="20"/>
        </w:rPr>
        <w:t>On June 3, 2026, the Company filed its preliminary proxy statement.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June 4, 2026, Mr. Mohamed and Ms. Vaughn met to discuss Mr. Mohamed’s perspectives on the Company. Among other things, Mr. Mohamed suggested that the Company consider adding Mr. Mohamed to the</w:t>
        <w:br/>
        <w:t>Board.</w:t>
        <w:br/>
      </w:r>
      <w:r>
        <w:rPr>
          <w:rFonts w:ascii="Times New Roman" w:hAnsi="Times New Roman"/>
          <w:color w:val="000000"/>
          <w:sz w:val="20"/>
        </w:rPr>
        <w:t> </w:t>
      </w:r>
    </w:p>
    <w:p>
      <w:pPr>
        <w:pStyle w:val="TextBody"/>
        <w:bidi w:val="0"/>
        <w:jc w:val="left"/>
        <w:rPr>
          <w:rFonts w:ascii="Times New Roman" w:hAnsi="Times New Roman"/>
          <w:sz w:val="20"/>
        </w:rPr>
      </w:pPr>
      <w:r>
        <w:rPr>
          <w:rFonts w:ascii="Arial" w:hAnsi="Arial"/>
          <w:color w:val="000000"/>
          <w:sz w:val="20"/>
        </w:rPr>
        <w:t>On June 5, 2026, Olshan sent a demand letter from Mr. Radoff to the Company seeking inspection of</w:t>
        <w:br/>
        <w:t>certain books and records of the Company (the “Books and Records Demand”).</w:t>
        <w:br/>
      </w:r>
      <w:r>
        <w:rPr>
          <w:rFonts w:ascii="Times New Roman" w:hAnsi="Times New Roman"/>
          <w:color w:val="000000"/>
          <w:sz w:val="20"/>
        </w:rPr>
        <w:t> </w:t>
      </w:r>
    </w:p>
    <w:p>
      <w:pPr>
        <w:pStyle w:val="TextBody"/>
        <w:bidi w:val="0"/>
        <w:jc w:val="left"/>
        <w:rPr>
          <w:rFonts w:ascii="Times New Roman" w:hAnsi="Times New Roman"/>
          <w:sz w:val="20"/>
        </w:rPr>
      </w:pPr>
      <w:r>
        <w:rPr>
          <w:rFonts w:ascii="Arial" w:hAnsi="Arial"/>
          <w:color w:val="000000"/>
          <w:sz w:val="20"/>
        </w:rPr>
        <w:t>On June 8, 2026, Olshan sent a notice from Mr. Radoff to the Company withdrawing the nominations of</w:t>
        <w:br/>
        <w:t>Messrs. Herrick and Molwani.</w:t>
        <w:br/>
      </w:r>
      <w:r>
        <w:rPr>
          <w:rFonts w:ascii="Times New Roman" w:hAnsi="Times New Roman"/>
          <w:color w:val="000000"/>
          <w:sz w:val="20"/>
        </w:rPr>
        <w:t> </w:t>
      </w:r>
    </w:p>
    <w:p>
      <w:pPr>
        <w:pStyle w:val="TextBody"/>
        <w:bidi w:val="0"/>
        <w:jc w:val="left"/>
        <w:rPr>
          <w:rFonts w:ascii="Arial" w:hAnsi="Arial"/>
          <w:color w:val="000000"/>
          <w:sz w:val="20"/>
        </w:rPr>
      </w:pPr>
      <w:r>
        <w:rPr>
          <w:rFonts w:ascii="Arial" w:hAnsi="Arial"/>
          <w:color w:val="000000"/>
          <w:sz w:val="20"/>
        </w:rPr>
        <w:t>That same day, Mr. Radoff filed a preliminary proxy statement.</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June 10, 2026, Mr. Radoff and Jumana jointly filed an amendment to its Schedule 13D filing with the</w:t>
        <w:br/>
        <w:t>SEC, disclosing collective ownership of approximately 8.7% of the Company’s outstanding shares.</w:t>
        <w:br/>
      </w:r>
      <w:r>
        <w:rPr>
          <w:rFonts w:ascii="Times New Roman" w:hAnsi="Times New Roman"/>
          <w:color w:val="000000"/>
          <w:sz w:val="20"/>
        </w:rPr>
        <w:t> </w:t>
      </w:r>
    </w:p>
    <w:p>
      <w:pPr>
        <w:pStyle w:val="TextBody"/>
        <w:bidi w:val="0"/>
        <w:jc w:val="left"/>
        <w:rPr>
          <w:rFonts w:ascii="Times New Roman" w:hAnsi="Times New Roman"/>
          <w:sz w:val="20"/>
        </w:rPr>
      </w:pPr>
      <w:r>
        <w:rPr>
          <w:rFonts w:ascii="Arial" w:hAnsi="Arial"/>
          <w:color w:val="000000"/>
          <w:sz w:val="20"/>
        </w:rPr>
        <w:t>On June 11, 2026, Wachtell responded to the Books and Records Demand on behalf of the Company and provided a draft confidentiality agreement to facilitate the exchange of the materials that Mr. Radoff requested.</w:t>
        <w:br/>
      </w:r>
      <w:r>
        <w:rPr>
          <w:rFonts w:ascii="Times New Roman" w:hAnsi="Times New Roman"/>
          <w:color w:val="000000"/>
          <w:sz w:val="20"/>
        </w:rPr>
        <w:t> </w:t>
      </w:r>
    </w:p>
    <w:p>
      <w:pPr>
        <w:pStyle w:val="TextBody"/>
        <w:bidi w:val="0"/>
        <w:jc w:val="left"/>
        <w:rPr>
          <w:rFonts w:ascii="Times New Roman" w:hAnsi="Times New Roman"/>
          <w:sz w:val="20"/>
        </w:rPr>
      </w:pPr>
      <w:r>
        <w:rPr>
          <w:rFonts w:ascii="Arial" w:hAnsi="Arial"/>
          <w:color w:val="000000"/>
          <w:sz w:val="20"/>
        </w:rPr>
        <w:t>That same day, the Company filed a revised preliminary proxy statement.</w:t>
        <w:br/>
      </w:r>
      <w:r>
        <w:rPr>
          <w:rFonts w:ascii="Times New Roman" w:hAnsi="Times New Roman"/>
          <w:color w:val="000000"/>
          <w:sz w:val="20"/>
        </w:rPr>
        <w:t> </w:t>
      </w:r>
    </w:p>
    <w:p>
      <w:pPr>
        <w:pStyle w:val="TextBody"/>
        <w:bidi w:val="0"/>
        <w:jc w:val="left"/>
        <w:rPr>
          <w:rFonts w:ascii="Arial" w:hAnsi="Arial"/>
          <w:color w:val="000000"/>
          <w:sz w:val="20"/>
        </w:rPr>
      </w:pPr>
      <w:r>
        <w:rPr>
          <w:rFonts w:ascii="Arial" w:hAnsi="Arial"/>
          <w:color w:val="000000"/>
          <w:sz w:val="20"/>
        </w:rPr>
        <w:t>On June 15, 2026, the Company filed this definitive proxy statement.</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7" w:name="proposal_1_election_of_directors"/>
      <w:bookmarkEnd w:id="7"/>
      <w:r>
        <w:rPr>
          <w:rFonts w:ascii="Arial" w:hAnsi="Arial"/>
          <w:b/>
          <w:color w:val="000000"/>
          <w:sz w:val="20"/>
        </w:rPr>
        <w:t>PROPOSAL 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ELECTION OF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Board currently has nine directors, all of which are standing for re-election at the Annual Meeting. The nine directors standing for re-election at the Annual Meeting will hold office until the next annual meeting of shareholders and/or until their successors are elected and qualified. A plurality of the votes cast by the holders of shares entitled to vote in the election is required to elect a director. All of the nominees are presently serving as directors, and all have agreed to serve if elected. All nominees have previously been elected by the Company’s shareholders. The shares represented by valid proxies will be voted FOR the election of the following nominees, unless the proxies specify otherwise. If any nominee becomes unable or unwilling to serve prior to the Annual Meeting, the Board may reduce the number of directors comprising the Board, as permitted by the Company’s Second Amended and Restated Bylaws (the “Bylaws”), or the proxies will be voted for a substitute nominee recommended by the Board.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The Board unanimously recommends that the shareholders vote FOR all of the director nominees.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 xml:space="preserve">Mr. Radoff has notified the Company of his intent to nominate four nominees for election as directors at the Annual Meeting. The Board does not endorse any Radoff Nominee and unanimously recommends that you disregard any proxy card that may be sent to you by Mr. Radoff. Voting to “withhold” with respect to any Radoff Nominee on its proxy card is not the same as voting for the Board’s nominees, because a vote to “withhold” with respect to any Radoff Nominee on its proxy card will revoke any previous </w:t>
      </w:r>
      <w:r>
        <w:rPr>
          <w:rFonts w:ascii="Arial" w:hAnsi="Arial"/>
          <w:b/>
          <w:color w:val="000000"/>
          <w:sz w:val="20"/>
          <w:u w:val="single"/>
        </w:rPr>
        <w:t>WHITE</w:t>
      </w:r>
      <w:r>
        <w:rPr>
          <w:rFonts w:ascii="Times New Roman" w:hAnsi="Times New Roman"/>
          <w:color w:val="000000"/>
          <w:sz w:val="20"/>
        </w:rPr>
        <w:t xml:space="preserve"> </w:t>
      </w:r>
      <w:r>
        <w:rPr>
          <w:rFonts w:ascii="Arial" w:hAnsi="Arial"/>
          <w:b/>
          <w:color w:val="000000"/>
          <w:sz w:val="20"/>
        </w:rPr>
        <w:t xml:space="preserve">proxy card submitted by you. If you have already voted using a proxy card sent to you by Mr. Radoff, you have every right to change your vote and we urge you to revoke that proxy by voting the enclosed </w:t>
      </w:r>
      <w:r>
        <w:rPr>
          <w:rFonts w:ascii="Arial" w:hAnsi="Arial"/>
          <w:b/>
          <w:color w:val="000000"/>
          <w:sz w:val="20"/>
          <w:u w:val="single"/>
        </w:rPr>
        <w:t>WHITE</w:t>
      </w:r>
      <w:r>
        <w:rPr>
          <w:rFonts w:ascii="Times New Roman" w:hAnsi="Times New Roman"/>
          <w:color w:val="000000"/>
          <w:sz w:val="20"/>
        </w:rPr>
        <w:t xml:space="preserve"> </w:t>
      </w:r>
      <w:r>
        <w:rPr>
          <w:rFonts w:ascii="Arial" w:hAnsi="Arial"/>
          <w:b/>
          <w:color w:val="000000"/>
          <w:sz w:val="20"/>
        </w:rPr>
        <w:t>proxy card by telephone or by Internet, or by signing, dating and returning it promptly. Only the latest dated validly executed proxy that you submit will be counted.</w:t>
      </w:r>
    </w:p>
    <w:p>
      <w:pPr>
        <w:pStyle w:val="TextBody"/>
        <w:bidi w:val="0"/>
        <w:spacing w:before="240" w:after="283"/>
        <w:jc w:val="left"/>
        <w:rPr>
          <w:rFonts w:ascii="Arial" w:hAnsi="Arial"/>
          <w:color w:val="000000"/>
          <w:sz w:val="20"/>
        </w:rPr>
      </w:pPr>
      <w:r>
        <w:rPr>
          <w:rFonts w:ascii="Arial" w:hAnsi="Arial"/>
          <w:color w:val="000000"/>
          <w:sz w:val="20"/>
        </w:rPr>
        <w:t>Although the Company is required to include all nominees for election on its universal proxy card, for</w:t>
        <w:br/>
        <w:t>additional information regarding the Radoff Nominees, including the information required by Item 7 of Schedule</w:t>
        <w:br/>
        <w:t>14A and any other related information, please refer to Mr. Radoff’s proxy statement, which is accessible without</w:t>
        <w:br/>
        <w:t>cost at www.sec.gov. The Company is not responsible for the accuracy or completeness of any information</w:t>
        <w:br/>
        <w:t>provided by or relating to Mr. Radoff or the Radoff Nominees contained in solicitation materials filed or</w:t>
        <w:br/>
        <w:t>disseminated by or on behalf of Mr. Radoff or any other statements Mr. Radoff may make.</w:t>
      </w:r>
    </w:p>
    <w:p>
      <w:pPr>
        <w:pStyle w:val="TextBody"/>
        <w:bidi w:val="0"/>
        <w:spacing w:before="240" w:after="283"/>
        <w:jc w:val="left"/>
        <w:rPr>
          <w:rFonts w:ascii="Times New Roman" w:hAnsi="Times New Roman"/>
          <w:sz w:val="20"/>
        </w:rPr>
      </w:pPr>
      <w:r>
        <w:rPr>
          <w:rFonts w:ascii="Arial" w:hAnsi="Arial"/>
          <w:b/>
          <w:color w:val="000000"/>
          <w:sz w:val="20"/>
        </w:rPr>
        <w:t>Information Concerning Nominees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All the Company’s directors have demonstrated business acumen, the ability to exercise sound business judgment, and a commitment to serve the Company as directors. They also bring a variety of professional backgrounds and leadership experience that contribute to the effectiveness of the Board in fulfilling its responsibilities to the Company. Set forth below is biographical information about each director and a discussion of factors in his or her experience that the Board views as supporting his or her continued service on the Board.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JOANNA BARSH, 73, </w:t>
      </w:r>
      <w:r>
        <w:rPr>
          <w:rFonts w:ascii="Arial" w:hAnsi="Arial"/>
          <w:i/>
          <w:color w:val="000000"/>
          <w:sz w:val="20"/>
        </w:rPr>
        <w:t xml:space="preserve">Independent Consultant; Director Emerita, McKinsey &amp; Company. </w:t>
      </w:r>
      <w:r>
        <w:rPr>
          <w:rFonts w:ascii="Arial" w:hAnsi="Arial"/>
          <w:color w:val="000000"/>
          <w:sz w:val="20"/>
        </w:rPr>
        <w:t xml:space="preserve">Ms. Barsh joined Genesco's Board in November 2013. She served as a senior partner emeritus of McKinsey &amp; Company, a global management consulting firm, from March 2013 through March 2026, following more than 30 years with that firm, where she had been a senior partner since 1994. She is the author of several books on leadership and continues to conduct research on talent management within the U.S. and in Latin America. Ms. Barsh has counseled companies and organizations around the world in the retail, consumer products, direct selling, private equity, and media sectors on strategic and operational issues. She has been a strong advocate for women for over two decades, having worked with </w:t>
      </w:r>
      <w:r>
        <w:rPr>
          <w:rFonts w:ascii="Arial" w:hAnsi="Arial"/>
          <w:i/>
          <w:color w:val="000000"/>
          <w:sz w:val="20"/>
        </w:rPr>
        <w:t>The Wall Street Journal</w:t>
      </w:r>
      <w:r>
        <w:rPr>
          <w:rFonts w:ascii="Arial" w:hAnsi="Arial"/>
          <w:color w:val="000000"/>
          <w:sz w:val="20"/>
        </w:rPr>
        <w:t xml:space="preserve">, the U.S. Chamber of Commerce, </w:t>
      </w:r>
      <w:r>
        <w:rPr>
          <w:rFonts w:ascii="Arial" w:hAnsi="Arial"/>
          <w:i/>
          <w:color w:val="000000"/>
          <w:sz w:val="20"/>
        </w:rPr>
        <w:t>Fortune</w:t>
      </w:r>
      <w:r>
        <w:rPr>
          <w:rFonts w:ascii="Arial" w:hAnsi="Arial"/>
          <w:color w:val="000000"/>
          <w:sz w:val="20"/>
        </w:rPr>
        <w:t>, Danone's Eve Program, and Monterrey Tech. The Board believes that Ms. Barsh's expertise gained through more than three decades of helping management teams and boards identify market opportunities, chart and implement strategies, identify and execute business transformations and navigate industry transitions, as well as her extensive research</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on advancing women and people of color in the workplace, provide valuable insight to Genesco's Board and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MATTHEW M. BILUNAS, 53, </w:t>
      </w:r>
      <w:r>
        <w:rPr>
          <w:rFonts w:ascii="Arial" w:hAnsi="Arial"/>
          <w:i/>
          <w:color w:val="000000"/>
          <w:sz w:val="20"/>
        </w:rPr>
        <w:t xml:space="preserve">Senior Executive Vice President, Chief Financial Officer, Best Buy Co., Inc. </w:t>
      </w:r>
      <w:r>
        <w:rPr>
          <w:rFonts w:ascii="Arial" w:hAnsi="Arial"/>
          <w:color w:val="000000"/>
          <w:sz w:val="20"/>
        </w:rPr>
        <w:t>Matt Bilunas is the chief financial officer and senior executive vice president of enterprise strategy for Best Buy Co., Inc (“Best Buy”) (NYSE: BBY). He is responsible for overseeing all aspects of global finance, including audit, procurement and financial services, as well as enterprise strategy and real estate. Since joining Best Buy in 2006, Mr. Bilunas has served in a variety of financial leadership roles, both in the field and at the corporate campus. He started as a territory finance director in Los Angeles and has worked in the company’s domestic and international businesses. Mr. Bilunas has been a key leader during Best Buy’s transformation. Prior to becoming CFO, he was senior vice president of enterprise and merchandise finance. He also has held finance roles in retail, e-commerce and marketing. Before joining Best Buy, Mr. Bilunas worked at Carlson Inc., NRG Energy Inc. (NYSE: NRG), Bandag Inc., and KPMG. He holds a bachelor’s degree in accounting from Iowa State University. The Board believes that Mr. Bilunas’ experience as a chief financial officer and his expertise and knowledge of accounting, auditing, internal control over financial reporting and investor relations by publicly-traded companies are valuable to the Board and to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CAROLYN BOJANOWSKI, 48, </w:t>
      </w:r>
      <w:r>
        <w:rPr>
          <w:rFonts w:ascii="Arial" w:hAnsi="Arial"/>
          <w:i/>
          <w:color w:val="000000"/>
          <w:sz w:val="20"/>
        </w:rPr>
        <w:t xml:space="preserve">Executive Vice President Merchandising, Sephora USA, a division of LVMH Moët Hennessy Louis Vuitton SE. </w:t>
      </w:r>
      <w:r>
        <w:rPr>
          <w:rFonts w:ascii="Arial" w:hAnsi="Arial"/>
          <w:color w:val="000000"/>
          <w:sz w:val="20"/>
        </w:rPr>
        <w:t>During her 21-year tenure at Sephora USA, a division of LVMH Moët Hennessy Louis Vuitton SE, where she has served as executive vice president merchandising since September 2022, Ms. Bojanowski has made transformative contributions in omni-channel retailing, e-commerce, merchandising, marketing, and brand and product development. She is currently a member of the company’s North American Operating Committee and is responsible for sales through all of Sephora’s channels, including Sephora stores, Sephora.com and Sephora inside Kohl’s. From June 2020 to September 2022, Ms. Bojanowski served as senior vice president, general manager e-commerce; from March 2020 to June 2020, she served as senior vice president, dotcom merchandising and gift cards; and from January 2017 to March 2020, she served as vice president, Sephora.com merchandising. Ms. Bojanowski has led the company’s dotcom merchandising and marketing, and e-commerce delivery strategy, created new digital partnerships, introduced new payment methods, launched buy online pick up in store and same day delivery capabilities, and elevated the dotcom client experience in both the U.S. and Canada. A seasoned operator and accomplished strategist, Ms. Bojanowski has extensive experience working with more than 200 brands and driving growth and innovation at Sephora. The Board believes that Ms. Bojanowski’s experience in merchandising, marketing and brand development, as well as her experience in digital and e-commerce, is valuable to the Board and to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JOHN F. LAMBROS, 60,</w:t>
      </w:r>
      <w:r>
        <w:rPr>
          <w:rFonts w:ascii="Times New Roman" w:hAnsi="Times New Roman"/>
          <w:color w:val="000000"/>
          <w:sz w:val="20"/>
        </w:rPr>
        <w:t xml:space="preserve"> </w:t>
      </w:r>
      <w:r>
        <w:rPr>
          <w:rFonts w:ascii="Arial" w:hAnsi="Arial"/>
          <w:i/>
          <w:color w:val="000000"/>
          <w:sz w:val="20"/>
        </w:rPr>
        <w:t xml:space="preserve">Managing Director and Co-Head U.S. Technology Group, Head Global Digital Media &amp; Entertainment, Houlihan Lokey. </w:t>
      </w:r>
      <w:r>
        <w:rPr>
          <w:rFonts w:ascii="Arial" w:hAnsi="Arial"/>
          <w:color w:val="000000"/>
          <w:sz w:val="20"/>
        </w:rPr>
        <w:t>Mr. Lambros is managing director and co-head U.S. Technology Group, and head global digital media &amp; entertainment at Houlihan Lokey. He previously served as president of GCA-U.S., a global investment bank, serving as the head of its digital media banking practice. He also served as a member of its board of directors and executive committee and served as a member of the board of directors of GCA Corporation, its parent company (TYO: 2174). Mr. Lambros has been an active advisor to and operator in the digital media and emerging technology markets. As an investment banker, Mr. Lambros has led more than 250 public and private market financings, merger and acquisition transactions, recapitalizations, joint ventures and senior and subordinated debt financings. From 2000 to 2003, he was senior vice president of business development for Into Networks, a broadband technology company. From 1993 to 2000, Mr. Lambros was a banker at Morgan Stanley &amp; Co. (NYSE: MS), where he served as a vice president and member of the global communications group focused on advising emerging telecommunications, media and technology clients. The Board considers Mr. Lambros’ experience in corporate finance, digital media, emerging technology sectors, as well as his experience with strategic portfolio reviews, M&amp;A, transaction matters and capital markets to be beneficial to Genesco’s Board.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THURGOOD MARSHALL, JR., 69, </w:t>
      </w:r>
      <w:r>
        <w:rPr>
          <w:rFonts w:ascii="Arial" w:hAnsi="Arial"/>
          <w:i/>
          <w:color w:val="000000"/>
          <w:sz w:val="20"/>
        </w:rPr>
        <w:t xml:space="preserve">Retired Partner, Morgan, Lewis &amp; Bockius LLP. </w:t>
      </w:r>
      <w:r>
        <w:rPr>
          <w:rFonts w:ascii="Arial" w:hAnsi="Arial"/>
          <w:color w:val="000000"/>
          <w:sz w:val="20"/>
        </w:rPr>
        <w:t>Mr. Marshall, who joined Genesco’s Board in 2012, was a partner in the Washington, D.C. office of the law firm of Morgan, Lewis &amp;</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Bockius LLP until his retirement in September 2019. He serves on the board of EN+ Group (LSE:ENPL &amp; MOEX:ENPG), a publicly traded multinational producer of hydropower and low-carbon aluminum. He also serves on the board of CoreCivic Inc. (NYSE: CXW), a publicly-traded, full-service corrections management and real estate solutions provider. He is a former board member of the Ethics Compliance and Certification Institute, the United States Postal Service and the Ford Foundation. Mr. Marshall works at the intersection of law, business, politics and policy. He has practiced law, held senior government appointments, and he serves on an array of corporate and non-profit boards. Mr. Marshall’s professional background includes service in all three branches of the federal government and in the private sector. Prior to joining a predecessor of Morgan, Lewis &amp; Bockius LLP as a partner in 2001, he served in roles including Assistant to the President and Cabinet Secretary from 1997 to 2001, co-chair of the White House Olympic Task Force in connection with the 2002 Winter Olympics, director of legislative affairs and deputy counsel to the Vice President, counsel to the Senate Judiciary Committee, the Committee on Commerce, Science &amp; Transportation, and the Governmental Affairs Committee, and as a judicial clerk to the Honorable Barrington D. Parker of the U.S. District Court for the District of Columbia. The Board believes that Mr. Marshall’s extensive experience in government service, insight into regulatory affairs, and his expertise in corporate governance and oversight, ethics and risk management and stakeholder relations gained through service as a director in for-profit, non-profit, and public sectors, bring unique and valuable perspective to Genesco.</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ANGEL R. MARTINEZ, 71, Co-</w:t>
      </w:r>
      <w:r>
        <w:rPr>
          <w:rFonts w:ascii="Arial" w:hAnsi="Arial"/>
          <w:i/>
          <w:color w:val="000000"/>
          <w:sz w:val="20"/>
        </w:rPr>
        <w:t>Chief Executive Officer and Director, Oofos</w:t>
      </w:r>
      <w:r>
        <w:rPr>
          <w:rFonts w:ascii="Arial" w:hAnsi="Arial"/>
          <w:color w:val="000000"/>
          <w:sz w:val="20"/>
        </w:rPr>
        <w:t>. Mr. Martinez was named co-chief executive officer of Oofos, a recovery footwear brand, in October 2025, after joining the Oofos board of directors in February 2025. He previously served as chief executive officer and president of Deckers Brands (formerly known as Deckers Outdoor Corporation) (NYSE: DECK), a footwear designer and distributor whose brands include UGG, Teva, Hoka and Koolaburra, from April 2005 until his retirement in June 2016, as executive chairman of the board from 2008 until June 2016, and as non-executive chairman of the board from June 2016 until September 2017. Prior to joining Deckers, Mr. Martinez was co-founder of Keen LLC, an outdoor footwear manufacturer, and served as its president, chief executive officer and vice chairman from April 2003 to March 2005. Prior thereto, he served as executive vice president and chief marketing officer of Reebok International Ltd. and as chief executive officer and president of The Rockport Company, a subsidiary of Reebok International Ltd. He currently serves on the board of directors and is a member of the audit committee of Korn Ferry (NYSE: KFY) and served on the board of directors and as a member of the compensation committee of Tupperware Brands Corporation (NYSE: TUP) from 1998 to 2020. The Board believes that Mr. Martinez’s 40 years of experience in the retail footwear industry and his operational and strategic knowledge, including his expertise in capital allocation, navigating and leading industry transitions and business transformation, and human capital management, gained through his experience as a leader and board member of other publicly-traded companies brings valuable insight to the Board and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MARY E. MEIXELSPERGER, 65, </w:t>
      </w:r>
      <w:r>
        <w:rPr>
          <w:rFonts w:ascii="Arial" w:hAnsi="Arial"/>
          <w:i/>
          <w:color w:val="000000"/>
          <w:sz w:val="20"/>
        </w:rPr>
        <w:t>Retired Chief Financial Officer, Valvoline Inc.</w:t>
      </w:r>
      <w:r>
        <w:rPr>
          <w:rFonts w:ascii="Times New Roman" w:hAnsi="Times New Roman"/>
          <w:color w:val="000000"/>
          <w:sz w:val="20"/>
        </w:rPr>
        <w:t xml:space="preserve"> </w:t>
      </w:r>
      <w:r>
        <w:rPr>
          <w:rFonts w:ascii="Arial" w:hAnsi="Arial"/>
          <w:color w:val="000000"/>
          <w:sz w:val="20"/>
        </w:rPr>
        <w:t>Mary E. Meixelsperger was chief financial officer of Valvoline Inc. (NYSE: VVV) and served in that role from 2016 to 2025. Valvoline is a leading provider of automotive preventative maintenance services in its more than 1,900 retail stores throughout the United States and Canada. Prior to joining Valvoline Inc., Ms. Meixelsperger was senior vice president and chief financial officer of DSW Inc. (NYSE: DSW), now operating as Designer Brands Inc. (NYSE: DBI), one of North America's largest designers, producers and retailers of footwear and accessories, from April 2014 to June 2016, and held the roles of chief financial officer, controller and treasurer at Shopko Stores from 2006 to 2014. Ms. Meixelsperger also serves as a director of a wholly-owned subsidiary of Valvoline Inc. and served as a director of Valvoline Cummins Private Ltd., a joint venture between Valvoline Inc. and Cummins India from 2017 to 2020. She also served as Immediate Past Chairperson of the United Way of the Bluegrass until June 2025. Ms. Meixelsperger has over thirty years of experience in various aspects of finance, accounting, risk management, business development, strategic planning, and information technology, and has served in senior leadership roles at several companies, including shoe retailer, DSW, and automotive services company, Valvoline. The Board believes that Ms. Meixelsperger's decades of experience as a chief financial officer, her expertise and knowledge of accounting, auditing, and internal control over financial reporting by publicly-traded companies, and her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experience with omni-channel strategy and the specialty footwear retail industry will be valuable to the Board and to the Company.</w:t>
      </w:r>
    </w:p>
    <w:p>
      <w:pPr>
        <w:pStyle w:val="TextBody"/>
        <w:bidi w:val="0"/>
        <w:spacing w:before="240" w:after="283"/>
        <w:jc w:val="left"/>
        <w:rPr>
          <w:rFonts w:ascii="Times New Roman" w:hAnsi="Times New Roman"/>
          <w:sz w:val="20"/>
        </w:rPr>
      </w:pPr>
      <w:r>
        <w:rPr>
          <w:rFonts w:ascii="Arial" w:hAnsi="Arial"/>
          <w:color w:val="000000"/>
          <w:sz w:val="20"/>
        </w:rPr>
        <w:t>GREGORY A. SANDFORT, 70,</w:t>
      </w:r>
      <w:r>
        <w:rPr>
          <w:rFonts w:ascii="Times New Roman" w:hAnsi="Times New Roman"/>
          <w:color w:val="000000"/>
          <w:sz w:val="20"/>
        </w:rPr>
        <w:t xml:space="preserve"> </w:t>
      </w:r>
      <w:r>
        <w:rPr>
          <w:rFonts w:ascii="Arial" w:hAnsi="Arial"/>
          <w:i/>
          <w:color w:val="000000"/>
          <w:sz w:val="20"/>
        </w:rPr>
        <w:t xml:space="preserve">Lead Independent Director; Former Chief Executive Officer and Director, Tractor Supply Company. </w:t>
      </w:r>
      <w:r>
        <w:rPr>
          <w:rFonts w:ascii="Arial" w:hAnsi="Arial"/>
          <w:color w:val="000000"/>
          <w:sz w:val="20"/>
        </w:rPr>
        <w:t>Gregory A. Sandfort served as chief executive officer of Tractor Supply Company (Nasdaq: TSCO) (“Tractor Supply”) from May 2016 to January 2020 and as a member of the board of directors of Tractor Supply from February 2013 to May 2020. Following his retirement, he served as strategic advisor and consultant to Tractor Supply from January to August 2020. Mr. Sandfort served as president and chief executive officer of Tractor Supply from December 2012 to May 2016 and as president and chief operating officer of Tractor Supply from February 2012. Mr. Sandfort also previously served in the roles of president and chief merchandising officer and executive vice president – chief merchandising officer of Tractor Supply. Mr. Sandfort served as president and chief operating officer at Michaels Stores, Inc. from March 2006 to August 2007 and as executive vice president – general merchandise manager at Michaels Stores, Inc. from January 2004 to February 2006. Mr. Sandfort has also served as a director of WD-40 Company (Nasdaq: WDFC) since 2011 and as Chair of the Board of WD-40 Company since October 2020. He was also formerly a director of Kirkland’s, Inc. (Nasdaq: KIRK). With over 40 years of experience in the retail industry, Mr. Sandfort brings a wealth of knowledge regarding all facets of Genesco’s industry and retail, including merchandising, marketing, brand management, operations, strategic planning, human resource management and logistics. The Board considers his broad-based experience in the retail industry, his expertise in capital allocation and his understanding of customer dynamics and shifting consumer preferences and ability to leverage such understanding to successfully lead business transformations to be valuable to the Board and to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MIMI E. VAUGHN</w:t>
      </w:r>
      <w:r>
        <w:rPr>
          <w:rFonts w:ascii="Arial" w:hAnsi="Arial"/>
          <w:b/>
          <w:color w:val="000000"/>
          <w:sz w:val="20"/>
        </w:rPr>
        <w:t>,</w:t>
      </w:r>
      <w:r>
        <w:rPr>
          <w:rFonts w:ascii="Times New Roman" w:hAnsi="Times New Roman"/>
          <w:color w:val="000000"/>
          <w:sz w:val="20"/>
        </w:rPr>
        <w:t xml:space="preserve"> </w:t>
      </w:r>
      <w:r>
        <w:rPr>
          <w:rFonts w:ascii="Arial" w:hAnsi="Arial"/>
          <w:color w:val="000000"/>
          <w:sz w:val="20"/>
        </w:rPr>
        <w:t xml:space="preserve">60, </w:t>
      </w:r>
      <w:r>
        <w:rPr>
          <w:rFonts w:ascii="Arial" w:hAnsi="Arial"/>
          <w:i/>
          <w:color w:val="000000"/>
          <w:sz w:val="20"/>
        </w:rPr>
        <w:t>Board Chair,</w:t>
      </w:r>
      <w:r>
        <w:rPr>
          <w:rFonts w:ascii="Times New Roman" w:hAnsi="Times New Roman"/>
          <w:color w:val="000000"/>
          <w:sz w:val="20"/>
        </w:rPr>
        <w:t xml:space="preserve"> </w:t>
      </w:r>
      <w:r>
        <w:rPr>
          <w:rFonts w:ascii="Arial" w:hAnsi="Arial"/>
          <w:i/>
          <w:color w:val="000000"/>
          <w:sz w:val="20"/>
        </w:rPr>
        <w:t>President, Chief Executive Officer and Interim Chief Financial Officer</w:t>
      </w:r>
      <w:r>
        <w:rPr>
          <w:rFonts w:ascii="Arial" w:hAnsi="Arial"/>
          <w:color w:val="000000"/>
          <w:sz w:val="20"/>
        </w:rPr>
        <w:t>. Ms. Vaughn joined the Company in September 2003 as vice president of strategy and business development. She was named senior vice president, strategy and business development in October 2006, senior vice president of strategy and shared services in April 2009 and senior vice president – finance and chief financial officer in February 2015. In May 2019, Ms. Vaughn was named senior vice president and chief operating officer and continued to serve as senior vice president-finance and chief financial officer until her successor was appointed in June 2019. In October 2019, Ms. Vaughn was appointed to become president and chief executive officer of the Company on February 2, 2020 and was appointed as a director effective October 30, 2019. As of March 6, 2026, Ms. Vaughn became the Company's interim chief financial officer until the Company names a successor. Ms. Vaughn has also served as a director of Five Below, Inc. (Nasdaq: FIVE) since September 2023. Prior to joining the Company, Ms. Vaughn was executive vice president of business development and marketing, and acting chief financial officer from 2000 to 2001, for Link2Gov Corporation in Nashville. From 1993 to 1999, she was a consultant at McKinsey &amp; Company in Atlanta. Ms. Vaughn brings to the Board proven and critical experience and leadership developed by serving in multiple positions with the Company for more than 20 years. With her background in strategy and corporate finance, and her experience in the retail industry, the Board believes Ms. Vaughn is the appropriate person to lead the Company in executing its footwear first strategy.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Current Board Composition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following matrix provides information regarding the members of our Board nominated for election at the Annual Meeting, including demographic information for, and certain qualifications and experience possessed by, the members of our Board, which our Board believes are relevant to our business and industry and provide a range of viewpoints that are invaluable for our Board’s discussions and decision-making processes. The matrix does not encompass all of the qualifications, experiences or attributes of the members of our Board, and the fact that a particular qualification, experience or attribute is not listed does not mean that a director does not possess it. In addition, the absence of a particular qualification, experience or attribute with respect to any of the members of our Board does not mean the director in question is unable to contribute to the decision-making process in that area. The type and degree of qualification and experience listed below may vary among the members of the Board.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17"/>
        <w:gridCol w:w="146"/>
        <w:gridCol w:w="481"/>
        <w:gridCol w:w="146"/>
        <w:gridCol w:w="586"/>
        <w:gridCol w:w="146"/>
        <w:gridCol w:w="841"/>
        <w:gridCol w:w="146"/>
        <w:gridCol w:w="661"/>
        <w:gridCol w:w="146"/>
        <w:gridCol w:w="661"/>
        <w:gridCol w:w="146"/>
        <w:gridCol w:w="661"/>
        <w:gridCol w:w="146"/>
        <w:gridCol w:w="1021"/>
        <w:gridCol w:w="146"/>
        <w:gridCol w:w="646"/>
        <w:gridCol w:w="146"/>
        <w:gridCol w:w="616"/>
      </w:tblGrid>
      <w:tr>
        <w:trPr/>
        <w:tc>
          <w:tcPr>
            <w:tcW w:w="2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Qualifications and Experience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Barsh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Bilunas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Bojanwoski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Lambros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Marshall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Martinez</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Meixelsperger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Sandfort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Vaughn</w:t>
            </w:r>
          </w:p>
        </w:tc>
      </w:tr>
      <w:tr>
        <w:trPr/>
        <w:tc>
          <w:tcPr>
            <w:tcW w:w="2717"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Public Company Leadership (CEO or</w:t>
              <w:br/>
              <w:t>   Board Experience)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r>
      <w:tr>
        <w:trPr/>
        <w:tc>
          <w:tcPr>
            <w:tcW w:w="27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Senior Leadership Experience (C-Suite</w:t>
              <w:br/>
              <w:t>   Executive or Equivalent)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r>
      <w:tr>
        <w:trPr/>
        <w:tc>
          <w:tcPr>
            <w:tcW w:w="2717"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Operations Management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r>
      <w:tr>
        <w:trPr/>
        <w:tc>
          <w:tcPr>
            <w:tcW w:w="27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Retail or Consumer Facing Industries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r>
      <w:tr>
        <w:trPr/>
        <w:tc>
          <w:tcPr>
            <w:tcW w:w="2717"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eCommerce or Digital Experience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r>
      <w:tr>
        <w:trPr/>
        <w:tc>
          <w:tcPr>
            <w:tcW w:w="27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Financial, Transactional, Accounting or</w:t>
              <w:br/>
              <w:t>   Regulatory Compliance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r>
      <w:tr>
        <w:trPr/>
        <w:tc>
          <w:tcPr>
            <w:tcW w:w="2717"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Information Security Experience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7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Demographics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7"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Gender Diverse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r>
      <w:tr>
        <w:trPr/>
        <w:tc>
          <w:tcPr>
            <w:tcW w:w="27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Racially/Ethnically Diverse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X</w:t>
            </w:r>
          </w:p>
        </w:tc>
      </w:tr>
      <w:tr>
        <w:trPr/>
        <w:tc>
          <w:tcPr>
            <w:tcW w:w="2717"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Years of Service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6</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Ongoing Board Refreshment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Board believes that its members, as a group, should possess skills and qualifications that best enable it to formulate and oversee the implementation of the Company’s footwear first strategy, including diversity in professional and personal experience, background and other factors of diversity that promote fresh perspectives and new ideas. The retail industry has rapidly evolved over the last decade with significant growth in omni-channel and e-commerce operations, and as a result, the appropriate skill set for our leadership has evolved with it. The Board has therefore also evolved over the years to best serve the short- and long-term needs of the Company and its shareholders, with an increased focus on leadership with branded, digital and technological expertise.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order to address evolving needs, our Board has an ongoing refreshment program, actively assessing itself against the Company’s current and expected future needs and seeking the advice of outside experts and its shareholders. The Board has been substantially refreshed since 2019, with seven of our nine directors being newly appointed or elected to the Board during that period. During the same period, a new board chair, a new lead independent director and three new committee chairs have been appointed. The Board and its nominating and governance committee have welcomed, sought and considered, and will continue to welcome, seek and consider as necessary, potential director nominations from multiple and diverse sources and stakeholders, including shareholders, external advisors, independent directors, non-independent directors, industry participants, officers and employees, consultants and search firms.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Director Independence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Board has determined that Ms. Barsh, Mr. Bilunas, Ms. Bojanowski, Mr. Lambros, Mr. Marshall, Mr. Martinez, Ms. Meixelsperger and Mr. Sandfort are each independent under applicable SEC and NYSE rules. No arrangement or understanding exists between any director or executive officer of the Company and any other person pursuant to which any of them were selected as a director or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Director Resignation Policy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Company has adopted a director resignation policy which provides that each director shall submit a conditional offer of resignation effective if, in an uncontested election, a director fails to receive the vote of a majority of shares voting in the election of directors. Should that occur, the nominating and governance committee will consider the resignation and will recommend to the Board whether to accept or reject the tendered resignation. In considering whether to accept or reject the tendered resignation, the nominating and governance committee will consider factors deemed relevant by the members of the nominating and governance committee including, without limitation, the stated reasons why shareholders voted “against” the director, the length 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service and qualifications of the director whose resignation has been tendered, the director’s contributions to the Company and the Board and/or its committees during prior service, the director’s compliance with the Company's Corporate Governance Guidelines (the "Corporate Governance Guidelines"), the need for the presence of directors with a broad range of experiences and backgrounds on the Board and the Company’s compliance with applicable laws, regulation and the listing standards of the NYSE. Following the Board’s decision on the acceptance or rejection of the nominating and governance committee’s recommendation, the Company will promptly and publicly disclose the Board’s decision whether to accept the resignation as tendered (providing an explanation of the process by which the decision was reached and, if applicable, the reasons for rejecting the tendered resignation) in a Current Report on Form 8-K filed with the SEC.</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Certain Relationships and Related Transactions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Company is not aware of any related-party transactions since the beginning of the last fiscal year between the Company and any of its directors, executive officers, 5% shareholders or their family members that are required to be disclosed under Item 404 of Regulation S-K (“Item 404”) under the Securities Exchange Act of 1934, as amended (the “Exchange Act”).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Each year, the Company requires its directors and executive officers to complete a comprehensive questionnaire, one of the purposes of which is to disclose any related-party transactions with the Company, including any potential Item 404 transactions.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Board has adopted a written policy which provides that any transaction between the Company and any of its directors, nominees for director, executive officers, or significant shareholders or affiliates thereof, must be in the best interest of the Company and must be approved and ratified by the audit committee or, in certain circumstances, the Board. Any member of the audit committee or the Board, if necessary, will recuse himself or herself and abstain from voting on the approval or ratification of the related party transaction. The Company does not have a history of engaging in related party transactions with its directors or executive officers or their respective related persons or affiliates.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Board Committees and Meetings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Board met seven times during Fiscal 2026. Additionally, the chief executive officer and lead independent director communicate with members of the Board periodically throughout the year via telephone and email. The chief executive officer also provides a written monthly business update on the Company to the Board. No director was present at fewer than 75% of the total number of meetings of the Board and the committees of the Board on which he or she served during Fiscal 2026. The Board has standing audit, nominating and governance and compensation committees. All committees are composed entirely of independent directors. A copy of the written charter for each committee is available on the Investor Relations section of the Company’s website, www.genesco.com. Each committee’s charter has been adopted by the Board and provides the functions and responsibilities of each committee. It is the policy of the Board that no current or former employee of the Company will serve on the audit, nominating and governance or compensation committee. A description of each Board committee and its membership follows.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Audit Committee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i/>
          <w:color w:val="000000"/>
          <w:sz w:val="20"/>
        </w:rPr>
        <w:t>Members:</w:t>
      </w:r>
      <w:r>
        <w:rPr>
          <w:rFonts w:ascii="Times New Roman" w:hAnsi="Times New Roman"/>
          <w:color w:val="000000"/>
          <w:sz w:val="20"/>
        </w:rPr>
        <w:t xml:space="preserve"> </w:t>
      </w:r>
      <w:r>
        <w:rPr>
          <w:rFonts w:ascii="Arial" w:hAnsi="Arial"/>
          <w:color w:val="000000"/>
          <w:sz w:val="20"/>
        </w:rPr>
        <w:t>Mary E. Meixelsperger (chairperson), Matthew M. Bilunas and Gregory A. Sandfort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The Company has a separately designated standing audit committee established in accordance with Section 3(a)(58)(A) of the Exchange Act. The audit committee is currently composed of three independent directors (as defined under the applicable rules of the NYSE and SEC) and operates under a written charter adopted by the Board. The audit committee assists the Board in monitoring (i) the integrity of the Company’s financial statements, (ii) the effectiveness of the Company’s internal controls over financial reporting, (iii) the effectiveness of the Company’s systems of internal accounting and financial controls, (iv) the Company’s compliance with legal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regulatory requirements and its ethics programs as established by management and the Board, (v) the qualifications and independence of the Company’s registered public accounting firm, (vi) the performance of the Company’s internal audit function and independent registered public accountants and (vii) the Company’s policies with respect to risk assessment and risk management, including the risk of fraud, technology and information security, including cybersecurity and data privacy. The audit committee met 15 times in Fiscal 2026. The Board has determined that Ms. Meixelsperger and Messrs. Bilunas and Sandfort each qualify as an “audit committee financial expert,” as defined in Item 407(d) of Regulation S-K under the Exchange Act, and is “independent,” as defined by the NYSE rules and Rule 10A-3 under the Exchange Act.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color w:val="000000"/>
          <w:sz w:val="20"/>
        </w:rPr>
        <w:t>Nominating and Governance Committee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i/>
          <w:color w:val="000000"/>
          <w:sz w:val="20"/>
        </w:rPr>
        <w:t>Members:</w:t>
      </w:r>
      <w:r>
        <w:rPr>
          <w:rFonts w:ascii="Times New Roman" w:hAnsi="Times New Roman"/>
          <w:color w:val="000000"/>
          <w:sz w:val="20"/>
        </w:rPr>
        <w:t xml:space="preserve"> </w:t>
      </w:r>
      <w:r>
        <w:rPr>
          <w:rFonts w:ascii="Arial" w:hAnsi="Arial"/>
          <w:color w:val="000000"/>
          <w:sz w:val="20"/>
        </w:rPr>
        <w:t>Joanna Barsh (chairperson), Carolyn Bojanowski, Thurgood Marshall, Jr. and Angel R. Martinez</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The nominating and governance committee is currently composed of four directors who are independent under applicable NYSE rules. The functions of the nominating and governance committee include (i) identifying candidates qualified to serve on the Board, (ii) developing and reviewing governance policies and principles for the Company, (iii) overseeing the evaluation of the performance of the Board and management, and (iv) making recommendations to the Board with respect to (a) the size of the Board, (b) candidates for election to the Board, (c) the designation of committees of the Board, their functions and members, (d) the succession of the executive officers of the Company, (e) Board policies and procedures and other matters of corporate governance, (f) the qualifications of incumbent directors as nominees for re-election, and (f) oversight of the Company’s corporate responsibility strategy. The nominating and governance committee, in recognition of the importance of corporate responsibility matters, has established a subcommittee focused on such matters. Further information on the nominating and governance committee is set forth under the caption “Corporate Governance” below. The nominating and governance committee met four times in Fiscal 2026.</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color w:val="000000"/>
          <w:sz w:val="20"/>
        </w:rPr>
        <w:t>Compensation Committee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i/>
          <w:color w:val="000000"/>
          <w:sz w:val="20"/>
        </w:rPr>
        <w:t>Members:</w:t>
      </w:r>
      <w:r>
        <w:rPr>
          <w:rFonts w:ascii="Times New Roman" w:hAnsi="Times New Roman"/>
          <w:color w:val="000000"/>
          <w:sz w:val="20"/>
        </w:rPr>
        <w:t xml:space="preserve"> </w:t>
      </w:r>
      <w:r>
        <w:rPr>
          <w:rFonts w:ascii="Arial" w:hAnsi="Arial"/>
          <w:color w:val="000000"/>
          <w:sz w:val="20"/>
        </w:rPr>
        <w:t>John F. Lambros (chairperson), Joanna Barsh and Gregory A. Sandfort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The compensation committee is currently composed of three directors who are independent under applicable NYSE rules. The functions of the compensation committee include (i) reviewing and determining the compensation and incentive arrangements of certain officers of the Company and other management employees reporting directly to the chief executive officer, (ii) making recommendations to the Board with respect to the compensation of directors, (iii) reviewing and providing assistance and recommendations to the Board with respect to (a) management incentive compensation plans and (b) the establishment, modification or amendment of any employee benefit plan (as that term is defined in the Employee Retirement Income Security Act of 1974, as amended) to the extent that action taken by the Board is required, (iv) serving as the primary means of communication between the administrator of the Company’s employee benefit plans and the Board, (v) administering the Genesco Inc. Third Amended and Restated 2020 Equity Incentive Plan (together with any prior iterations of the Company’s 2020 Equity Incentive Plan, the “Amended and Restated 2020 Equity Incentive Plan”), (vi) overseeing and monitoring the Company’s compensation recoupment policies and procedures and (vii) reviewing and making recommendations to the Board with respect to the Compensation Discussion and Analysis and the compensation committee report required by SEC regulations for inclusion in the Company’s proxy statement. In fulfilling its responsibilities, the compensation committee may delegate any or all of its responsibilities to a subcommittee of the compensation committee, consisting of one or more independent members of the compensation committee. The compensation committee met 11 times in Fiscal 2026.</w:t>
      </w:r>
      <w:r>
        <w:rPr>
          <w:rFonts w:ascii="Times New Roman" w:hAnsi="Times New Roman"/>
          <w:color w:val="000000"/>
          <w:sz w:val="20"/>
        </w:rPr>
        <w:t xml:space="preserve"> </w:t>
      </w:r>
    </w:p>
    <w:p>
      <w:pPr>
        <w:pStyle w:val="TextBody"/>
        <w:bidi w:val="0"/>
        <w:spacing w:before="200" w:after="283"/>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8" w:name="corporate_governance"/>
      <w:bookmarkEnd w:id="8"/>
      <w:r>
        <w:rPr>
          <w:rFonts w:ascii="Arial" w:hAnsi="Arial"/>
          <w:b/>
          <w:color w:val="000000"/>
          <w:sz w:val="20"/>
        </w:rPr>
        <w:t>CORPORATE GOVERNANCE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9" w:name="nominating_and_governance_committee"/>
      <w:bookmarkEnd w:id="9"/>
      <w:r>
        <w:rPr>
          <w:rFonts w:ascii="Arial" w:hAnsi="Arial"/>
          <w:b/>
          <w:color w:val="000000"/>
          <w:sz w:val="20"/>
        </w:rPr>
        <w:t>Nominating and Governance Committee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members of the nominating and governance committee satisfy the independence requirements of the NYSE. In addition, the Board has adopted a policy pursuant to which no former employee of the Company will be eligible to serve as a member of the nominating and governance committee.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nominating and governance committee and the Board will consider nominees for the Board recommended by shareholders if shareholders comply with the Company’s advance notice requirements. The Company’s Bylaws provide that a shareholder who wishes to nominate a person for election as a director at an annual meeting of shareholders must deliver written notice complying with the requirements set forth in the Bylaws to the Secretary of the Company. To be eligible to submit the required notice, the shareholder must be a shareholder of record both on the date the notice is submitted and at the record date for the annual meeting and entitled to receive notice of and to vote at the annual meeting. This notice must contain, as to each nominee, certain specified information, including the nominee’s name, age, business and residence addresses, his or her principal occupation or employment, a description of all direct or indirect compensation or other material agreements, arrangements, understandings and relationships during the past three years between or among the nominee, the shareholder making the nomination, any other shareholders proposing it, and affiliates or associates of such shareholders, as such terms are defined in Rule 12b-2 under the Exchange Act, and any other information relating to such person that would be required to be disclosed in a proxy statement meeting the requirements of Regulation 14A under the Exchange Act if such person had been nominated by the Board. It must also include the written consent of such person to being named as a nominee in soliciting material and to serving as a director, if elected, and a fully completed and signed questionnaire, in a form provided by the Company, regarding such person’s background and qualifications to serve as a director. The notice must also include certain information regarding the shareholder making the nomination, any other shareholders proposing it, and affiliates or associates of such shareholders, including names and addresses, the number and class of shares held of record by such shareholders, and information about derivative securities and other economic interests related to any of the Company’s securities held by any of such persons. In the case of an annual meeting to be held on the fourth Thursday in the month of June or within thirty days thereafter, the notice must be delivered not less than sixty nor more than ninety days prior to the fourth Thursday in June. In the case of an annual meeting which is being held on any other date other than the fourth Thursday in the month of June or within thirty days thereafter (or in the case of any special meeting), the notice must be delivered within ten days after the earlier of the date on which notice of the meeting is first mailed to shareholders or the date on which public disclosure is first made of the date of such meeting. There are no differences in the process pursuant to which the nominating and governance committee is to evaluate prospective nominees based on whether the nominee is recommended by a shareholder.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Upon receipt of a recommendation from any source, including shareholders, the nominating and governance committee will take into account whether a Board vacancy exists or is expected or whether expansion of the Board is desirable. In making this determination, the nominating and governance committee may solicit the views of all directors. If the nominating and governance committee determines that the addition of a director is desirable, it will assess whether the candidate presented should be nominated for Board membership. While the nominating and governance committee may consider whatever factors it deems appropriate in its assessment of a candidate for Board membership, candidates nominated to serve as directors will, at a minimum, in the nominating and governance committee’s judgment:</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be able to represent the interests of the Company and all of its shareholders and not be disposed by affiliation or interest to favor any individual, group or class of shareholders or other constituency;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agree to follow all policies and procedures applicable to the Board, including all provisions set forth in any committee charters; </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possess the background and demonstrated ability to contribute to the Board’s performance of its collective responsibilities, through senior executive management experience, relevant professional or academic distinction, or a record of relevant civic and community leadership; and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be able to devote the time and attention necessary to serve effectively as a director. </w:t>
      </w:r>
    </w:p>
    <w:p>
      <w:pPr>
        <w:pStyle w:val="TextBody"/>
        <w:bidi w:val="0"/>
        <w:spacing w:before="240" w:after="283"/>
        <w:jc w:val="left"/>
        <w:rPr>
          <w:rFonts w:ascii="Times New Roman" w:hAnsi="Times New Roman"/>
          <w:sz w:val="20"/>
        </w:rPr>
      </w:pPr>
      <w:r>
        <w:rPr>
          <w:rFonts w:ascii="Arial" w:hAnsi="Arial"/>
          <w:color w:val="000000"/>
          <w:sz w:val="20"/>
        </w:rPr>
        <w:t>The nominating and governance committee may also take into consideration whether a candidate’s background and skills meet any specific needs of the Board that the nominating and governance committee has identified and will take into account diversity in professional and personal experience, skills, background, race, gender and other factors of diversity that it considers appropriate. The nominating and governance committee will preliminarily assess the candidate’s qualifications with input from the chief executive officer. If, based upon its preliminary assessment, the nominating and governance committee believes that a candidate is likely to meet the criteria for Board membership, the chairperson will advise the candidate of the nominating and governance committee’s preliminary interest and, if the candidate expresses sufficient interest to the chairperson, with the assistance of the Corporate Secretary’s office, will arrange interviews of the candidate with a search firm, if appropriate, and with members of the nominating and governance committee and with the chief executive officer, either in person or by telephone. Following interviews of the candidate, the nominating and governance committee will formally consider whether to recommend to the Board that it nominate the candidate for election to the Board.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0" w:name="board_leadership_structure"/>
      <w:bookmarkEnd w:id="10"/>
      <w:r>
        <w:rPr>
          <w:rFonts w:ascii="Arial" w:hAnsi="Arial"/>
          <w:b/>
          <w:color w:val="000000"/>
          <w:sz w:val="20"/>
        </w:rPr>
        <w:t>Board Leadership Structure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connection with the appointment of Ms. Vaughn as president and chief executive officer, and following a transitional period during which the retiring chairman and chief executive officer served as executive chairman, Ms. Vaughn was appointed chair of the Board, effective July 1, 2020. Having observed no differences in the functioning of the Board or the performance of the Company that it considers attributable to the separation or conjunction of the two offices of chief executive officer and chair of the Board, and with the appointment of a strong lead independent director in Mr. Sandfort, the Board has retained flexibility in the Corporate Governance Guidelines with respect to the structure of the Board leadership. The Corporate Governance Guidelines provide that the Board will select the chair and the chief executive officer in the manner that it determines to be in the best interests of the Company’s shareholders.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Corporate Governance Guidelines also provide that if the positions of chair and chief executive officer are held by the same person or if the chair is otherwise employed by the Company, the Board will elect a lead independent director, with the following responsibilities:</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in consultation with the chair, approve the annual calendar for all meetings of the Board and standing committees;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provide the chair with input as to the preparation of the agendas for the Board;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advise the chair as to the quality, quantity and timeliness of the flow of information from Company management that is necessary for the independent directors to effectively and responsibly perform their duties;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coordinate the development of the agenda for and preside over executive sessions of the Board’s independent directors;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act as principal liaison between the independent directors and the chair on material issues; </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evaluate, along with the independent members of the full Board, the chief executive officer’s performance and meet with the chief executive officer to discuss the evaluation;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act as a liaison to shareholders who request direct communication with the Board; and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perform such other roles and responsibilities as may be assigned from time to time by the nominating and governance committee or the full Board. </w:t>
      </w:r>
    </w:p>
    <w:p>
      <w:pPr>
        <w:pStyle w:val="TextBody"/>
        <w:bidi w:val="0"/>
        <w:spacing w:before="240" w:after="283"/>
        <w:jc w:val="left"/>
        <w:rPr>
          <w:rFonts w:ascii="Times New Roman" w:hAnsi="Times New Roman"/>
          <w:sz w:val="20"/>
        </w:rPr>
      </w:pPr>
      <w:r>
        <w:rPr>
          <w:rFonts w:ascii="Arial" w:hAnsi="Arial"/>
          <w:color w:val="000000"/>
          <w:sz w:val="20"/>
        </w:rPr>
        <w:t>Historically, the Board has believed that having a chair who is also a member of the Company’s management team, whether or not the offices of chair and chief executive officer are held by the same person, has been highly effective for Genesco.</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1" w:name="the_boards_role_in_risk_oversight"/>
      <w:bookmarkEnd w:id="11"/>
      <w:r>
        <w:rPr>
          <w:rFonts w:ascii="Arial" w:hAnsi="Arial"/>
          <w:b/>
          <w:color w:val="000000"/>
          <w:sz w:val="20"/>
        </w:rPr>
        <w:t>The Board’s Role in Risk Oversight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Board views the identification and management of risk as a primary responsibility of the Company’s chief executive officer, who reports directly to the Board. In addition to general review and discussion of various aspects of risk management throughout the year, at least once annually, the Board receives a report from management of the Company with an overall assessment of the Company’s risk management processes and systems, including the identification of major risks associated with the Company’s business and strategies, a description of the Company’s approach to monitoring and managing each category of risk, and an assessment of residual exposures and whether and how they may be more effectively mitigated. The identification of major risks is based upon a survey of directors, executive management, the heads of staff and shared services functions, and managers with responsibility for major operational functions within the Company’s operating divisions, which occurs at least every two years. The Board completed an enterprise risk management assessment in Fiscal 2026.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Board’s review in Fiscal 2026 of the Company’s risk management processes and systems focused on risks associated with the Company’s business and strategies in the following major categories:</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Strategic and financial risk, competition, growth opportunities, credit, liquidity and capital resources, and customer dynamics.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Integrity and compliance risk, including accounting and financial reporting, legal compliance, and corporate governance matters.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Operational risk, supply chain, and workforce-related risks.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Risks related to data privacy, cybersecurity and artificial intelligence.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Catastrophic event risk, including facility losses and disruptions from natural disasters, pandemics, climate change, new or ongoing geopolitical conflicts or other causes.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Risks related to corporate responsibility matters. </w:t>
      </w:r>
    </w:p>
    <w:p>
      <w:pPr>
        <w:pStyle w:val="TextBody"/>
        <w:bidi w:val="0"/>
        <w:spacing w:before="240" w:after="283"/>
        <w:jc w:val="left"/>
        <w:rPr>
          <w:rFonts w:ascii="Times New Roman" w:hAnsi="Times New Roman"/>
          <w:sz w:val="20"/>
        </w:rPr>
      </w:pPr>
      <w:r>
        <w:rPr>
          <w:rFonts w:ascii="Arial" w:hAnsi="Arial"/>
          <w:color w:val="000000"/>
          <w:sz w:val="20"/>
        </w:rPr>
        <w:t>In addition to the Board’s ongoing oversight of risk management and the annual review with the Board of the Company’s risk management processes and systems, specific risk categories fall within the oversight of individual committees of the Board. For example, the audit committee has oversight of most of the risks falling within the integrity and compliance risk categories, which it addresses primarily through its ongoing review of internal controls over accounting and financial reporting pursuant to Section 404 of the Sarbanes-Oxley Act of 2002. The audit committee also monitors the Company’s policies with respect to the risk of fraud, technology and information security, including cybersecurity, data privacy and artificial intelligence, by obtaining and reviewing reports on data management, security and privacy initiatives and significant existing and emerging cybersecurity risks.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Additionally, the nominating and governance committee has direct oversight of governance-related risks and corporate responsibility matters, and the compensation committee has direct oversight of certain aspects of workforce-related risks as well as risks arising from compensation policies and practices. Further, the full Board considers strategic and financial risk in its regular review of the Company’s strategic and operating plans and in connection with its authorization of specific transactions.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connection with its annual review of the Company’s compensation programs, in February 2024, the compensation committee specifically considered whether risks arising from the Company’s compensation policies and practices for employees are reasonably likely to have a material adverse effect on the Company. In its analysis, the compensation committee considered, among other things, the following: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equity-based, long-term incentive component of the Company’s executive compensation also discussed in “Compensation Discussion and Analysis,” which is designed to prevent excessive risks by rewarding sustainable performance; and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the Company’s anti-hedging policy and share ownership requirements. </w:t>
      </w:r>
    </w:p>
    <w:p>
      <w:pPr>
        <w:pStyle w:val="TextBody"/>
        <w:bidi w:val="0"/>
        <w:spacing w:before="240" w:after="283"/>
        <w:jc w:val="left"/>
        <w:rPr>
          <w:rFonts w:ascii="Times New Roman" w:hAnsi="Times New Roman"/>
          <w:sz w:val="20"/>
        </w:rPr>
      </w:pPr>
      <w:r>
        <w:rPr>
          <w:rFonts w:ascii="Arial" w:hAnsi="Arial"/>
          <w:color w:val="000000"/>
          <w:sz w:val="20"/>
        </w:rPr>
        <w:t>As a result of its analysis, the compensation committee determined that the Company’s compensation policies and practices are not reasonably likely to have a material adverse effect on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members of the Board’s committees believe that they have sufficient access to the members of management with direct responsibility for the management of risks within their oversight to be able to understand and monitor such risks effectively. Each committee regularly reports to the full Board on matters related to the categories of risk within its oversight.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2" w:name="cybersecurity"/>
      <w:bookmarkEnd w:id="12"/>
      <w:r>
        <w:rPr>
          <w:rFonts w:ascii="Arial" w:hAnsi="Arial"/>
          <w:b/>
          <w:color w:val="000000"/>
          <w:sz w:val="20"/>
        </w:rPr>
        <w:t>Cybersecurity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Cybersecurity is one of our most critical risks. For many activities important to our business, we depend on the confidentiality, integrity and availability of information systems and data, some of which are provided or managed by third parties. We have strategically integrated cybersecurity risk management into our broader enterprise risk management function to promote a company-wide culture of cybersecurity risk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Management is responsible for the day-to-day handling of risks facing the Company, while the Board, as a whole and through its committees, oversees risk management, including cybersecurity risks and risks related to artificial intelligence. The Board has delegated certain risk management responsibilities with respect to cybersecurity to the audit committee.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On behalf of the Board, the audit committee provides oversight of our management of cybersecurity risk. The audit committee regularly reviews our cybersecurity risks, incidents, audits, assessments, crisis readiness, awareness activities and compliance with cybersecurity and privacy laws and regulations. Our vice president, chief information security and privacy officer, jointly with our senior vice president, chief strategy and digital officer brief the audit committee quarterly, and more often, if necessary, on active and emerging cybersecurity threats and efforts to strengthen our defenses against these threats.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information security and privacy teams reduce first and third-party risk by maintaining a proactive security posture aligned with current threats, detecting cybersecurity events and responding quickly, and building procedures to rapidly recover. These teams are managed by the vice president, chief information security and privacy officer, who reports to the senior vice president, chief strategy and digital officer. Our cybersecurity leaders collectively have more than 25 years of relevant experience and multiple professional 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Internal and third-party risks are reviewed, monitored, and managed by our cybersecurity and privacy teams, audited by an internal audit team and various external experts, and tracked within an Enterprise Risk</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Management framework. We regularly engage third-party experts to assess the effectiveness of our cybersecurity programs. Biennially, an external independent consultancy team conducts an assessment of our cybersecurity program using the inputs from accepted cybersecurity frameworks. Targeted assessments are conducted regularly by internal and third-party experts to ensure compliance with specific federal and state laws and regulations. We continue to participate in the VISA TIP program and AMEX STEP program around our PCI DSS compliance.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processes for identifying and managing first and third-party risks from cybersecurity threats include:</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Continuous monitoring of our systems and network for cybersecurity events;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Regular testing of our Security Incident Response Plan, Business Continuity plans, and Disaster Recovery plans;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Required annual security training for our employees with access to email, as well as tailored training for employees in more sensitive roles; and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Periodic testing to ensure the security training is effective. </w:t>
      </w:r>
    </w:p>
    <w:p>
      <w:pPr>
        <w:pStyle w:val="TextBody"/>
        <w:bidi w:val="0"/>
        <w:spacing w:before="240" w:after="283"/>
        <w:jc w:val="left"/>
        <w:rPr>
          <w:rFonts w:ascii="Times New Roman" w:hAnsi="Times New Roman"/>
          <w:sz w:val="20"/>
        </w:rPr>
      </w:pPr>
      <w:r>
        <w:rPr>
          <w:rFonts w:ascii="Arial" w:hAnsi="Arial"/>
          <w:color w:val="000000"/>
          <w:sz w:val="20"/>
        </w:rPr>
        <w:t>External managed security services providers and industry-leading security tools continuously monitor our systems and network for cybersecurity threats. Our cybersecurity teams evaluate the escalated threats, and if necessary, take steps to contain and recover from pervasive threats in accordance with our Security Incident Response Plan. The plan includes reporting and escalation procedures to inform the executive committee, audit committee, and full Board, as appropriate to enable them to carry out their oversight responsibilities, and to ensure timely compliance with applicable reporting rules. Our Business Continuity Management and Disaster Recovery plans include procedures for business recovery and are tested regularly.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3" w:name="the_boards_role_in_corporate_strategy"/>
      <w:bookmarkEnd w:id="13"/>
      <w:r>
        <w:rPr>
          <w:rFonts w:ascii="Arial" w:hAnsi="Arial"/>
          <w:b/>
          <w:color w:val="000000"/>
          <w:sz w:val="20"/>
        </w:rPr>
        <w:t>The Board’s Role in Corporate Strategy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Board is actively involved in guiding, overseeing and reviewing the Company’s corporate strategy. Our Board played a critical role in forming our footwear first strategy and continues active oversight and review of our strategy. Strategic business issues, including developments in our industry, opportunities for growth, multi-year strategic plans, investments, capital allocation and strategic alternatives to drive shareholder value, including M&amp;A-related decisions, are discussed as a part of our standard procedure at our Board meetings. The Board also discusses corporate strategy throughout the year with management, both formally and informally, and during executive sessions of the Board, as appropriate.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Board recurrently discusses the Company’s performance and results relative to our operating plan and expectations at each quarterly Board meeting and during ad hoc updates throughout the year. At most Board meetings, senior Company management makes presentations to the Board with respect to each of our divisions to facilitate a further in-depth and comprehensive discussion and review of the Company’s strategic and operational plans, initiatives and goals over the short-and long-term, as well as paths, options and alternatives to achieving such goals.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Board and committee-level discussions are also regularly infused with strategic and business themes. For example, headwinds and tailwinds for the industry and each of our businesses and the Company’s strategies with respect thereto are discussed at each meeting. At each regular Board meeting a detailed presentation of at least one of the Company’s divisions and its business is discussed in depth, including performance, competitive landscape, strategic direction and necessary investments to fuel growth. Risks associated with the business strategy and plans to mitigate those risks are also discussed. Our nominating and governance committee’s discussions and nomination decisions are guided by the Board’s views on the skill sets needed to further the Company’s strategy. Likewise, the compensation committee’s compensation decisions take into account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management’s contributions toward implementing the Company’s strategy, and the audit committee provides oversight of the Company’s capital expenditures which are part of the Company’s strategic investments and evaluates risks to the Company’s strategy as part of its Enterprise Risk Management process. The Board also regularly considers, with the assistance of outside advisors, various strategic alternatives for the Company’s businesses and the Company as a whole.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4" w:name="corporate_responsibility_highlights"/>
      <w:bookmarkEnd w:id="14"/>
      <w:r>
        <w:rPr>
          <w:rFonts w:ascii="Arial" w:hAnsi="Arial"/>
          <w:b/>
          <w:color w:val="000000"/>
          <w:sz w:val="20"/>
        </w:rPr>
        <w:t>Corporate Responsibility Highlights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Throughout our 100+ year history, Genesco has made it a priority to operate with high ethical standards and to serve all of our stakeholders. In furtherance of this priority, the Company formed in Fiscal 2022 a subcommittee of our nominating and governance committee (the “Corporate Responsibility Subcommittee”) to provide oversight of the Company’s environmental, health and safety; employee engagement; corporate social responsibility; and corporate governance and sustainability initiatives (“Corporate Responsibility matters”). Ms. Barsh and Mr. Marshall are members of the Corporate Responsibility Subcommittee. The Corporate Responsibility Subcommittee met three times in Fiscal 2026. The responsibilities of the Corporate Responsibility Subcommittee include the following: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Assist in setting strategies for corporate responsibility matters;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Recommend policies and practices in furtherance of those strategies;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Oversee monitoring and reporting with respect to corporate responsibility matters; and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Report to and advise the Board on shareholder concerns and proposals regarding corporate responsibility matters. </w:t>
      </w:r>
    </w:p>
    <w:p>
      <w:pPr>
        <w:pStyle w:val="TextBody"/>
        <w:bidi w:val="0"/>
        <w:spacing w:before="240" w:after="283"/>
        <w:jc w:val="left"/>
        <w:rPr>
          <w:rFonts w:ascii="Times New Roman" w:hAnsi="Times New Roman"/>
          <w:sz w:val="20"/>
        </w:rPr>
      </w:pPr>
      <w:r>
        <w:rPr>
          <w:rFonts w:ascii="Arial" w:hAnsi="Arial"/>
          <w:color w:val="000000"/>
          <w:sz w:val="20"/>
        </w:rPr>
        <w:t>The Company recognizes that as a retail and branded footwear, apparel and accessories business, its operations touch every corner of the globe. The Company and its Board are committed to delivering value to its shareholders while minimizing its impact on the planet and doing its part to support its employees, customers and suppliers, and the communities in which the Company operates. As a result, while the Company has always kept these stakeholders top of mind, the Company has intensified its efforts in recent years in the areas of climate change, responsible sourcing, and employee engagement.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Climate Change, Responsible Sourcing and Human Rights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Genesco takes the responsibility of combating climate change seriously. That is why the Company is working to minimize its environmental footprint across all segments of its operations. During Fiscal 2026, we completed our fourth measurements or baselines for our greenhouse gas emissions. The Company has identified six key areas that it believes will give the Company the most efficient strategy for bringing about real, effective change:</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 xml:space="preserve">Reducing Greenhouse Gas Emissions </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 xml:space="preserve">Limiting Non-renewable Energy Consumption </w:t>
      </w:r>
    </w:p>
    <w:p>
      <w:pPr>
        <w:pStyle w:val="TextBody"/>
        <w:bidi w:val="0"/>
        <w:spacing w:before="240" w:after="283"/>
        <w:jc w:val="left"/>
        <w:rPr>
          <w:rFonts w:ascii="Arial" w:hAnsi="Arial"/>
          <w:color w:val="000000"/>
          <w:sz w:val="20"/>
        </w:rPr>
      </w:pPr>
      <w:r>
        <w:rPr>
          <w:rFonts w:ascii="Arial" w:hAnsi="Arial"/>
          <w:color w:val="000000"/>
          <w:sz w:val="20"/>
        </w:rPr>
        <w:t>3)</w:t>
      </w:r>
    </w:p>
    <w:p>
      <w:pPr>
        <w:pStyle w:val="TextBody"/>
        <w:bidi w:val="0"/>
        <w:spacing w:before="240" w:after="283"/>
        <w:jc w:val="left"/>
        <w:rPr>
          <w:rFonts w:ascii="Arial" w:hAnsi="Arial"/>
          <w:color w:val="000000"/>
          <w:sz w:val="20"/>
        </w:rPr>
      </w:pPr>
      <w:r>
        <w:rPr>
          <w:rFonts w:ascii="Arial" w:hAnsi="Arial"/>
          <w:color w:val="000000"/>
          <w:sz w:val="20"/>
        </w:rPr>
        <w:t xml:space="preserve">Optimizing Freight Operations </w:t>
      </w:r>
    </w:p>
    <w:p>
      <w:pPr>
        <w:pStyle w:val="TextBody"/>
        <w:bidi w:val="0"/>
        <w:spacing w:before="240" w:after="283"/>
        <w:jc w:val="left"/>
        <w:rPr>
          <w:rFonts w:ascii="Arial" w:hAnsi="Arial"/>
          <w:color w:val="000000"/>
          <w:sz w:val="20"/>
        </w:rPr>
      </w:pPr>
      <w:r>
        <w:rPr>
          <w:rFonts w:ascii="Arial" w:hAnsi="Arial"/>
          <w:color w:val="000000"/>
          <w:sz w:val="20"/>
        </w:rPr>
        <w:t>4)</w:t>
      </w:r>
    </w:p>
    <w:p>
      <w:pPr>
        <w:pStyle w:val="TextBody"/>
        <w:bidi w:val="0"/>
        <w:spacing w:before="240" w:after="283"/>
        <w:jc w:val="left"/>
        <w:rPr>
          <w:rFonts w:ascii="Arial" w:hAnsi="Arial"/>
          <w:color w:val="000000"/>
          <w:sz w:val="20"/>
        </w:rPr>
      </w:pPr>
      <w:r>
        <w:rPr>
          <w:rFonts w:ascii="Arial" w:hAnsi="Arial"/>
          <w:color w:val="000000"/>
          <w:sz w:val="20"/>
        </w:rPr>
        <w:t xml:space="preserve">Reducing Packing Materials and Waste </w:t>
      </w:r>
    </w:p>
    <w:p>
      <w:pPr>
        <w:pStyle w:val="TextBody"/>
        <w:bidi w:val="0"/>
        <w:spacing w:before="240" w:after="283"/>
        <w:jc w:val="left"/>
        <w:rPr>
          <w:rFonts w:ascii="Arial" w:hAnsi="Arial"/>
          <w:color w:val="000000"/>
          <w:sz w:val="20"/>
        </w:rPr>
      </w:pPr>
      <w:r>
        <w:rPr>
          <w:rFonts w:ascii="Arial" w:hAnsi="Arial"/>
          <w:color w:val="000000"/>
          <w:sz w:val="20"/>
        </w:rPr>
        <w:t>5)</w:t>
      </w:r>
    </w:p>
    <w:p>
      <w:pPr>
        <w:pStyle w:val="TextBody"/>
        <w:bidi w:val="0"/>
        <w:spacing w:before="240" w:after="283"/>
        <w:jc w:val="left"/>
        <w:rPr>
          <w:rFonts w:ascii="Arial" w:hAnsi="Arial"/>
          <w:color w:val="000000"/>
          <w:sz w:val="20"/>
        </w:rPr>
      </w:pPr>
      <w:r>
        <w:rPr>
          <w:rFonts w:ascii="Arial" w:hAnsi="Arial"/>
          <w:color w:val="000000"/>
          <w:sz w:val="20"/>
        </w:rPr>
        <w:t xml:space="preserve">Diverting Waste from Landfills </w:t>
      </w:r>
    </w:p>
    <w:p>
      <w:pPr>
        <w:pStyle w:val="TextBody"/>
        <w:bidi w:val="0"/>
        <w:spacing w:before="240" w:after="283"/>
        <w:jc w:val="left"/>
        <w:rPr>
          <w:rFonts w:ascii="Arial" w:hAnsi="Arial"/>
          <w:color w:val="000000"/>
          <w:sz w:val="20"/>
        </w:rPr>
      </w:pPr>
      <w:r>
        <w:rPr>
          <w:rFonts w:ascii="Arial" w:hAnsi="Arial"/>
          <w:color w:val="000000"/>
          <w:sz w:val="20"/>
        </w:rPr>
        <w:t>6)</w:t>
      </w:r>
    </w:p>
    <w:p>
      <w:pPr>
        <w:pStyle w:val="TextBody"/>
        <w:bidi w:val="0"/>
        <w:spacing w:before="240" w:after="283"/>
        <w:jc w:val="left"/>
        <w:rPr>
          <w:rFonts w:ascii="Arial" w:hAnsi="Arial"/>
          <w:color w:val="000000"/>
          <w:sz w:val="20"/>
        </w:rPr>
      </w:pPr>
      <w:r>
        <w:rPr>
          <w:rFonts w:ascii="Arial" w:hAnsi="Arial"/>
          <w:color w:val="000000"/>
          <w:sz w:val="20"/>
        </w:rPr>
        <w:t xml:space="preserve">Reducing Water Use </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Genesco is also committed to responsible, ethical sourcing. The Company partners with vendors who share its priorities of health and safety, social responsibility and environmental stewardship. The Company has a zero tolerance policy for forced labor, child labor or human trafficking. Genesco published its first Vendor Code of Conduct in 2024 and requires its vendors to comply with a code of ethics which meets international health and safety standards.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Employee Engagement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Board has oversight of the Company’s ongoing corporate responsibility efforts with guidance from the Corporate Responsibility Subcommittee, management and a representative employee council. The Company seeks to cultivate a respectful and inclusive work environment in which employee engagement is leveraged to maximize employee potential and achieve business objectives. The Company is committed to creating a workplace reflecting a highly qualified and engaged team – one with different backgrounds, perspectives, ideas and skill sets. The Board and the Company believe that the more perspectives we share, the better we will be. As of January 2026, the majority of its U.S. workforce was female and the majority was also racially/ethnically diverse. Women also serve in several key leadership roles, including chair of the Board, chair of the audit committee, chair of the nominating and governance committee, president, chief executive officer and interim chief financial officer, senior vice president and chief human resources officer, vice president of finance and corporate controller, vice president of data analytics, senior vice president of real estate and store planning, director of corporate relations, deputy general counsel – commercial operations, as well as chief product officer of the Schuh group, senior vice president of strategy and transformation, executive vice president and chief marketing officer, vice president and general manager, Canada of the Journeys Group, and vice president, product development, apparel and accessories, vice president GMM and vice president of stores at Johnston &amp; Murphy Group. Six of our nine Board nominees are diverse, four of our nine Board nominees are gender diverse, three of our nine Board nominees are racially diverse and three of our five Board leadership positions are held by women. Still, we are committed to further improving the Company and the communities it serves and is actively working to implement new initiatives that will result in an even more effective team. We have established an employee council to provide guidance and feedback about how we create a more empowered and engaged workforce. The Company provides multiple avenues to solicit employee feedback.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Genesco strives to continue to create a culture where engaged talent can grow and succeed. The Company routinely conducts annual employee engagement surveys, and it remains committed to listening to and learning from its employees. The Company is also committed to its employees’ personal and professional development and well-being, including taking the following actions:</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The Company continues to invest in employees’ development needs through a variety of in person and hybrid training opportunities. Learning content included presentation skills, goal-setting, time management, making a pitch and influencing, innovative leadership, intentional leadership, data driven leadership, developing future leaders, managing change and coaching conversations.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Genesco believes it is important to give back to its own employees. The Company maintains two legacy programs to make a difference in its own employees’ lives.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The Jim Gulmi/Genesco Employee Scholarship Fund to assist Genesco employees, and their children, in attending four-year colleges and universities.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The Genesco Employee Emergency Fund helps Genesco employees or eligible dependents who are experiencing economic hardship as a result of certain unforeseen and unpreventable circumstances.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Genesco supports certain employees through a variety of health and welfare benefits, including an Employee Assistance Program which provides resources to help employees make changes to improve overall well-being, navigate life events, and reach their goals. </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Beyond giving back to its own employees, the Board believes it is important to encourage volunteer efforts and giving back to the community. The Company supports volunteer-led community outreach and non-profit initiatives that align with the Company’s philanthropy goals, with an aim to improve the overall quality of life in the communities where its employees work and live, and beyond. Notable programs include the Cold Feet, Warm Shoes program which has been ongoing for more than 35 years (with the exception of a pause during Fiscal 2021 and Fiscal 2022 due to COVID-19), providing more than 100,000 pairs of shoes to communities in need and our “Make a Difference” Charity Golf Tournament, which has provided a cumulative benefit of over $7 million to United Way of Greater Nashville. In addition, the Company empowers employees to volunteer and make an impact in their own communities through a variety of supportive initiatives, including Genesco’s Community Service Policy providing full-time employees with 10 hours per year of paid time to perform community service and the Genesco Employee Matching Gift Program providing matching donations up to $1,000 annually to the non-profit of their choice.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5" w:name="board_self_evaluation_process"/>
      <w:bookmarkEnd w:id="15"/>
      <w:r>
        <w:rPr>
          <w:rFonts w:ascii="Arial" w:hAnsi="Arial"/>
          <w:b/>
          <w:color w:val="000000"/>
          <w:sz w:val="20"/>
        </w:rPr>
        <w:t>Board Self-Evaluation Process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Board annually participates in a self-evaluation process. For Fiscal 2026, the Board conducted an evaluation in which each director was asked to assess the Board’s structure and composition, the conduct and frequency of Board and committee meetings, the performance of Board committees, and other topics related to the Board’s effectiveness and its relationship with management. The results of the evaluations were compiled and summarized and discussed by the Board in executive session.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6" w:name="communications_with_directors_by_share"/>
      <w:bookmarkEnd w:id="16"/>
      <w:r>
        <w:rPr>
          <w:rFonts w:ascii="Arial" w:hAnsi="Arial"/>
          <w:b/>
          <w:color w:val="000000"/>
          <w:sz w:val="20"/>
        </w:rPr>
        <w:t>Communications with Directors by Shareholders, Employees and Other Interested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Board has established procedures for the Company’s shareholders and other interested parties to communicate with members of the Board. Shareholders and employees of the Company and other interested parties may address communications to directors, either collectively or individually (including to the lead independent director or to the non-management directors as a group), in care of the Corporate Secretary, Genesco Inc., 535 Marriott Drive, Nashville, Tennessee 37214. The Corporate Secretary’s office delivers to directors all written communications, other than commercial mailings, addressed to them.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7" w:name="directors_annual_meeting_attendance"/>
      <w:bookmarkEnd w:id="17"/>
      <w:r>
        <w:rPr>
          <w:rFonts w:ascii="Arial" w:hAnsi="Arial"/>
          <w:b/>
          <w:color w:val="000000"/>
          <w:sz w:val="20"/>
        </w:rPr>
        <w:t>Directors’ Annual</w:t>
      </w:r>
      <w:r>
        <w:rPr>
          <w:rFonts w:ascii="Times New Roman" w:hAnsi="Times New Roman"/>
          <w:color w:val="000000"/>
          <w:sz w:val="20"/>
        </w:rPr>
        <w:t xml:space="preserve"> </w:t>
      </w:r>
      <w:r>
        <w:rPr>
          <w:rFonts w:ascii="Arial" w:hAnsi="Arial"/>
          <w:b/>
          <w:color w:val="000000"/>
          <w:sz w:val="20"/>
        </w:rPr>
        <w:t>Meeting Attendance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Company encourages all directors to be present at the Annual Meeting. All of the Company’s directors were present at last year’s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8" w:name="director_age_limit"/>
      <w:bookmarkEnd w:id="18"/>
      <w:r>
        <w:rPr>
          <w:rFonts w:ascii="Arial" w:hAnsi="Arial"/>
          <w:b/>
          <w:color w:val="000000"/>
          <w:sz w:val="20"/>
        </w:rPr>
        <w:t>Director Age Limit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Company’s Corporate Governance Guidelines require that any director that is over the age of 75 at the time of the annual meeting of shareholders shall not be nominated to the Board at that meeting by the nominating and governance committee.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9" w:name="legal_proceedings"/>
      <w:bookmarkEnd w:id="19"/>
      <w:r>
        <w:rPr>
          <w:rFonts w:ascii="Arial" w:hAnsi="Arial"/>
          <w:b/>
          <w:color w:val="000000"/>
          <w:sz w:val="20"/>
        </w:rPr>
        <w:t>Legal Proceedings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Company is not aware of any legal proceedings related to any directors that are required to be disclosed under Item 401(f) of Regulation S-K under the Exchange Act.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0" w:name="corporate_governance_guidelines"/>
      <w:bookmarkEnd w:id="20"/>
      <w:r>
        <w:rPr>
          <w:rFonts w:ascii="Arial" w:hAnsi="Arial"/>
          <w:b/>
          <w:color w:val="000000"/>
          <w:sz w:val="20"/>
        </w:rPr>
        <w:t>Corporate Governance Guidelines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The Board has adopted Corporate Governance Guidelines for the Company. They are accessible on the Investor Relations section of the Company’s website, </w:t>
      </w:r>
      <w:r>
        <w:rPr>
          <w:rFonts w:ascii="Arial" w:hAnsi="Arial"/>
          <w:color w:val="000000"/>
          <w:sz w:val="20"/>
          <w:u w:val="single"/>
        </w:rPr>
        <w:t>www.genesco.com</w:t>
      </w:r>
      <w:r>
        <w:rPr>
          <w:rFonts w:ascii="Arial" w:hAnsi="Arial"/>
          <w:color w:val="000000"/>
          <w:sz w:val="20"/>
        </w:rPr>
        <w: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21" w:name="code_of_business_conduct_and_ethics"/>
      <w:bookmarkEnd w:id="21"/>
      <w:r>
        <w:rPr>
          <w:rFonts w:ascii="Arial" w:hAnsi="Arial"/>
          <w:b/>
          <w:color w:val="000000"/>
          <w:sz w:val="20"/>
        </w:rPr>
        <w:t>Code of Business Conduct and Ethics for Employees and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The Company has adopted a Code of Business Conduct and Ethics for Employees, Officers and Directors that applies to all employees, officers and directors. The Company has made the Code of Business Conduct and Ethics for Employees, Officers and Directors available and intends to provide disclosure of any amendments or waivers of the code with respect to directors and executive officers within four business days after an amendment or waiver on its website, </w:t>
      </w:r>
      <w:r>
        <w:rPr>
          <w:rFonts w:ascii="Arial" w:hAnsi="Arial"/>
          <w:color w:val="000000"/>
          <w:sz w:val="20"/>
          <w:u w:val="single"/>
        </w:rPr>
        <w:t>www.genesco.com</w:t>
      </w:r>
      <w:r>
        <w:rPr>
          <w:rFonts w:ascii="Arial" w:hAnsi="Arial"/>
          <w:color w:val="000000"/>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2" w:name="website"/>
      <w:bookmarkEnd w:id="22"/>
      <w:r>
        <w:rPr>
          <w:rFonts w:ascii="Arial" w:hAnsi="Arial"/>
          <w:b/>
          <w:color w:val="000000"/>
          <w:sz w:val="20"/>
        </w:rPr>
        <w:t>Website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The charters of the nominating and governance, compensation and audit committees, the Corporate Governance Guidelines and the Code of Business Conduct and Ethics for Employees, Officers and Directors are available on the Investor Relations section of the Company’s website, </w:t>
      </w:r>
      <w:r>
        <w:rPr>
          <w:rFonts w:ascii="Arial" w:hAnsi="Arial"/>
          <w:color w:val="000000"/>
          <w:sz w:val="20"/>
          <w:u w:val="single"/>
        </w:rPr>
        <w:t>www.genesco.com</w:t>
      </w:r>
      <w:r>
        <w:rPr>
          <w:rFonts w:ascii="Arial" w:hAnsi="Arial"/>
          <w:color w:val="000000"/>
          <w:sz w:val="20"/>
        </w:rPr>
        <w:t>. All references to the Company’s website in this proxy statement are inactive textual references only. Print copies of these documents will be provided to any shareholder who sends a written request to the Corporate Secretary, Genesco Inc., 535 Marriott Drive, Nashville, Tennessee 37214.</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3" w:name="security_ownership_of_officers_directors"/>
      <w:bookmarkEnd w:id="23"/>
      <w:r>
        <w:rPr>
          <w:rFonts w:ascii="Arial" w:hAnsi="Arial"/>
          <w:b/>
          <w:color w:val="000000"/>
          <w:sz w:val="20"/>
        </w:rPr>
        <w:t>SECURITY OWNERSHIP OF OFFICERS, DIRECTORS 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PRINCIPAL SHAREHOLDERS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4" w:name="principal_shareholders"/>
      <w:bookmarkEnd w:id="24"/>
      <w:r>
        <w:rPr>
          <w:rFonts w:ascii="Arial" w:hAnsi="Arial"/>
          <w:b/>
          <w:color w:val="000000"/>
          <w:sz w:val="20"/>
        </w:rPr>
        <w:t>Principal Shareholders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following table sets forth the ownership, as known to the Company as of May 18, 2026 according to the most recent filings of Schedules 13G and 13D and amendments thereto, as applicable, by the beneficial owners which own beneficially more than 5% of the Company’s common stock. Percentages are calculated based on 11,103,175 outstanding shares as of May 18, 2026. None of such persons owns any equity securities of the Company other than common stock.</w:t>
      </w:r>
      <w:r>
        <w:rPr>
          <w:rFonts w:ascii="Times New Roman" w:hAnsi="Times New Roman"/>
          <w:color w:val="000000"/>
          <w:sz w:val="20"/>
        </w:rPr>
        <w:t xml:space="preserve"> </w:t>
      </w:r>
    </w:p>
    <w:p>
      <w:pPr>
        <w:pStyle w:val="TextBody"/>
        <w:bidi w:val="0"/>
        <w:jc w:val="left"/>
        <w:rPr/>
      </w:pPr>
      <w:r>
        <w:rPr/>
        <w:t> </w:t>
      </w:r>
    </w:p>
    <w:tbl>
      <w:tblPr>
        <w:tblW w:w="9601" w:type="dxa"/>
        <w:jc w:val="left"/>
        <w:tblInd w:w="0" w:type="dxa"/>
        <w:tblLayout w:type="fixed"/>
        <w:tblCellMar>
          <w:top w:w="28" w:type="dxa"/>
          <w:left w:w="28" w:type="dxa"/>
          <w:bottom w:w="28" w:type="dxa"/>
          <w:right w:w="28" w:type="dxa"/>
        </w:tblCellMar>
      </w:tblPr>
      <w:tblGrid>
        <w:gridCol w:w="6811"/>
        <w:gridCol w:w="146"/>
        <w:gridCol w:w="146"/>
        <w:gridCol w:w="961"/>
        <w:gridCol w:w="146"/>
        <w:gridCol w:w="146"/>
        <w:gridCol w:w="146"/>
        <w:gridCol w:w="146"/>
        <w:gridCol w:w="376"/>
        <w:gridCol w:w="286"/>
        <w:gridCol w:w="291"/>
      </w:tblGrid>
      <w:tr>
        <w:trPr/>
        <w:tc>
          <w:tcPr>
            <w:tcW w:w="6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 and Address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br/>
              <w:t>and Nature</w:t>
              <w:br/>
              <w:t>of Beneficial</w:t>
              <w:br/>
              <w:t>Ownership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 of</w:t>
              <w:br/>
              <w:t>Class</w:t>
            </w:r>
          </w:p>
        </w:tc>
      </w:tr>
      <w:tr>
        <w:trPr/>
        <w:tc>
          <w:tcPr>
            <w:tcW w:w="6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Pzena Investment Management, LLC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6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320 Park Avenue, 8th Floor</w:t>
              <w:br/>
              <w:t>New York, New York 10022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1,100,898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Bradley L. Radoff, Jumana Capital Investments and Christopher R. Martin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Bradley L. Radoff</w:t>
              <w:br/>
              <w:t xml:space="preserve">2727 Kirby Drive, Unit 29L </w:t>
              <w:br/>
              <w:t>Houston, Texas 77098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Jumana Capital Investments and Christopher R. Martin</w:t>
              <w:br/>
              <w:t>1717 St. James Place, Suite 335</w:t>
              <w:br/>
              <w:t>Houston, Texas 77056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BlackRock, Inc.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50 Hudson Yards</w:t>
              <w:br/>
              <w:t>New York, New York 10001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858,377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Dimensional Fund Advisors LP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Building One, 6300 Bee Cave Road</w:t>
              <w:br/>
              <w:t>Austin, Texas 78746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715,076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 xml:space="preserve">Based upon a Schedule 13G/A filed May 5, 2026, showing sole voting power with respect to 778,551 shares and sole dispositive power with respect to 1,100,898 shares.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Based upon a Schedule 13D/A filed April 27, 2026, by Bradley L. Radoff, Jumana Capital Investments LLC (“Jumana Capital”), and Christopher R. Martin, as a group. Mr. Radoff directly beneficially owns 420,000 shares, with sole voting power with respect to 420,000 shares and sole dispositive power with respect to 420,000 shares. Jumana Capital directly beneficially owns 455,000 shares, with shared voting power with respect to 455,000 shares and shared dispositive power with respect to 455,000 shares. Mr. Martin, as the Manager of Jumana Capital, may be deemed the beneficial owner of the 455,000 shares owned by Jumana Capital and maintains shared voting power with respect to 455,000 shares and shared dispositive power with respect to 455,000 shares. Each of Mr. Radoff, Jumana Capital and Mr. Martin may be deemed to be a member of a "group" for purposes of Section 13(d)(3) of the Securities Exchange Act of 1934, as amended, and such group may be deemed to beneficially own 875,000 shares in the aggregate. Each member of the group disclaims beneficial ownership of shares not directly owned. </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 xml:space="preserve">Based upon a Schedule 13G/A filed April 17, 2025, showing sole voting power with respect to 845,442 shares and sole dispositive power with respect to 858,377 shares. </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 xml:space="preserve">Based upon a Schedule 13G/A filed February 9, 2024, showing sole voting power with respect to 701,181 shares and sole dispositive power with respect to 715,076 shares. </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25" w:name="ownership_of_directors_and_management"/>
      <w:bookmarkEnd w:id="25"/>
      <w:r>
        <w:rPr>
          <w:rFonts w:ascii="Arial" w:hAnsi="Arial"/>
          <w:b/>
          <w:color w:val="000000"/>
          <w:sz w:val="20"/>
        </w:rPr>
        <w:t>Ownership of Directors and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following table sets forth information as of May 18, 2026 regarding the beneficial ownership of the Company’s common stock by each of the Company’s directors, the persons required to be named in the Company’s summary compensation table appearing elsewhere in the proxy statement and the directors and executive officers as a group. None of such persons owns any equity securities of the Company other than common stock.</w:t>
      </w:r>
      <w:r>
        <w:rPr>
          <w:rFonts w:ascii="Times New Roman" w:hAnsi="Times New Roman"/>
          <w:color w:val="000000"/>
          <w:sz w:val="20"/>
        </w:rPr>
        <w:t xml:space="preserve"> </w:t>
      </w:r>
    </w:p>
    <w:p>
      <w:pPr>
        <w:pStyle w:val="TextBody"/>
        <w:bidi w:val="0"/>
        <w:jc w:val="left"/>
        <w:rPr/>
      </w:pPr>
      <w:r>
        <w:rPr/>
        <w:t> </w:t>
      </w:r>
    </w:p>
    <w:tbl>
      <w:tblPr>
        <w:tblW w:w="7592" w:type="dxa"/>
        <w:jc w:val="left"/>
        <w:tblInd w:w="0" w:type="dxa"/>
        <w:tblLayout w:type="fixed"/>
        <w:tblCellMar>
          <w:top w:w="28" w:type="dxa"/>
          <w:left w:w="28" w:type="dxa"/>
          <w:bottom w:w="28" w:type="dxa"/>
          <w:right w:w="28" w:type="dxa"/>
        </w:tblCellMar>
      </w:tblPr>
      <w:tblGrid>
        <w:gridCol w:w="5836"/>
        <w:gridCol w:w="146"/>
        <w:gridCol w:w="146"/>
        <w:gridCol w:w="146"/>
        <w:gridCol w:w="796"/>
        <w:gridCol w:w="146"/>
        <w:gridCol w:w="376"/>
      </w:tblGrid>
      <w:tr>
        <w:trPr/>
        <w:tc>
          <w:tcPr>
            <w:tcW w:w="5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 and</w:t>
              <w:br/>
              <w:t>Nature of</w:t>
              <w:br/>
              <w:t>Beneficial</w:t>
              <w:br/>
              <w:t>Ownership(1)(2)</w:t>
            </w:r>
          </w:p>
        </w:tc>
      </w:tr>
      <w:tr>
        <w:trPr/>
        <w:tc>
          <w:tcPr>
            <w:tcW w:w="583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Joanna Barsh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45,897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Matthew M. Bilunas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Carolyn Bojanowski</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John F. Lambros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Thurgood Marshall, Jr.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Angel R. Martinez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Mary E. Meixelsperger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Gregory A. Sandfort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Mimi E. Vaughn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450,328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Cassandra E.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Scott E. Becker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67,158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Parag D. Desai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Andrew I. Gray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87,371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Directors and Executive Officers as a Group (14 Persons)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981,160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w:t>
            </w:r>
          </w:p>
        </w:tc>
      </w:tr>
    </w:tbl>
    <w:p>
      <w:pPr>
        <w:pStyle w:val="TextBody"/>
        <w:bidi w:val="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 xml:space="preserve">Each director and officer owns less than 1% of the outstanding shares of the Company’s common stock, other than Mimi E. Vaughn, who owns approximately 4.1% of the Company’s common stock based on 11,103,175 outstanding shares as of May 18, 2026.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Shares are shown as beneficially owned if the person named in the table has or shares the power to vote or direct the voting of, or the power to dispose of, or direct the disposition of, such shares, which includes shares of restricted stock that remain subject to forfeiture or that vest within 60 days of May 18, 2026. See “Director Compensation” and “Executive Compensation — Summary Compensation Table” below. </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 xml:space="preserve">Constitutes approximately 8.8% of the outstanding shares of the Company’s common stock based on 11,103,175 outstanding shares as of May 18, 2026. </w:t>
      </w:r>
    </w:p>
    <w:p>
      <w:pPr>
        <w:pStyle w:val="TextBody"/>
        <w:bidi w:val="0"/>
        <w:spacing w:before="240" w:after="283"/>
        <w:jc w:val="left"/>
        <w:rPr>
          <w:rFonts w:ascii="Times New Roman" w:hAnsi="Times New Roman"/>
          <w:sz w:val="20"/>
        </w:rPr>
      </w:pPr>
      <w:bookmarkStart w:id="26" w:name="director_and_executive_officer_ownership"/>
      <w:bookmarkEnd w:id="26"/>
      <w:r>
        <w:rPr>
          <w:rFonts w:ascii="Arial" w:hAnsi="Arial"/>
          <w:b/>
          <w:color w:val="000000"/>
          <w:sz w:val="20"/>
        </w:rPr>
        <w:t>Director and Executive Officer Ownership Guidelines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nominating and governance committee of the Board has adopted share ownership guidelines for directors and executive officers, including the named executive officers. The guidelines require that named executive officers hold at least the number of shares specified below:</w:t>
      </w:r>
      <w:r>
        <w:rPr>
          <w:rFonts w:ascii="Times New Roman" w:hAnsi="Times New Roman"/>
          <w:color w:val="000000"/>
          <w:sz w:val="20"/>
        </w:rPr>
        <w:t xml:space="preserve"> </w:t>
      </w:r>
    </w:p>
    <w:p>
      <w:pPr>
        <w:pStyle w:val="TextBody"/>
        <w:bidi w:val="0"/>
        <w:jc w:val="left"/>
        <w:rPr/>
      </w:pPr>
      <w:r>
        <w:rPr/>
        <w:t> </w:t>
      </w:r>
    </w:p>
    <w:tbl>
      <w:tblPr>
        <w:tblW w:w="7689" w:type="dxa"/>
        <w:jc w:val="left"/>
        <w:tblInd w:w="0" w:type="dxa"/>
        <w:tblLayout w:type="fixed"/>
        <w:tblCellMar>
          <w:top w:w="28" w:type="dxa"/>
          <w:left w:w="28" w:type="dxa"/>
          <w:bottom w:w="28" w:type="dxa"/>
          <w:right w:w="28" w:type="dxa"/>
        </w:tblCellMar>
      </w:tblPr>
      <w:tblGrid>
        <w:gridCol w:w="5776"/>
        <w:gridCol w:w="146"/>
        <w:gridCol w:w="1336"/>
        <w:gridCol w:w="431"/>
      </w:tblGrid>
      <w:tr>
        <w:trPr/>
        <w:tc>
          <w:tcPr>
            <w:tcW w:w="5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5776"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Chief Executive Officer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60,000 shares</w:t>
            </w:r>
          </w:p>
        </w:tc>
        <w:tc>
          <w:tcPr>
            <w:tcW w:w="43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577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Chief Operating Officer (if applicable)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30,000 shares</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5776"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Chief Financial Officer and Operational Senior Vice Presidents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20,000 shares</w:t>
            </w:r>
          </w:p>
        </w:tc>
        <w:tc>
          <w:tcPr>
            <w:tcW w:w="43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577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Other Senior Vice Presidents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15,000 shares</w:t>
            </w:r>
          </w:p>
        </w:tc>
        <w:tc>
          <w:tcPr>
            <w:tcW w:w="43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guidelines allow covered executives up to five years from their appointment dates to comply with the guidelines. All executive officers complied with the guidelines through Fiscal 2026 or were within the five year window to achieve compliance. Restricted stock grants may be used to satisfy the guidelines, consistent with the intent that such awards align executive officers’ interests with those of shareholders. The value of unearned performance-vested equity awards and the “in-the-money” value of unexercised stock options do not count toward achievement of the guidelines.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guidelines require that non-employee directors hold a number of shares equal to five times their annual cash retainer. Directors are expected to achieve that ownership within five years of the director’s election to the Board. All non-employee directors have complied with the ownership guidelines or are within the five year window to achieve compliance.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7" w:name="anti_hedging_policy_for_directors"/>
      <w:bookmarkEnd w:id="27"/>
      <w:r>
        <w:rPr>
          <w:rFonts w:ascii="Arial" w:hAnsi="Arial"/>
          <w:b/>
          <w:color w:val="000000"/>
          <w:sz w:val="20"/>
        </w:rPr>
        <w:t>Anti-Hedging Policy for Directors and Officers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Board has adopted a policy prohibiting hedging against future declines in the market value of the Company’s securities by directors and officers of the Company. This policy prohibits directors and officers from directly or indirectly engaging in any hedging transaction that eliminates or limits economic risk with respect to the director’s or officer’s interest in the Company’s securities, including any compensation awards the value of which are derived from, referenced to or based on the value or market price of the Company’s securities. The policy reflects the Board’s judgment that hedging transactions decrease alignment between the interests of the officers and directors and those of the shareholders, undermining the objectives underlying stock-based compensation and the share ownership policy for officers and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8" w:name="insider_trading_policy"/>
      <w:bookmarkEnd w:id="28"/>
      <w:r>
        <w:rPr>
          <w:rFonts w:ascii="Arial" w:hAnsi="Arial"/>
          <w:b/>
          <w:color w:val="000000"/>
          <w:sz w:val="20"/>
        </w:rPr>
        <w:t>Insider Trading Policy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Company has insider trading policies</w:t>
      </w:r>
      <w:r>
        <w:rPr>
          <w:rFonts w:ascii="Times New Roman" w:hAnsi="Times New Roman"/>
          <w:color w:val="000000"/>
          <w:sz w:val="20"/>
        </w:rPr>
        <w:t xml:space="preserve"> </w:t>
      </w:r>
      <w:r>
        <w:rPr>
          <w:rFonts w:ascii="Arial" w:hAnsi="Arial"/>
          <w:color w:val="000000"/>
          <w:sz w:val="20"/>
        </w:rPr>
        <w:t>and procedures that govern the purchase, sale and other dispositions of its securities by directors, officers, employees and the Company (the “Insider Trading Policy”). We believe the Insider Trading Policy is reasonably designed to promote compliance with insider trading laws, rules and regulations and applicable listing standards. The foregoing is a summary of our insider trading policies and procedures and does not purport to be complete and is qualified by reference to our Insider Trading Policy incorporated by reference in the Fiscal 2026 Annual Report on Form 10-K (the “2026 Annual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9" w:name="delinquent_section_16a_reports"/>
      <w:bookmarkEnd w:id="29"/>
      <w:r>
        <w:rPr>
          <w:rFonts w:ascii="Arial" w:hAnsi="Arial"/>
          <w:b/>
          <w:color w:val="000000"/>
          <w:sz w:val="20"/>
        </w:rPr>
        <w:t>Delinquent Section 16(a) Reports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Section 16(a) of the Exchange Act requires our directors, certain of our officers and persons who beneficially own more than 10% of the Company’s common stock to file with the SEC reports of stock ownership and changes in ownership (Forms 3, 4 and 5) in shares of our common stock. Based solely upon a review of copies of Forms 3, 4 and 5 for the fiscal year ended January 31, 2026, we believe that all our executive officers, directors, greater than 10% beneficial owners and other Section 16 officers complied with all filing requirements on a timely basis.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0" w:name="executive_compensation"/>
      <w:bookmarkEnd w:id="30"/>
      <w:r>
        <w:rPr>
          <w:rFonts w:ascii="Arial" w:hAnsi="Arial"/>
          <w:b/>
          <w:color w:val="000000"/>
          <w:sz w:val="20"/>
        </w:rPr>
        <w:t>EXECUTIVE COMPENSATION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1" w:name="compensation_discussion_and_analysis"/>
      <w:bookmarkEnd w:id="31"/>
      <w:r>
        <w:rPr>
          <w:rFonts w:ascii="Arial" w:hAnsi="Arial"/>
          <w:b/>
          <w:color w:val="000000"/>
          <w:sz w:val="20"/>
        </w:rPr>
        <w:t>COMPENSATION DISCUSSION AND ANALYSIS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Fiscal 2026 Summary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Company embraces a pay-for performance philosophy, and the compensation of the named executive officers for Fiscal 2026 was directly aligned with the Company’s financial performance. Journeys’ business improved significantly as a result of the strategic initiatives the Company implemented during Fiscal 2026. The Company’s net sales grew 4.8% in Fiscal 2026 with a 6% increase in comparable sales, including a 6% increase in same store sales and a 4% increase in comparable e-commerce sales. The Company has also made substantial progress in realigning its cost base. Consistent with our Fiscal 2026 performance and pay for performance philosophy, the named executive officers in the Corporate and Journeys Group business units earned bonus payments under the Company’s Fourth Amended and Restated EVA Plan (the “EVA Plan”) for the year. Payouts to the named executive officers in the Corporate business unit and Journeys Group business unit were at 51% of target and 166% of target, respectively. No PSUs from the Fiscal 2024 grant were earned for any of the Company's named executive officers as a result of performance over the three-year performance period.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Compensation Philosophy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Genesco’s compensation programs are intended to attract and retain employees with skills necessary to enable the Company to achieve its financial and strategic objectives and to motivate them through the use of appropriate incentives tied to the Company’s performance and market value to achieve those objectives. The Company recognizes that the goals of employee attraction, retention and motivation must be balanced against the necessity of controlling compensation expense, with the ultimate objective of building shareholder value. With respect to senior management (executive officers and heads of the Company’s operating units and staff departments, including the principal executive officer, the principal financial officer and the additional officers listed in the Summary Compensation Table which follows this discussion, who are referred to in this discussion as the “named executive officers”), the compensation committee of the Board (the “compensation committee”) has the responsibility to design a compensation program and set levels of compensation that attempt to achieve the optimal balance between employee attraction, retention and motivation, on the one hand, and control of compensation expense, on the other.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This Compensation Discussion and Analysis describes our executive compensation programs for Fiscal 2026 named executive officers who were: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Mimi E. Vaughn, chair of the Board, president and chief executive officer, interim chief financial officer;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Cassandra E. Harris, former senior vice president—finance and chief financial officer of the Company. See “Compensation Discussion and Analysis—Other Compensation—Change of Control Arrangements, Severance Plans and Arrangements with Mr. Gray and Ms. Harris” for a description of the termination-related arrangements with Ms. Harris;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Scott E. Becker, senior vice president, general counsel and corporate secretary;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Parag D. Desai, senior vice president—chief strategy and digital officer; and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Andrew I. Gray, senior vice president of the Company and chief executive officer, Journeys Global Retail Group.</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2025 Say on Pay Vote and Shareholder Engagement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Fiscal 2026, the Company continued its robust and ongoing shareholder engagement program. At the annual meeting of shareholders in 2025, the compensation of the named executive officers of the Company was submitted for a non-binding, advisory “say on pay” vote by shareholders. Approximately 88.0% of the votes cast were voted in favor of the compensation paid to the named executive officers. While no changes were made to the program as a result of the shareholder vote, the compensation committee considered and expects to continue to consider shareholder views on compensation philosophy and implementation as expressed in the most recent “say on pay” vote when setting compensation. The compensation committee’s focus is on motivating employees to achieve the Company’s long-term financial and strategic objectives, making changes to the compensation program if appropriate to continue to align with long-term strategy to create shareholder value.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Compensation Changes beginning in Fiscal 2024</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Company’s executive compensation program is designed to attract, retain, and motivate top-level talent who possess the skills and leadership necessary to grow the business and enable long-term value creation. To ensure that management’s interests are aligned with those of the Company’s shareholders and to motivate and reward individual initiative and effort, the Company’s executive compensation program emphasizes a pay-for-performance compensation philosophy so that attainment of Company and individual performance goals are rewarded. The compensation committee annually reviews and analyzes market trends (including compensation market data from an approved peer group of companies) and adjusts the design and operation of the Company’s executive compensation program from time to time as it deems appropriate. While the compensation committee’s compensation philosophy remains unchanged, in connection with its review of the compensation program in Fiscal 2023, the compensation committee determined that it was in the best interests of the Company and its shareholders to make certain modifications to the program for Fiscal 2024. Based on the compensation committee’s analysis, with the input of its compensation consultant and other outside advisors, as well as feedback from shareholders, the compensation committee determined to simplify the EVA Plan and introduce a new component of its long-term equity-based incentive program by making grants of performance-based restricted share units (“PSUs”) to senior management, including the named executive officers, as described in more detail below.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compensation committee made several changes to the EVA Plan aimed at reducing the volatility, providing a cap on payouts and minimizing perceived complexity in the EVA Plan. In furtherance of those goals, in March 2023, the compensation committee adopted the Fourth Amended and Restated EVA Incentive Compensation Plan to, among other things, (i) simplify target setting, (ii) reduce payout curve leverage to reduce payout volatility, (iii) provide that only zero or positive bonuses can be earned, (iv) eliminate contributions to</w:t>
      </w:r>
      <w:r>
        <w:rPr>
          <w:rFonts w:ascii="Times New Roman" w:hAnsi="Times New Roman"/>
          <w:color w:val="000000"/>
          <w:sz w:val="20"/>
        </w:rPr>
        <w:t xml:space="preserve"> </w:t>
      </w:r>
      <w:r>
        <w:rPr>
          <w:rFonts w:ascii="Arial" w:hAnsi="Arial"/>
          <w:color w:val="000000"/>
          <w:sz w:val="20"/>
        </w:rPr>
        <w:t>bonus banks (negative or positive) beginning in Fiscal 2024 and phase out bonus banks entirely by the end of Fiscal 2026, and (v) cap bonuses at three times target. The amended plan also establishes certain transitional rules for bonus banks existing at Fiscal 2023 year end as such bonus banks are phased out. These transitional rules require the repayment of any legacy negative bonus bank over Fiscal 2024, 2025 and 2026 consistent with the EVA Plan’s historical banking provisions.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addition, to align Genesco’s long-term incentive plan with typical market practice and shift leverage from the EVA Plan to equity, beginning in Fiscal 2024, members of senior management received 50% of their annual long-term incentive grant value in the form of PSUs. Awards of PSUs made in Fiscal 2024, with performance targets that were based on cumulative adjusted operating income, were not earned by the named executive officers in the Corporate and Journeys Group business units as a result of performance during the three-year performance period. For awards made in Fiscal 2025, the performance targets were based on adjusted operating income by business unit over a one-year period ended February 1, 2025. The named executive officers in the Corporate business unit, except Ms. Harris, earned 76.3% of PSUs granted in Fiscal 2025 as a result of the one-year performance period. The named executive officer in the Journeys Group business unit earned 190.4% of PSUs granted in Fiscal 2025 as a result of the one-year performance period. Fifty percent of the earned PSUs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vested on February 1, 2026, and the remaining 50% will vest on February 1, 2027, subject in each case to continued employment. The compensation committee determined to use a one-year performance period in Fiscal 2025 as a result of industry volatility and the lack of multi-year forecasting visibility. For awards of PSUs in Fiscal 2026, performance targets are based on cumulative adjusted operating income over a three-year period ending January 29, 2028.</w:t>
      </w:r>
    </w:p>
    <w:p>
      <w:pPr>
        <w:pStyle w:val="TextBody"/>
        <w:bidi w:val="0"/>
        <w:spacing w:before="240" w:after="283"/>
        <w:jc w:val="left"/>
        <w:rPr>
          <w:rFonts w:ascii="Times New Roman" w:hAnsi="Times New Roman"/>
          <w:sz w:val="20"/>
        </w:rPr>
      </w:pPr>
      <w:r>
        <w:rPr>
          <w:rFonts w:ascii="Arial" w:hAnsi="Arial"/>
          <w:color w:val="000000"/>
          <w:sz w:val="20"/>
        </w:rPr>
        <w:t>Beginning in Fiscal 2024, the vesting schedule of time-based restricted shares has also been reduced from four years to three years to align with market practice. Going forward, the compensation committee will continue to evaluate the equity program and performance metrics to ensure alignment of executives’ interests with those of shareholders.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Fiscal 2026 Compensation Discussion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1. </w:t>
      </w:r>
      <w:r>
        <w:rPr>
          <w:rFonts w:ascii="Arial" w:hAnsi="Arial"/>
          <w:b/>
          <w:color w:val="000000"/>
          <w:sz w:val="20"/>
          <w:u w:val="single"/>
        </w:rPr>
        <w:t>Compensation Mix</w:t>
      </w:r>
      <w:r>
        <w:rPr>
          <w:rFonts w:ascii="Arial" w:hAnsi="Arial"/>
          <w:color w:val="000000"/>
          <w:sz w:val="20"/>
        </w:rPr>
        <w:t>. Genesco’s compensation programs for its senior management are designed to incorporate a significant element of pay for performance.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For Fiscal 2026, the Company generally targeted base salaries at the market median, while providing upside potential through time-vested stock-based compensation and performance-based compensation, comprised of a combination of annual cash incentives and PSUs linked to operating results.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The graphs below illustrate, for the chief executive officer and for the other named executive officers as a group, the components of target total direct compensation (defined as base salary, target annual cash incentive award and the grant date value of restricted shares and PSUs granted under the Third Amended and Restated 2020 Equity Incentive Plan) for Fiscal 2026. The percentages for the other named executive officers as a group are affected by Mr. Gray’s receipt of a grant in Fiscal 2025 equal to three years of restricted stock grants based on his compensation at that time in an effort to further align his interests with those of the Company’s shareholders in recognition of the impact of the turnaround of the Journeys’ business on the Company and its share price.</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b/>
          <w:color w:val="000000"/>
          <w:sz w:val="20"/>
        </w:rPr>
        <w:t>Chief Executive Officer</w:t>
      </w:r>
      <w:r>
        <w:rPr>
          <w:rFonts w:ascii="Times New Roman" w:hAnsi="Times New Roman"/>
          <w:color w:val="000000"/>
          <w:sz w:val="20"/>
        </w:rPr>
        <w:t xml:space="preserve"> </w:t>
      </w:r>
    </w:p>
    <w:p>
      <w:pPr>
        <w:pStyle w:val="TextBody"/>
        <w:bidi w:val="0"/>
        <w:jc w:val="center"/>
        <w:rPr/>
      </w:pPr>
      <w:r>
        <w:rPr/>
        <w:drawing>
          <wp:inline distT="0" distB="0" distL="0" distR="0">
            <wp:extent cx="4791075" cy="1228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791075" cy="1228725"/>
                    </a:xfrm>
                    <a:prstGeom prst="rect">
                      <a:avLst/>
                    </a:prstGeom>
                  </pic:spPr>
                </pic:pic>
              </a:graphicData>
            </a:graphic>
          </wp:inline>
        </w:drawing>
      </w:r>
    </w:p>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b/>
          <w:color w:val="000000"/>
          <w:sz w:val="20"/>
        </w:rPr>
        <w:t>Other Named Executive Officers (Group Average)</w:t>
      </w:r>
      <w:r>
        <w:rPr>
          <w:rFonts w:ascii="Times New Roman" w:hAnsi="Times New Roman"/>
          <w:color w:val="000000"/>
          <w:sz w:val="20"/>
        </w:rPr>
        <w:t xml:space="preserve"> </w:t>
      </w:r>
    </w:p>
    <w:p>
      <w:pPr>
        <w:pStyle w:val="TextBody"/>
        <w:bidi w:val="0"/>
        <w:jc w:val="center"/>
        <w:rPr/>
      </w:pPr>
      <w:r>
        <w:rPr/>
        <w:drawing>
          <wp:inline distT="0" distB="0" distL="0" distR="0">
            <wp:extent cx="4705350" cy="12287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705350" cy="12287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2. </w:t>
      </w:r>
      <w:r>
        <w:rPr>
          <w:rFonts w:ascii="Arial" w:hAnsi="Arial"/>
          <w:b/>
          <w:color w:val="000000"/>
          <w:sz w:val="20"/>
          <w:u w:val="single"/>
        </w:rPr>
        <w:t>Compensation Committee Process</w:t>
      </w:r>
      <w:r>
        <w:rPr>
          <w:rFonts w:ascii="Arial" w:hAnsi="Arial"/>
          <w:b/>
          <w:color w:val="000000"/>
          <w:sz w:val="20"/>
        </w:rPr>
        <w:t xml:space="preserve">. </w:t>
      </w:r>
      <w:r>
        <w:rPr>
          <w:rFonts w:ascii="Arial" w:hAnsi="Arial"/>
          <w:color w:val="000000"/>
          <w:sz w:val="20"/>
        </w:rPr>
        <w:t>In seeking to balance employee attraction and retention with appropriate management of compensation expense, the compensation committee looks primarily to market data. It retains an independent compensation consultant to work directly with the compensation committee in gathering and analyzing data. The compensation committee and its consultant also solicit input from the chief executive officer on subjective considerations such as an individual executive’s performance and aspects of his or her role in the Company that might affect the relevance of market comparisons and perceptions of internal equity that the chief executive officer believes should be taken into account in individual cases of the Company’s other executives. On the basis of the market data, management input, and the consultant’s knowledge of trends and developments in compensation design, the consultant annually presents analyses and observations regarding the material elements of senior management direct compensation for the compensation committee’s consideration. The final compensation decisions rest with the compensation committee.</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In May 2018, the Company engaged F.W. Cook as its independent compensation consultant, and F.W. Cook’s analysis was used by the compensation committee to make decisions about target total direct compensation levels for Fiscal 2026. Total fees paid by the Company to F.W. Cook represent a minimal portion of the firm’s total revenues, and as a result of this and other factors, the compensation committee believes that no conflict of interest existed or exists in its role as compensation consultant to the compensation committee. In October 2025, the Company engaged Meridian Compensation Partners ("Meridian") as its new independent compensation consultant, and the compensation committee will use Meridian's analysis to make decisions about target total direct compensation levels for Fiscal 2027. Total fees paid by the Company to Meridian represent a minimal portion of the firm’s total revenues, and as a result of this and other factors, the compensation committee believes that no conflict of interest existed or exists in its role as compensation consultant to the compensation committee.</w:t>
      </w:r>
    </w:p>
    <w:p>
      <w:pPr>
        <w:pStyle w:val="TextBody"/>
        <w:bidi w:val="0"/>
        <w:spacing w:before="240" w:after="283"/>
        <w:jc w:val="left"/>
        <w:rPr>
          <w:rFonts w:ascii="Times New Roman" w:hAnsi="Times New Roman"/>
          <w:sz w:val="20"/>
        </w:rPr>
      </w:pPr>
      <w:r>
        <w:rPr>
          <w:rFonts w:ascii="Arial" w:hAnsi="Arial"/>
          <w:color w:val="000000"/>
          <w:sz w:val="20"/>
        </w:rPr>
        <w:t>In recent years, the compensation committee has approached its analysis of senior management compensation from the perspective of total direct compensation (consisting of base salary, target annual incentive opportunities, and long-term incentives). For its analysis of compensation levels established for Fiscal 2026, the compensation committee referenced the following 16-company peer group: Abercrombie &amp; Fitch Co.; The Buckle,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Inc.; Caleres, Inc.; The Cato Corporation; Chico’s FAS Inc.; The Children’s Place, Inc.; Deckers Outdoor Corporation; Designer Brands Inc.; Express, Inc.; G-III Apparel Group, Ltd.; Shoe Carnival, Inc.; Skechers USA, Inc.; Steve Madden, Ltd.; Urban Outfitters, Inc.; Wolverine World Wide, Inc.; and Zumiez Inc. This was the same peer group that was used for Fiscal 2025 compensation decisions. At the time the peer group was approved, the Company’s trailing four quarter revenue was at the 50th percentile of the peer group. In addition, peer group data are supplemented with revenue-scoped general industry and retail survey data, as appropriate.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3. </w:t>
      </w:r>
      <w:r>
        <w:rPr>
          <w:rFonts w:ascii="Arial" w:hAnsi="Arial"/>
          <w:b/>
          <w:color w:val="000000"/>
          <w:sz w:val="20"/>
          <w:u w:val="single"/>
        </w:rPr>
        <w:t>Elements of Direct Compensation</w:t>
      </w:r>
      <w:r>
        <w:rPr>
          <w:rFonts w:ascii="Arial" w:hAnsi="Arial"/>
          <w:b/>
          <w:color w:val="000000"/>
          <w:sz w:val="20"/>
        </w:rPr>
        <w:t xml:space="preserve">. </w:t>
      </w:r>
      <w:r>
        <w:rPr>
          <w:rFonts w:ascii="Arial" w:hAnsi="Arial"/>
          <w:color w:val="000000"/>
          <w:sz w:val="20"/>
        </w:rPr>
        <w:t>For Fiscal 2026, total direct compensation to the Company’s senior management consisted of annual base salary, annual incentive bonuses and long-term incentives in the form of stock-based awards, including PSUs with a three-year performance period. The compensation committee generally seeks to pay base salaries at the market median, using the bonus to provide the potential for above-median cash compensation for superior performance against annual performance objectives that reward creation of shareholder value. The long-term incentive element is stock-based and 50% is tied directly to Company performance which further aligns management’s interests with those of the shareholders. The compensation committee also considers targeted total cash levels (base salary plus the target bonus) and total direct compensation (target total cash plus the grant date value of long-term incentives) in relation to the peer group and survey data.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A. </w:t>
      </w:r>
      <w:r>
        <w:rPr>
          <w:rFonts w:ascii="Arial" w:hAnsi="Arial"/>
          <w:i/>
          <w:color w:val="000000"/>
          <w:sz w:val="20"/>
          <w:u w:val="single"/>
        </w:rPr>
        <w:t>Base Salary</w:t>
      </w:r>
      <w:r>
        <w:rPr>
          <w:rFonts w:ascii="Arial" w:hAnsi="Arial"/>
          <w:i/>
          <w:color w:val="000000"/>
          <w:sz w:val="20"/>
        </w:rPr>
        <w:t xml:space="preserve">. </w:t>
      </w:r>
      <w:r>
        <w:rPr>
          <w:rFonts w:ascii="Arial" w:hAnsi="Arial"/>
          <w:color w:val="000000"/>
          <w:sz w:val="20"/>
        </w:rPr>
        <w:t>The Company pays base salaries to its employees in order to provide a level of assured compensation reflecting the employment market of the employee’s skills and the demands of the employee’s position. Base salaries are reviewed annually and adjusted when appropriate based on comparisons to market, executive performance and other considerations. The following table sets forth the base salary increases approved by the compensation committee for each named executive officer:</w:t>
      </w:r>
      <w:r>
        <w:rPr>
          <w:rFonts w:ascii="Times New Roman" w:hAnsi="Times New Roman"/>
          <w:color w:val="000000"/>
          <w:sz w:val="20"/>
        </w:rPr>
        <w:t xml:space="preserve"> </w:t>
      </w:r>
    </w:p>
    <w:tbl>
      <w:tblPr>
        <w:tblW w:w="7695" w:type="dxa"/>
        <w:jc w:val="left"/>
        <w:tblInd w:w="0" w:type="dxa"/>
        <w:tblLayout w:type="fixed"/>
        <w:tblCellMar>
          <w:top w:w="28" w:type="dxa"/>
          <w:left w:w="28" w:type="dxa"/>
          <w:bottom w:w="28" w:type="dxa"/>
          <w:right w:w="28" w:type="dxa"/>
        </w:tblCellMar>
      </w:tblPr>
      <w:tblGrid>
        <w:gridCol w:w="2071"/>
        <w:gridCol w:w="146"/>
        <w:gridCol w:w="211"/>
        <w:gridCol w:w="961"/>
        <w:gridCol w:w="146"/>
        <w:gridCol w:w="146"/>
        <w:gridCol w:w="211"/>
        <w:gridCol w:w="961"/>
        <w:gridCol w:w="146"/>
        <w:gridCol w:w="146"/>
        <w:gridCol w:w="146"/>
        <w:gridCol w:w="211"/>
        <w:gridCol w:w="691"/>
        <w:gridCol w:w="146"/>
        <w:gridCol w:w="146"/>
        <w:gridCol w:w="146"/>
        <w:gridCol w:w="160"/>
        <w:gridCol w:w="380"/>
        <w:gridCol w:w="314"/>
        <w:gridCol w:w="210"/>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Named Executive Officer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br/>
              <w:t>Base Salary</w:t>
              <w:br/>
              <w:t>Increase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br/>
              <w:t>Base Salary</w:t>
              <w:br/>
              <w:t>Increase %</w:t>
            </w:r>
          </w:p>
        </w:tc>
      </w:tr>
      <w:tr>
        <w:trPr/>
        <w:tc>
          <w:tcPr>
            <w:tcW w:w="207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Mimi E. Vaughn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Cassandra E.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Scott E. Becker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Parag D. Desai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Andrew I. Gray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 xml:space="preserve">B. </w:t>
      </w:r>
      <w:r>
        <w:rPr>
          <w:rFonts w:ascii="Arial" w:hAnsi="Arial"/>
          <w:i/>
          <w:color w:val="000000"/>
          <w:sz w:val="20"/>
          <w:u w:val="single"/>
        </w:rPr>
        <w:t>Annual Incentive Compensation</w:t>
      </w:r>
      <w:r>
        <w:rPr>
          <w:rFonts w:ascii="Arial" w:hAnsi="Arial"/>
          <w:i/>
          <w:color w:val="000000"/>
          <w:sz w:val="20"/>
        </w:rPr>
        <w:t>. (i) Overview.</w:t>
      </w:r>
      <w:r>
        <w:rPr>
          <w:rFonts w:ascii="Times New Roman" w:hAnsi="Times New Roman"/>
          <w:color w:val="000000"/>
          <w:sz w:val="20"/>
        </w:rPr>
        <w:t xml:space="preserve"> </w:t>
      </w:r>
      <w:r>
        <w:rPr>
          <w:rFonts w:ascii="Arial" w:hAnsi="Arial"/>
          <w:color w:val="000000"/>
          <w:sz w:val="20"/>
        </w:rPr>
        <w:t>Executive officers, including all of the named executive officers, participated in the EVA Plan in Fiscal 2026, which is designed to reward increasing earnings in an amount sufficient to provide a return on capital greater than the Company’s cost of capital. The compensation committee believes that the EVA Plan, which rewards executives for successfully executing shorter-term business goals, has adequately aligned pay and performance.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All named executive officers are participants in the EVA Plan. The EVA Plan also incorporates a provision making a portion of each participant’s award contingent on the achievement of individual strategic goals to provide an incentive for strategic and operational objectives that may not be immediately reflected in the annual financial performance of the participant’s business unit. The compensation committee annually sets target bonus levels based on the Company’s peer group and survey comparisons of target bonuses as a percentage of base salary and target total cash compensation. The chief executive officer also provides input to the compensation committee on target bonus levels for positions other than his or her own.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 xml:space="preserve">(ii) Bonus Targets. </w:t>
      </w:r>
      <w:r>
        <w:rPr>
          <w:rFonts w:ascii="Arial" w:hAnsi="Arial"/>
          <w:color w:val="000000"/>
          <w:sz w:val="20"/>
        </w:rPr>
        <w:t>The following table sets forth target bonuses as a percentage of base salary for the named executive officers for Fiscal 2026:</w:t>
      </w:r>
      <w:r>
        <w:rPr>
          <w:rFonts w:ascii="Times New Roman" w:hAnsi="Times New Roman"/>
          <w:color w:val="000000"/>
          <w:sz w:val="20"/>
        </w:rPr>
        <w:t xml:space="preserve"> </w:t>
      </w:r>
    </w:p>
    <w:tbl>
      <w:tblPr>
        <w:tblW w:w="3611" w:type="dxa"/>
        <w:jc w:val="left"/>
        <w:tblInd w:w="0" w:type="dxa"/>
        <w:tblLayout w:type="fixed"/>
        <w:tblCellMar>
          <w:top w:w="28" w:type="dxa"/>
          <w:left w:w="28" w:type="dxa"/>
          <w:bottom w:w="28" w:type="dxa"/>
          <w:right w:w="28" w:type="dxa"/>
        </w:tblCellMar>
      </w:tblPr>
      <w:tblGrid>
        <w:gridCol w:w="2071"/>
        <w:gridCol w:w="146"/>
        <w:gridCol w:w="181"/>
        <w:gridCol w:w="522"/>
        <w:gridCol w:w="355"/>
        <w:gridCol w:w="33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Named Executive Officer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Target Bonus</w:t>
              <w:br/>
              <w:t>as a Percentage</w:t>
              <w:br/>
              <w:t>of Base Salary</w:t>
            </w:r>
          </w:p>
        </w:tc>
      </w:tr>
      <w:tr>
        <w:trPr/>
        <w:tc>
          <w:tcPr>
            <w:tcW w:w="207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Mimi E. Vaughn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Cassandra E.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Scott E. Becker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(1)</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Parag D. Desai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Andrew I. Gray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(2)</w:t>
            </w:r>
          </w:p>
        </w:tc>
      </w:tr>
    </w:tbl>
    <w:p>
      <w:pPr>
        <w:pStyle w:val="TextBody"/>
        <w:bidi w:val="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Mr. Becker's target bonus as a percentage of base salary was increased from 65% in Fiscal 2025 to align with market.</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Mr. Gray's target bonus as a percentage of base salary was increased from 75% in Fiscal 2025 in recognition of Journeys Group meeting certain financial objectives. </w:t>
      </w:r>
    </w:p>
    <w:p>
      <w:pPr>
        <w:pStyle w:val="TextBody"/>
        <w:bidi w:val="0"/>
        <w:spacing w:before="240" w:after="283"/>
        <w:jc w:val="left"/>
        <w:rPr>
          <w:rFonts w:ascii="Times New Roman" w:hAnsi="Times New Roman"/>
          <w:sz w:val="20"/>
        </w:rPr>
      </w:pPr>
      <w:r>
        <w:rPr>
          <w:rFonts w:ascii="Arial" w:hAnsi="Arial"/>
          <w:i/>
          <w:color w:val="000000"/>
          <w:sz w:val="20"/>
        </w:rPr>
        <w:t xml:space="preserve">(iii) Award Components. </w:t>
      </w:r>
      <w:r>
        <w:rPr>
          <w:rFonts w:ascii="Arial" w:hAnsi="Arial"/>
          <w:color w:val="000000"/>
          <w:sz w:val="20"/>
        </w:rPr>
        <w:t>The named executive officers participating in the EVA Plan in Fiscal 2026 were eligible to receive a fraction or multiple of their target awards in a range of 25% to 300% based on the factors described below. Performance below 25% would result in no payout. Participants were eligible to earn cash awards equal to the sum of (a) 75% of their bonus targets multiplied by a factor determined by changes in Economic Value Added (“EVA”) (the “EVA change factor”) for their respective business units or for the Company as a whole for the year, and (b) 25% of the targets multiplied by (i) the EVA change factor for their respective business units for the year and (ii) the percentage of achievement of individual strategic goals (discussed in greater detail below) agreed upon by the participant and the chief executive officer (and by the compensation committee and the chief executive officer with respect to the chief executive officer’s strategic goals) during the first quarter of the fiscal year. For Fiscal 2026, the compensation committee assigned the business unit allocation of the chief executive officer and the chief executive officer assigned each other participant’s business unit allocation, who also determined the weighting of the various business unit components for participants with responsibility for multiple units. The allocations of the chief executive officer were also approved by the compensation committee. Among the named executive officers participating in the EVA Plan in Fiscal 2026, Ms. Vaughn, Ms. Harris, Mr. Desai, and Mr. Becker were assigned 100% to the Corporate Total business unit and Mr. Gray was assigned 100% of the Journeys Group business unit.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See “Bonus Calculation Factors,” below, for additional information on the performance factors for each named executive officer’s business unit and for the Company as a whole for Fiscal 2026.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 xml:space="preserve">(iv) EVA Calculations. </w:t>
      </w:r>
      <w:r>
        <w:rPr>
          <w:rFonts w:ascii="Arial" w:hAnsi="Arial"/>
          <w:color w:val="000000"/>
          <w:sz w:val="20"/>
        </w:rPr>
        <w:t>EVA for Fiscal 2026 was determined by subtracting from a business unit’s net operating profit after taxes (“NOPAT”) a charge of 10% of the average net assets (total assets minus non-interest bearing liabilities) employed to generate the profit. The 10% capital charge represented the Company’s estimate of its weighted average cost of debt and equity capital. The EVA Plan is designed to encourage efficient use of assets, since profit improvement that is less than 10% of the incremental net assets employed reduces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participant’s bonus. Incentive awards are determined by the amount of actual EVA change during the year relative to EVA change targets for the year.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NOPAT and net assets employed for EVA Plan purposes are not necessarily the same as the corresponding accounting measures calculated in accordance with U.S. generally accepted accounting principles (“GAAP”) for financial reporting purposes. The Company’s NOPAT for purposes of the EVA Plan in Fiscal 2026 was calculated by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 adjusting reported earnings from operations upward by the following amounts which adjustments were approved at the beginning of the plan year:</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$8.1 million in the “Asset impairments and other, net” line on the Consolidated Statements of Operations for Fiscal 2026;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$1.3 million gross margin charge related to an inventory write-down related to the exit of licenses in Genesco Brands Group;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$1.3 million for tax credits; and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$0.6 million in purchase price adjustments related to the Togast acquisition; and</w:t>
      </w:r>
    </w:p>
    <w:p>
      <w:pPr>
        <w:pStyle w:val="TextBody"/>
        <w:bidi w:val="0"/>
        <w:spacing w:before="240" w:after="283"/>
        <w:jc w:val="left"/>
        <w:rPr>
          <w:rFonts w:ascii="Times New Roman" w:hAnsi="Times New Roman"/>
          <w:sz w:val="20"/>
        </w:rPr>
      </w:pPr>
      <w:r>
        <w:rPr>
          <w:rFonts w:ascii="Arial" w:hAnsi="Arial"/>
          <w:color w:val="000000"/>
          <w:sz w:val="20"/>
        </w:rPr>
        <w:t>(b) adjusting the resulting figure downward by the following amounts:</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$0.3 million related to certain fixed asset impairments;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$0.3 million in a large capital projects adjustment related to a new distribution center at Schuh;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$1.6 million in a large capital projects adjustment related to a distribution expansion at Journeys;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$3.4 million related to the difference between recorded bonus expense under GAAP and a one-time target bonus;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$0.8 million of other adjustments; and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taxes at a 28% rate for the Company’s operations other than Schuh and at an 18% rate for Schuh’s operations. </w:t>
      </w:r>
    </w:p>
    <w:p>
      <w:pPr>
        <w:pStyle w:val="TextBody"/>
        <w:bidi w:val="0"/>
        <w:spacing w:before="240" w:after="283"/>
        <w:jc w:val="left"/>
        <w:rPr>
          <w:rFonts w:ascii="Times New Roman" w:hAnsi="Times New Roman"/>
          <w:sz w:val="20"/>
        </w:rPr>
      </w:pPr>
      <w:r>
        <w:rPr>
          <w:rFonts w:ascii="Arial" w:hAnsi="Arial"/>
          <w:i/>
          <w:color w:val="000000"/>
          <w:sz w:val="20"/>
        </w:rPr>
        <w:t xml:space="preserve">(v) Bonus Calculation Factors. </w:t>
      </w:r>
      <w:r>
        <w:rPr>
          <w:rFonts w:ascii="Arial" w:hAnsi="Arial"/>
          <w:color w:val="000000"/>
          <w:sz w:val="20"/>
        </w:rPr>
        <w:t>The following table shows for the business unit of each named executive officer in Fiscal 2026: (a) the amount of EVA improvement required to earn a target bonus award (the “Expected Improvement” or “EI”), (b) for performance at or above target, the incremental EVA change required to earn each additional whole-number multiple of the target (the “Leverage Interval” or “LI”), (c) for performance below target, the EVA change required to earn a fraction of the target bonus, (d) the EVA change for the business unit, and (e) the multiple of the target bonus actually earned. Fractional multiples are earned for incremental changes less than the full improvement interval shown in columns (b) and (c).</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9211" w:type="dxa"/>
        <w:jc w:val="left"/>
        <w:tblInd w:w="0" w:type="dxa"/>
        <w:tblLayout w:type="fixed"/>
        <w:tblCellMar>
          <w:top w:w="28" w:type="dxa"/>
          <w:left w:w="28" w:type="dxa"/>
          <w:bottom w:w="28" w:type="dxa"/>
          <w:right w:w="28" w:type="dxa"/>
        </w:tblCellMar>
      </w:tblPr>
      <w:tblGrid>
        <w:gridCol w:w="1501"/>
        <w:gridCol w:w="146"/>
        <w:gridCol w:w="146"/>
        <w:gridCol w:w="1066"/>
        <w:gridCol w:w="146"/>
        <w:gridCol w:w="146"/>
        <w:gridCol w:w="146"/>
        <w:gridCol w:w="146"/>
        <w:gridCol w:w="1066"/>
        <w:gridCol w:w="146"/>
        <w:gridCol w:w="146"/>
        <w:gridCol w:w="146"/>
        <w:gridCol w:w="146"/>
        <w:gridCol w:w="1066"/>
        <w:gridCol w:w="146"/>
        <w:gridCol w:w="146"/>
        <w:gridCol w:w="146"/>
        <w:gridCol w:w="146"/>
        <w:gridCol w:w="1066"/>
        <w:gridCol w:w="146"/>
        <w:gridCol w:w="146"/>
        <w:gridCol w:w="146"/>
        <w:gridCol w:w="146"/>
        <w:gridCol w:w="481"/>
        <w:gridCol w:w="146"/>
        <w:gridCol w:w="19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w:t>
            </w:r>
          </w:p>
        </w:tc>
      </w:tr>
      <w:tr>
        <w:trPr/>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Business Unit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FY 2026</w:t>
              <w:br/>
              <w:t>Target EVA</w:t>
              <w:br/>
              <w:t>Improvement</w:t>
              <w:br/>
              <w:t>(EI)</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FY 2026</w:t>
              <w:br/>
              <w:t>Incremental</w:t>
              <w:br/>
              <w:t>Improvement</w:t>
              <w:br/>
              <w:t>Interval (LI) for</w:t>
              <w:br/>
              <w:t>Performance at</w:t>
              <w:br/>
              <w:t>or Above Target</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FY 2025</w:t>
              <w:br/>
              <w:t>Incremental</w:t>
              <w:br/>
              <w:t>Improvement</w:t>
              <w:br/>
              <w:t>Interval (LI) for</w:t>
              <w:br/>
              <w:t>Performance</w:t>
              <w:br/>
              <w:t>Below Target</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FY 2026</w:t>
              <w:br/>
              <w:t>EVA Change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FY 2026</w:t>
              <w:br/>
              <w:t>Bonus</w:t>
              <w:br/>
              <w:t>Multiple</w:t>
            </w:r>
          </w:p>
        </w:tc>
      </w:tr>
      <w:tr>
        <w:trPr/>
        <w:tc>
          <w:tcPr>
            <w:tcW w:w="150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Corporate 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16,205,000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30,058,000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27,633,000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2,667,000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Journeys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11,696,000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17,451,000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14,365,000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23,223,000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Fiscal 2026, based on the goals to reduce volatility, shift leverage and minimize perceived complexity in the plan, each business unit’s target for EVA improvement (shown in column (a), above) was set by the compensation committee based on the long-term average EVA growth of the Company and its peers, which has been relatively flat, while maintaining a reasonable growth ambition and adjusted higher to require additional improvement. The incremental improvement interval (shown in column (b), above), is the amount of additional EVA improvement above the amount in column (a) that is required to earn a bonus of two times the participant’s target and the incremental improvement shown in column (c) is the amount of shortfall from the column (a) target that will result in a zero bonus. For Fiscal 2026, the compensation committee set the incremental improvement interval for performance at or above target based on market normative sharing ratios. The compensation committee set the incremental improvement interval for performance below target to ensure bonuses would only be paid based on market expectations. For Fiscal 2026, the compensation committee determined that no bonuses would be paid with respect to Journeys Group or Corporate at a level of performance that would equal a bonus multiple of less than 0.25x. The EVA improvement and incremental improvement percentage are expected to be revisited at least every three years. While the bonus bank features of the EVA Plan have been eliminated, performance above 300% or below 0% may be addressed by the compensation committee electing to reduce or increase all or a portion of the Expected Improvement and Leverage Interval targets in subsequent years to reward overachievement or hold management accountable for underachievement for prior year performance. Because the Journeys Group and Corporate business units’ performance fell below the 0x range for Fiscal 2024, the compensation committee determined to increase the base EI targets for Fiscal 2026 for these business units in a manner similar to Fiscal 2025.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 xml:space="preserve">(vi) Individual Strategic Objectives. </w:t>
      </w:r>
      <w:r>
        <w:rPr>
          <w:rFonts w:ascii="Arial" w:hAnsi="Arial"/>
          <w:color w:val="000000"/>
          <w:sz w:val="20"/>
        </w:rPr>
        <w:t>As noted above, the payment of 25% of each participant’s annual incentive award for EVA improvement is contingent on the participant’s achievement of individual strategic goals agreed upon in advance with the participant’s supervisor. Not achieving all individual strategic goals for a given fiscal year can reduce an EVA Plan award that is otherwise payable, but performance meeting or exceeding these strategic goals cannot serve to increase the amount of any such award. Individual strategic goals for the named executive officers typically involve initiatives that the executive officers consider important to the long-term prospects of the participants’ business units, but that may not be adequately rewarded by the portion of the bonus calculated on current financial performance. Examples could include retail divisions’ opening a targeted number of new retail stores on schedule, implementation of an operational improvement or cost reduction program, or a business unit’s launch of a new retail concept or product line. No individual strategic goal was material to any named executive officer’s compensation or to any component of it in Fiscal 2026. The participant’s supervisor, generally in consultation with the participant, determines whether and to what extent the participant’s individual strategic goals have been met. Certain strategic goals are quantitative, allowing an objective determination of the extent to which they are achieved, while others are more qualitative in nature, requiring a subjective determination of achievement. The EVA Plan permits full credit for strategic goals if they have been at least 95% achieved. In Fiscal 2026, Ms. Harris’s EVA Plan award was reduced by $8,606 as a result of not fully achieving all of her individual strategic goals for the year. None of the other named executive officers’ EVA Plan awards were reduced because of his or her degree of achievement of strategic goals for Fiscal 2026.</w:t>
      </w:r>
    </w:p>
    <w:p>
      <w:pPr>
        <w:pStyle w:val="TextBody"/>
        <w:bidi w:val="0"/>
        <w:spacing w:before="240" w:after="283"/>
        <w:jc w:val="left"/>
        <w:rPr>
          <w:rFonts w:ascii="Times New Roman" w:hAnsi="Times New Roman"/>
          <w:sz w:val="20"/>
        </w:rPr>
      </w:pPr>
      <w:r>
        <w:rPr>
          <w:rFonts w:ascii="Arial" w:hAnsi="Arial"/>
          <w:color w:val="000000"/>
          <w:sz w:val="20"/>
        </w:rPr>
        <w:t>No portion of the award for achievement of individual strategic goals is ordinarily to be paid unless some portion of the applicable award for operating results is earned, although the EVA Plan authorizes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compensation committee to consider exceptions for extraordinary strategic successes upon the recommendation of the chief executive officer. No exceptions of this nature have ever been made.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(vii) Fiscal 2027 Short-Term Incentive Plan.</w:t>
      </w:r>
      <w:r>
        <w:rPr>
          <w:rFonts w:ascii="Times New Roman" w:hAnsi="Times New Roman"/>
          <w:color w:val="000000"/>
          <w:sz w:val="20"/>
        </w:rPr>
        <w:t xml:space="preserve"> </w:t>
      </w:r>
      <w:r>
        <w:rPr>
          <w:rFonts w:ascii="Arial" w:hAnsi="Arial"/>
          <w:color w:val="000000"/>
          <w:sz w:val="20"/>
        </w:rPr>
        <w:t>Beginning with Fiscal 2027, the Company’s annual cash incentive program will be administered under the Genesco Inc. Short-Term Incentive Plan (the “STIP”), which replaces the EVA Plan. The compensation committee adopted the STIP to simplify the annual cash incentive program while continuing to support the Company’s pay-for-performance compensation philosophy by linking annual cash incentive opportunities to financial, operational, strategic and individual performance objectives established by the compensation committee. The STIP will remain in effect in accordance with its terms unless amended or terminated by the Board.</w:t>
      </w:r>
    </w:p>
    <w:p>
      <w:pPr>
        <w:pStyle w:val="TextBody"/>
        <w:bidi w:val="0"/>
        <w:spacing w:before="240" w:after="283"/>
        <w:jc w:val="left"/>
        <w:rPr>
          <w:rFonts w:ascii="Arial" w:hAnsi="Arial"/>
          <w:color w:val="000000"/>
          <w:sz w:val="20"/>
        </w:rPr>
      </w:pPr>
      <w:r>
        <w:rPr>
          <w:rFonts w:ascii="Arial" w:hAnsi="Arial"/>
          <w:color w:val="000000"/>
          <w:sz w:val="20"/>
        </w:rPr>
        <w:t>Under the STIP, eligible employees, including the named executive officers, may be selected annually to participate. The compensation committee establishes a target award opportunity for each participant, which may be expressed as a percentage of base salary or a fixed dollar amount. Performance criteria are determined in the sole discretion of the compensation committee. Unless the compensation committee approves an alternative formula, awards are determined based on a combination of business unit or corporate performance and individual strategic performance objectives, with the compensation committee retaining discretion to reduce, but not increase, any declared bonus. Awards under the STIP are payable in cash and are subject to continued employment, forfeiture and recoupment provisions, including any applicable clawback policy. For Fiscal 2027, participants will be eligible to receive a cash bonus under the STIP based, in part, on the Company's adjusted operating income for the fiscal year compared to an adjusted operating income target set by the compensation committee.</w:t>
      </w:r>
    </w:p>
    <w:p>
      <w:pPr>
        <w:pStyle w:val="TextBody"/>
        <w:bidi w:val="0"/>
        <w:spacing w:before="240" w:after="283"/>
        <w:jc w:val="left"/>
        <w:rPr>
          <w:rFonts w:ascii="Times New Roman" w:hAnsi="Times New Roman"/>
          <w:sz w:val="20"/>
        </w:rPr>
      </w:pPr>
      <w:r>
        <w:rPr>
          <w:rFonts w:ascii="Arial" w:hAnsi="Arial"/>
          <w:i/>
          <w:color w:val="000000"/>
          <w:sz w:val="20"/>
        </w:rPr>
        <w:t xml:space="preserve">(viii) Historical Bonus Bank. </w:t>
      </w:r>
      <w:r>
        <w:rPr>
          <w:rFonts w:ascii="Arial" w:hAnsi="Arial"/>
          <w:color w:val="000000"/>
          <w:sz w:val="20"/>
        </w:rPr>
        <w:t>The historical banking feature under the EVA Plan was eliminated beginning in Fiscal 2024. Beginning in Fiscal 2024, awards for EVA results are capped at three times target and “negative awards” for results less than target are no longer possible. For Fiscal 2026, fifty percent of a named executive officer’s award in excess of two times the target bonus was required to be withheld to “repay” any negative bonus bank amount existing at Fiscal 2024 year-end.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Consistent with the historical program design, any remaining negative balance from a single year will be canceled to the extent not repaid after three subsequent years, such that all negative balances will be eliminated by Fiscal 2026. Including Fiscal 2026 adjustments, the following remaining bonus bank balances for the named executive officers were canceled at the end of Fiscal 2026:</w:t>
      </w:r>
      <w:r>
        <w:rPr>
          <w:rFonts w:ascii="Times New Roman" w:hAnsi="Times New Roman"/>
          <w:color w:val="000000"/>
          <w:sz w:val="20"/>
        </w:rPr>
        <w:t xml:space="preserve"> </w:t>
      </w:r>
    </w:p>
    <w:tbl>
      <w:tblPr>
        <w:tblW w:w="3465" w:type="dxa"/>
        <w:jc w:val="left"/>
        <w:tblInd w:w="0" w:type="dxa"/>
        <w:tblLayout w:type="fixed"/>
        <w:tblCellMar>
          <w:top w:w="28" w:type="dxa"/>
          <w:left w:w="28" w:type="dxa"/>
          <w:bottom w:w="28" w:type="dxa"/>
          <w:right w:w="28" w:type="dxa"/>
        </w:tblCellMar>
      </w:tblPr>
      <w:tblGrid>
        <w:gridCol w:w="1876"/>
        <w:gridCol w:w="146"/>
        <w:gridCol w:w="211"/>
        <w:gridCol w:w="1021"/>
        <w:gridCol w:w="21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Mimi E. Vaughn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(6,743,097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Cassandra E.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Scott E. Becker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(1,475,621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Parag D. Desai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(1,729,343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Andrew I. Gray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Bonuses reported in column (g) of the Summary Compensation Table below are cash bonuses actually payable for the years indicated. For Fiscal 2026, the named executive officers earned a bonus payment under the EVA Plan as set forth in column (g) in the Summary Compensation Table.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C.</w:t>
      </w:r>
      <w:r>
        <w:rPr>
          <w:rFonts w:ascii="Times New Roman" w:hAnsi="Times New Roman"/>
          <w:color w:val="000000"/>
          <w:sz w:val="20"/>
          <w:u w:val="single"/>
        </w:rPr>
        <w:t xml:space="preserve"> </w:t>
      </w:r>
      <w:r>
        <w:rPr>
          <w:rFonts w:ascii="Arial" w:hAnsi="Arial"/>
          <w:i/>
          <w:color w:val="000000"/>
          <w:sz w:val="20"/>
          <w:u w:val="single"/>
        </w:rPr>
        <w:t>Stock-Based Compensation</w:t>
      </w:r>
      <w:r>
        <w:rPr>
          <w:rFonts w:ascii="Arial" w:hAnsi="Arial"/>
          <w:i/>
          <w:color w:val="000000"/>
          <w:sz w:val="20"/>
        </w:rPr>
        <w:t xml:space="preserve">. </w:t>
      </w:r>
      <w:r>
        <w:rPr>
          <w:rFonts w:ascii="Arial" w:hAnsi="Arial"/>
          <w:color w:val="000000"/>
          <w:sz w:val="20"/>
        </w:rPr>
        <w:t>The compensation committee included PSUs in the long-term incentive compensation program in Fiscal 2026, further linking the compensation of the Company’s named executive officers with Company performance. Each named executive officer’s long-term incentive compensation was awarded 50% in restricted stock and 50% in PSUs. Grants of restricted stock and PSUs to executive officers and other key employees of the Company are intended to provide them with an incentive to make decisions that are in the long-term best interests of the Company and to balance the shorter-term annual cash incentive component of executive compensation. Stock-based compensation is also intended to align the financial interests 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management with those of the Company’s shareholders. The value of a share of restricted stock is dependent upon the Company’s stock price performance. Grants of PSUs are designed to reward the Company’s executive officers for creating long-term shareholder value. If the performance thresholds are not met, the PSUs do not vest and the executive does not receive compensation. If the performance thresholds and the service conditions are met, PSUs vest and a vested PSU represents the full value of a share of the Company’s common stock. The value of restricted stock and PSUs can either increase or decrease based on the trading price of the Company’s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(i) Restricted Stock</w:t>
      </w:r>
      <w:r>
        <w:rPr>
          <w:rFonts w:ascii="Arial" w:hAnsi="Arial"/>
          <w:color w:val="000000"/>
          <w:sz w:val="20"/>
        </w:rPr>
        <w:t>. The grant date fair value of restricted shares granted in April 2025 for each named executive officer is as follows:</w:t>
      </w:r>
      <w:r>
        <w:rPr>
          <w:rFonts w:ascii="Times New Roman" w:hAnsi="Times New Roman"/>
          <w:color w:val="000000"/>
          <w:sz w:val="20"/>
        </w:rPr>
        <w:t xml:space="preserve"> </w:t>
      </w:r>
    </w:p>
    <w:tbl>
      <w:tblPr>
        <w:tblW w:w="3872" w:type="dxa"/>
        <w:jc w:val="left"/>
        <w:tblInd w:w="0" w:type="dxa"/>
        <w:tblLayout w:type="fixed"/>
        <w:tblCellMar>
          <w:top w:w="28" w:type="dxa"/>
          <w:left w:w="28" w:type="dxa"/>
          <w:bottom w:w="28" w:type="dxa"/>
          <w:right w:w="28" w:type="dxa"/>
        </w:tblCellMar>
      </w:tblPr>
      <w:tblGrid>
        <w:gridCol w:w="2071"/>
        <w:gridCol w:w="146"/>
        <w:gridCol w:w="146"/>
        <w:gridCol w:w="211"/>
        <w:gridCol w:w="961"/>
        <w:gridCol w:w="146"/>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Named Executive Officer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r>
      <w:tr>
        <w:trPr/>
        <w:tc>
          <w:tcPr>
            <w:tcW w:w="207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Mimi E. Vaughn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1,166,832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Cassandra E.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Scott E. Becker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154,692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Parag D. Desai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Andrew I. Gray</w:t>
            </w:r>
            <w:r>
              <w:rPr>
                <w:rFonts w:ascii="Arial" w:hAnsi="Arial"/>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8,982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 xml:space="preserve">In December 2024, Mr. Gray received a grant equal to three years of restricted stock grants based on his compensation at that time in an effort to further align his interests with those of the Company’s shareholders in recognition of the impact of the turnaround of the Journeys’ business on the Company and its share price. Mr. Gray received a grant in April 2025 to cover only the change in his salary. </w:t>
      </w:r>
    </w:p>
    <w:p>
      <w:pPr>
        <w:pStyle w:val="TextBody"/>
        <w:bidi w:val="0"/>
        <w:spacing w:before="240" w:after="283"/>
        <w:jc w:val="left"/>
        <w:rPr>
          <w:rFonts w:ascii="Times New Roman" w:hAnsi="Times New Roman"/>
          <w:sz w:val="20"/>
        </w:rPr>
      </w:pPr>
      <w:r>
        <w:rPr>
          <w:rFonts w:ascii="Arial" w:hAnsi="Arial"/>
          <w:color w:val="000000"/>
          <w:sz w:val="20"/>
        </w:rPr>
        <w:t>The restricted stock is subject to forfeiture upon termination of the participant’s employment prior to vesting, which, for the Company’s annual award grant in April 2025, occurs in three equal annual increments from the date of grant. Prior to Fiscal 2024, awards of restricted stock generally vested in four equal annual increments. The compensation committee determined to shorten the vesting period with respect to restricted stock to align with market practice.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(ii) PSUs</w:t>
      </w:r>
      <w:r>
        <w:rPr>
          <w:rFonts w:ascii="Arial" w:hAnsi="Arial"/>
          <w:color w:val="000000"/>
          <w:sz w:val="20"/>
        </w:rPr>
        <w:t>. The number of PSUs that vest, if any, is based upon the achievement of targeted performance metrics and can range from 50% of target (at threshold) to 200% of target (at maximum) (or 0%, if performance is below the threshold level). The performance metric for the PSUs granted in Fiscal 2026 is adjusted operating income by business unit over the three-year period ended January 29, 2028 compared to a target level of achievement set by the compensation committee. The target levels of achievement are based on the Company’s GAAP operating income as reported in the 2028 Annual Report, adjusted for the effects of foreign currency movement and other appropriate adjustments including for future acquisitions and divestitures, charges for restructurings, discontinued operations and extraordinary items, other significant unusual or non-recurring items and the effects of regulatory, accounting or tax changes. Earned PSUs will vest on February 1, 2028 subject to continued employment with the Company. Among the named executive officers receiving PSUs in Fiscal 2026, Ms. Vaughn, Ms. Harris, Mr. Desai and Mr. Becker were assigned 100% to the Corporate Total business unit; and Mr. Gray was assigned 100% to the Journeys Group business unit. The target level of achievement was set by the compensation committee after considering a number of factors including the Company’s business plan, general economic conditions, performance trends in the retail industry, growth rates of comparable retailers and investor expectations. The performance goals were designed to be challenging but achievable if the Company successfully executes on its business plan over the performance period.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grant date fair value of PSUs granted in July 2025 for each named executive officer is as follows: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3872" w:type="dxa"/>
        <w:jc w:val="left"/>
        <w:tblInd w:w="0" w:type="dxa"/>
        <w:tblLayout w:type="fixed"/>
        <w:tblCellMar>
          <w:top w:w="28" w:type="dxa"/>
          <w:left w:w="28" w:type="dxa"/>
          <w:bottom w:w="28" w:type="dxa"/>
          <w:right w:w="28" w:type="dxa"/>
        </w:tblCellMar>
      </w:tblPr>
      <w:tblGrid>
        <w:gridCol w:w="2071"/>
        <w:gridCol w:w="146"/>
        <w:gridCol w:w="146"/>
        <w:gridCol w:w="211"/>
        <w:gridCol w:w="961"/>
        <w:gridCol w:w="146"/>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Named Executive Officer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r>
      <w:tr>
        <w:trPr/>
        <w:tc>
          <w:tcPr>
            <w:tcW w:w="207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Mimi E. Vaughn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1,550,590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Cassandra E.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357,843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Scott E. Becker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205,568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Parag D. Desai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Andrew I. Gray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390,638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value of the PSU grants reflects the grant date fair value of the awards assuming target level of achievement, and actual achievement may be higher or lower than the target and the actual number of shares awarded may be more or less. Once the performance period ends, the compensation committee will determine whether the targets were met and, if so, the corresponding level of achievement. If the applicable performance targets are met by a business unit, the earned PSUs vest on February 1, 2028, subject to continued employment with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u w:val="single"/>
        </w:rPr>
        <w:t>Achievement for Fiscal 2024 PSU Grants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Each of our named executive officers, other than Ms. Harris and Mr. Gray, were granted PSUs for Fiscal 2024 that covered the three-year period of Fiscal 2024, Fiscal 2025 and Fiscal 2026. The performance metrics for the Fiscal 2024 PSUs were adjusted operating income by business unit over a three-year period ended January 31, 2026 as compared to the target level of achievement set by the compensation committee at the time of grant in 2023. The potential range of achievement and actual achievement for the PSUs granted in 2023 with respect to the cumulative results for Fiscal 2024, Fiscal 2025 and Fiscal 2026 are indicated in the following table: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882"/>
        <w:gridCol w:w="146"/>
        <w:gridCol w:w="219"/>
        <w:gridCol w:w="1186"/>
        <w:gridCol w:w="151"/>
        <w:gridCol w:w="151"/>
        <w:gridCol w:w="146"/>
        <w:gridCol w:w="225"/>
        <w:gridCol w:w="1220"/>
        <w:gridCol w:w="155"/>
        <w:gridCol w:w="155"/>
        <w:gridCol w:w="146"/>
        <w:gridCol w:w="225"/>
        <w:gridCol w:w="1220"/>
        <w:gridCol w:w="155"/>
        <w:gridCol w:w="155"/>
        <w:gridCol w:w="146"/>
        <w:gridCol w:w="211"/>
        <w:gridCol w:w="1036"/>
        <w:gridCol w:w="146"/>
        <w:gridCol w:w="146"/>
        <w:gridCol w:w="146"/>
        <w:gridCol w:w="146"/>
        <w:gridCol w:w="346"/>
        <w:gridCol w:w="146"/>
        <w:gridCol w:w="199"/>
      </w:tblGrid>
      <w:tr>
        <w:trPr/>
        <w:tc>
          <w:tcPr>
            <w:tcW w:w="1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2024 through Fiscal 2026 Potential Achievement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PSU Performance Metrics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Threshold</w:t>
              <w:br/>
              <w:t>(50% Achievement)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Target</w:t>
              <w:br/>
              <w:t>(100% Achievement)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Maximum</w:t>
              <w:br/>
              <w:t>(200% Achievement)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Actual</w:t>
              <w:br/>
              <w:t>Achievement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Payout</w:t>
              <w:br/>
              <w:t>Rate</w:t>
            </w:r>
          </w:p>
        </w:tc>
      </w:tr>
      <w:tr>
        <w:trPr/>
        <w:tc>
          <w:tcPr>
            <w:tcW w:w="188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xml:space="preserve">Adjusted Operating Income — </w:t>
              <w:br/>
              <w:t>   Corporate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267,435,000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20"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289,628,000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20"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338,489,000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57,093,000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(iii) Total Long-Term Equity Incentive Compensation</w:t>
      </w:r>
      <w:r>
        <w:rPr>
          <w:rFonts w:ascii="Arial" w:hAnsi="Arial"/>
          <w:color w:val="000000"/>
          <w:sz w:val="20"/>
        </w:rPr>
        <w:t>. Total long-term equity incentive compensation decreased by the following amounts for each of the named executive officers for Fiscal 2026. The decreases in total long-term equity incentive compensation are primarily related to variances in connection with the use of grant date fair value. Mr. Gray's Fiscal 2025 award included an award in December 2024 equal to three years of restricted stock grants valued at $2,055,577 in an effort to further align his interests with those of the Company’s shareholders in recognition of the impact of the turnaround of the Journeys’ business on the Company and its share price. Those restricted shares vest over a five-year period to align with the normal vesting period had Mr. Gray received awards over the three-year period. Ms. Harris was granted more shares in Fiscal 2026 compared to Fiscal 2025 since the Fiscal 2025 grant was an initial grant at date of hire.</w:t>
      </w:r>
      <w:r>
        <w:rPr>
          <w:rFonts w:ascii="Times New Roman" w:hAnsi="Times New Roman"/>
          <w:color w:val="000000"/>
          <w:sz w:val="20"/>
        </w:rPr>
        <w:t xml:space="preserve"> </w:t>
      </w:r>
    </w:p>
    <w:tbl>
      <w:tblPr>
        <w:tblW w:w="7958" w:type="dxa"/>
        <w:jc w:val="left"/>
        <w:tblInd w:w="0" w:type="dxa"/>
        <w:tblLayout w:type="fixed"/>
        <w:tblCellMar>
          <w:top w:w="28" w:type="dxa"/>
          <w:left w:w="28" w:type="dxa"/>
          <w:bottom w:w="28" w:type="dxa"/>
          <w:right w:w="28" w:type="dxa"/>
        </w:tblCellMar>
      </w:tblPr>
      <w:tblGrid>
        <w:gridCol w:w="2071"/>
        <w:gridCol w:w="146"/>
        <w:gridCol w:w="211"/>
        <w:gridCol w:w="961"/>
        <w:gridCol w:w="146"/>
        <w:gridCol w:w="146"/>
        <w:gridCol w:w="211"/>
        <w:gridCol w:w="961"/>
        <w:gridCol w:w="146"/>
        <w:gridCol w:w="146"/>
        <w:gridCol w:w="211"/>
        <w:gridCol w:w="1021"/>
        <w:gridCol w:w="166"/>
        <w:gridCol w:w="146"/>
        <w:gridCol w:w="146"/>
        <w:gridCol w:w="586"/>
        <w:gridCol w:w="346"/>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Named Executive Officer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br/>
              <w:t>Inc (Dec)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br/>
              <w:t>Inc (Dec) %</w:t>
            </w:r>
          </w:p>
        </w:tc>
      </w:tr>
      <w:tr>
        <w:trPr/>
        <w:tc>
          <w:tcPr>
            <w:tcW w:w="207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Mimi E. Vaughn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3,475,696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2,717,422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(758,274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Cassandra E.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627,123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Scott E. Becker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504,886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360,260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(144,625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Parag D. Desai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567,208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Andrew I. Gray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2,502,929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399,620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(2,103,309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i/>
          <w:color w:val="000000"/>
          <w:sz w:val="20"/>
        </w:rPr>
        <w:t>(iv) Timing of Awards and Policies and Practices Related to the Grant of Equity Awards</w:t>
      </w:r>
      <w:r>
        <w:rPr>
          <w:rFonts w:ascii="Arial" w:hAnsi="Arial"/>
          <w:color w:val="000000"/>
          <w:sz w:val="20"/>
        </w:rPr>
        <w:t>. While we do not have a formal written policy in place with respect to the timing of awards of restricted stock, PSUs, options or other equity awards, stock-based incentive awards in the form of restricted stock and PSUs are typically granted to executive officers and other key employees once annually on fixed dates determined in advance. On limited occasions, the compensation committee may grant equity awards outside of our annual grant cycle for new hires, promotions, recognition, retention or other purposes. The compensation committee does not award stock-based incentive grants in relation to the Company’s release of material information, and the compensation committee does not take material non-public information into account when determining the timing and terms of an award. The Company does not time the disclosure of material non-public information for the purpose of affecting the value of executive compensation. Historically, with limited exceptions, prior to Fiscal 2024 awards had been made in June. In Fiscal 2026, Fiscal 2025 and Fiscal 2024, in connection with the compensation committee setting performance targets for PSUs and to align with customary practice, awards were granted in July for Fiscal 2026 and April for Fiscal 2025 and Fiscal 2024. Awards are expected to continue to be made in the spring of each fiscal year except that awards of PSUs for Fiscal 2027 are expected to be made in July of 2026 following the shareholder vote on Proposal 3.</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(v) Ownership Guidelines</w:t>
      </w:r>
      <w:r>
        <w:rPr>
          <w:rFonts w:ascii="Arial" w:hAnsi="Arial"/>
          <w:color w:val="000000"/>
          <w:sz w:val="20"/>
        </w:rPr>
        <w:t>. The Company’s officers are subject to share ownership guidelines. See “Security Ownership of Officers, Directors and Principal Shareholders — Director and Executive Officer Ownership Guidelines.”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4.</w:t>
      </w:r>
      <w:r>
        <w:rPr>
          <w:rFonts w:ascii="Times New Roman" w:hAnsi="Times New Roman"/>
          <w:color w:val="000000"/>
          <w:sz w:val="20"/>
          <w:u w:val="single"/>
        </w:rPr>
        <w:t xml:space="preserve"> </w:t>
      </w:r>
      <w:r>
        <w:rPr>
          <w:rFonts w:ascii="Arial" w:hAnsi="Arial"/>
          <w:b/>
          <w:color w:val="000000"/>
          <w:sz w:val="20"/>
          <w:u w:val="single"/>
        </w:rPr>
        <w:t>Other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A.</w:t>
      </w:r>
      <w:r>
        <w:rPr>
          <w:rFonts w:ascii="Times New Roman" w:hAnsi="Times New Roman"/>
          <w:color w:val="000000"/>
          <w:sz w:val="20"/>
          <w:u w:val="single"/>
        </w:rPr>
        <w:t xml:space="preserve"> </w:t>
      </w:r>
      <w:r>
        <w:rPr>
          <w:rFonts w:ascii="Arial" w:hAnsi="Arial"/>
          <w:i/>
          <w:color w:val="000000"/>
          <w:sz w:val="20"/>
          <w:u w:val="single"/>
        </w:rPr>
        <w:t>Change of Control Arrangements, Severance Plans and Arrangements with Mr. Gray and Ms. Harris.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 xml:space="preserve">(i) Change of Control Arrangements and Severance Plan. </w:t>
      </w:r>
      <w:r>
        <w:rPr>
          <w:rFonts w:ascii="Arial" w:hAnsi="Arial"/>
          <w:color w:val="000000"/>
          <w:sz w:val="20"/>
        </w:rPr>
        <w:t>All the named executive officers are parties to employment protection agreements, which become effective only in the event of a change of control (as defined in the agreements). Each agreement provides for employment by the Company for a term of up to three years following a change of control. In the event that the executive’s employment is terminated under certain circumstances during the contractual employment period after a change of control, the executive is entitled to a lump sum payment and the continuation of certain benefits, as described below under the heading “Change of Control Arrangements and Severance Plans.” Additionally, awards made by the Company under the Third Amended and Restated 2009 Equity Incentive Plan and the Amended and Restated 2020 Equity Incentive Plan become immediately vested and exercisable upon a “change of control” unless the award is assumed by the acquirer or new rights meeting certain conditions are substituted therefor.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Company maintains a severance plan (the “Severance Plan”) for monthly-paid salaried employees to provide for certain benefits to covered employees (including the named executive officers) in the event of a Company-initiated separation from the Company other than for cause (as defined in the Severance Plan). Under the terms of the Severance Plan, an eligible employee is entitled to one week of base salary at the termination date multiplied by each year of service with the Company with a maximum of 24 weeks and a minimum of two weeks. The Severance Plan is discussed in further detail under the heading “Change of Control Arrangements and Severance Plans.”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Effective May 2, 2024, the Company maintains an executive severance plan (the “Executive Severance Plan”) for certain executive employees to provide for certain benefits in the event employment is terminated (i) by the Company for any reason other than for Cause (as defined in the Executive Severance Plan), and that is not the result of (x) a resignation of the executive without Good Reason, (y) death or disability, or (z) in connection with certain sale transactions whereby the participant is offered a Suitable Position (as defined in the Executive Severance Plan), or (ii) by the employee for Good Reason (as defined in Executive Severance Plan) (each such termination, a “Covered Termination”). Under the terms of the plan, upon a Covered Termination, such an employee is eligible to receive monthly cash severance payments in an aggregate amount equal to (i) twelve (12) months of such employee’s base salary or, in the case of an employee who is the chief executive officer of the Company, twenty-four (24) months of such employee’s base salary and (ii) twelve (12) months of COBRA Premiums (as defined in the Executive Severance Plan) or, in the case of an employee who is the chief executive officer of the Company, twenty-four (24) months of COBRA Premiums.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Company believes that reasonable severance and change of control benefits are necessary in order to recruit and retain effective senior managers. These severance benefits reflect the fact that it may be difficult for such executives to find comparable employment within a short period of time and are a product of a recruiting environment within our industry that has historically been competitive. The Company also believes that a change of control arrangement will provide an executive security that will likely reduce the reluctance of an executive to pursue a change of control transaction that could be in the best interests of shareholders.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 xml:space="preserve">(ii) Arrangements with Mr. Gray. </w:t>
      </w:r>
      <w:r>
        <w:rPr>
          <w:rFonts w:ascii="Arial" w:hAnsi="Arial"/>
          <w:color w:val="000000"/>
          <w:sz w:val="20"/>
        </w:rPr>
        <w:t>In connection with his appointment as President of Journeys in January 2024, Mr. Gray is entitled to receive an annual base salary of not less than $635,000.</w:t>
      </w:r>
      <w:r>
        <w:rPr>
          <w:rFonts w:ascii="Times New Roman" w:hAnsi="Times New Roman"/>
          <w:color w:val="000000"/>
          <w:sz w:val="20"/>
        </w:rPr>
        <w:t xml:space="preserve"> </w:t>
      </w:r>
      <w:r>
        <w:rPr>
          <w:rFonts w:ascii="Arial" w:hAnsi="Arial"/>
          <w:color w:val="000000"/>
          <w:sz w:val="20"/>
        </w:rPr>
        <w:t>Mr. Gray participated in the Company’s EVA Plan (as such plan may be amended from time to time) to receive a target incentive award for Fiscal 2025 equal to 75% of his base salary and was eligible to receive Company stock under the Company’s long-term incentive compensation program equal to 150% of his annual base salary (the “LTI Compensation Award”), comprised of a mix of time-based restricted stock awards (“RSAs”) and performance share units. Fifty percent of Mr. Gray’s total LTI Compensation Award for Fiscal 2025 was granted on January 12, 2024 in the form of RSAs that vest over an accelerated 2-year ratable vesting period. Mr. Gray was entitled to receive relocation assistance, including coverage of direct moving costs not to exceed $50,000, standard and customary buyer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closing costs or lease termination costs not to exceed $50,000, and a relocation bonus in the amount of $25,000. The Company’s relocation assistance was subject to a reimbursement requirement upon voluntary termination within two years from Mr. Gray’s date of employment. Mr. Gray was paid a $25,000 quarterly travel and lodging stipend through July 2025, not to exceed $175,000 in total.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(iii) Arrangements with Ms. Harris.</w:t>
      </w:r>
      <w:r>
        <w:rPr>
          <w:rFonts w:ascii="Times New Roman" w:hAnsi="Times New Roman"/>
          <w:color w:val="000000"/>
          <w:sz w:val="20"/>
        </w:rPr>
        <w:t xml:space="preserve"> </w:t>
      </w:r>
      <w:r>
        <w:rPr>
          <w:rFonts w:ascii="Arial" w:hAnsi="Arial"/>
          <w:color w:val="000000"/>
          <w:sz w:val="20"/>
        </w:rPr>
        <w:t>Ms. Harris resigned from the Company effective as of March 6, 2026. Following her resignation, Ms. Harris provided consulting services to the Company through March 25, 2026 pursuant to a consulting agreement. In connection with her appointment as senior vice president – finance and chief financial officer in October 2024, Ms. Harris received an annual base salary of $600,000. Ms. Harris participated in the Company’s EVA Plan (as such plan may be amended from time to time) and was eligible to receive annual incentive compensation under the EVA Plan. Subject to the approval of the compensation committee of the Company’s Board of Directors, for the fiscal year beginning February 2, 2025, Ms. Harris became eligible to receive Company stock under the Company’s long-term incentive compensation program equal to 150% of Ms. Harris’ annual base salary, comprised of a mix of 50% time-based RSAs and 50% performance share units. In October 2024, Ms. Harris was granted $300,000 in shares of restricted stock that vest in equal annual installments over a two-year ratable vesting period. In October 2025, one-half of these shares vested and the remaining one-half of the shares were forfeited as of March 6, 2026, effective with Ms. Harris’ resignation from the Company. Ms. Harris received relocation assistance, including coverage of direct moving costs not to exceed $25,000. Ms. Harris was paid a $25,000 quarterly travel and lodging stipend through October 2025.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B.</w:t>
      </w:r>
      <w:r>
        <w:rPr>
          <w:rFonts w:ascii="Times New Roman" w:hAnsi="Times New Roman"/>
          <w:color w:val="000000"/>
          <w:sz w:val="20"/>
          <w:u w:val="single"/>
        </w:rPr>
        <w:t xml:space="preserve"> </w:t>
      </w:r>
      <w:r>
        <w:rPr>
          <w:rFonts w:ascii="Arial" w:hAnsi="Arial"/>
          <w:i/>
          <w:color w:val="000000"/>
          <w:sz w:val="20"/>
          <w:u w:val="single"/>
        </w:rPr>
        <w:t>Defined Contribution and Deferred Income Plans</w:t>
      </w:r>
      <w:r>
        <w:rPr>
          <w:rFonts w:ascii="Arial" w:hAnsi="Arial"/>
          <w:i/>
          <w:color w:val="000000"/>
          <w:sz w:val="20"/>
        </w:rPr>
        <w:t>. (i) Defined Contribution Plan.</w:t>
      </w:r>
      <w:r>
        <w:rPr>
          <w:rFonts w:ascii="Times New Roman" w:hAnsi="Times New Roman"/>
          <w:color w:val="000000"/>
          <w:sz w:val="20"/>
        </w:rPr>
        <w:t xml:space="preserve"> </w:t>
      </w:r>
      <w:r>
        <w:rPr>
          <w:rFonts w:ascii="Arial" w:hAnsi="Arial"/>
          <w:color w:val="000000"/>
          <w:sz w:val="20"/>
        </w:rPr>
        <w:t>The Company also offers to all employees (including the named executive officers) a voluntary defined contribution plan (the “401(k) Plan”) designed to comply with Section 401(k) of the Internal Revenue Code of 1986, as amended (the “Code”). Participants in the 401(k) Plan (including all the named executive officers) may defer a percentage of their qualifying pre-tax compensation for each year. Beginning with calendar year 2006, the Company has made a matching contribution equal to 100% of deferrals up to 3% of compensation (limited to $250,000) plus 50% of the next 2% of compensation (similarly limited) deferred. Matching contribution amounts for each named executive officer for Fiscal 2026 are included in column (i) of the “Summary Compensation Table,” below. Deferrals and matching contributions to the defined contribution plan may be invested in any of a number of mutual fund investments and in a guaranteed income option. Participants may also self-direct their investments, subject to certain restrictions.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 xml:space="preserve">(ii) Deferred Income Plan. </w:t>
      </w:r>
      <w:r>
        <w:rPr>
          <w:rFonts w:ascii="Arial" w:hAnsi="Arial"/>
          <w:color w:val="000000"/>
          <w:sz w:val="20"/>
        </w:rPr>
        <w:t>The named executive officers, in addition to other eligible employees, may participate in the Genesco Inc. Amended and Restated Deferred Income Plan (the “Deferred Income Plan”). Under the Deferred Income Plan, the participant may elect to defer up to 15% of base salary and 100% of bonus payouts. Deferrals in the plan are not matched by the Company. The Deferred Income Plan is discussed in further detail under the heading “Nonqualified Deferred Compensation,” below.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 xml:space="preserve">(iii) STEP Up Plan. </w:t>
      </w:r>
      <w:r>
        <w:rPr>
          <w:rFonts w:ascii="Arial" w:hAnsi="Arial"/>
          <w:color w:val="000000"/>
          <w:sz w:val="20"/>
        </w:rPr>
        <w:t>Named executive officers who were participants in the Company’s Retirement Plan as of January 1, 2005 receive a “Step Up” contribution as part of their taxable compensation as highly-compensated employees. The Company pays 2.5% of annual earnings (up to the Social Security taxable wage base) plus 4% of earnings above the taxable wage base to employees who are eligible to receive the Step Up contribution. The contributions for the named executive officers for Fiscal 2026 are included in column (i) of the “Summary Compensation Table,” below.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C. </w:t>
      </w:r>
      <w:r>
        <w:rPr>
          <w:rFonts w:ascii="Arial" w:hAnsi="Arial"/>
          <w:i/>
          <w:color w:val="000000"/>
          <w:sz w:val="20"/>
          <w:u w:val="single"/>
        </w:rPr>
        <w:t>Perquisites</w:t>
      </w:r>
      <w:r>
        <w:rPr>
          <w:rFonts w:ascii="Arial" w:hAnsi="Arial"/>
          <w:i/>
          <w:color w:val="000000"/>
          <w:sz w:val="20"/>
        </w:rPr>
        <w:t xml:space="preserve">. </w:t>
      </w:r>
      <w:r>
        <w:rPr>
          <w:rFonts w:ascii="Arial" w:hAnsi="Arial"/>
          <w:color w:val="000000"/>
          <w:sz w:val="20"/>
        </w:rPr>
        <w:t>The Company provides named executive officers with perquisites and other personal benefits that the Company and the compensation committee believe are reasonable and consistent with its overall compensation program to better enable the Company to attract and retain superior employees for key positions. Employees at vice president level and above, including named executive officers, are entitled to an annual executive physical and a discount on merchandise sold by the Company equal to 40% off the suggested retail price. Additionally, named executive officers are provided with life insurance that has a death benefit equal to their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base salary up to $500,000. The named executive officers incur imputed income on the cost of the life insurance, which is subject to taxes paid by the named executive officers.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5.</w:t>
      </w:r>
      <w:r>
        <w:rPr>
          <w:rFonts w:ascii="Times New Roman" w:hAnsi="Times New Roman"/>
          <w:color w:val="000000"/>
          <w:sz w:val="20"/>
          <w:u w:val="single"/>
        </w:rPr>
        <w:t xml:space="preserve"> </w:t>
      </w:r>
      <w:r>
        <w:rPr>
          <w:rFonts w:ascii="Arial" w:hAnsi="Arial"/>
          <w:b/>
          <w:color w:val="000000"/>
          <w:sz w:val="20"/>
          <w:u w:val="single"/>
        </w:rPr>
        <w:t>Compensation Recoupment Policy</w:t>
      </w:r>
      <w:r>
        <w:rPr>
          <w:rFonts w:ascii="Arial" w:hAnsi="Arial"/>
          <w:color w:val="000000"/>
          <w:sz w:val="20"/>
        </w:rPr>
        <w:t>. On October 26, 2023, the Board adopted an Amended and Restated Compensation Recoupment Policy in accordance with the requirements of Rule 10D-1 of the Exchange Act and the corresponding NYSE listing standards. The Amended and Restated Compensation Recoupment Policy, which applies to current and former executive officers of the Company, provides that, in the event of a qualifying restatement of the Company’s financial statements that would result in less cash incentive compensation or equity-based incentive compensation being earned based on the restated financials than was previously paid for the affected financial period, the Company will reasonably promptly recoup the previously paid or vested but unearned portion of such compensation from each applicable executive officer. Recoupment under the Amended and Restated Compensation Recoupment Policy is mandatory, except in very limited circumstances of impracticability, and recoupment does not require a finding of misconduct or that the executive officer was responsible for the accounting error leading to the triggering restatement. The effective date of the Amended and Restated Compensation Recoupment Policy is October 2, 2023.</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 xml:space="preserve">6. </w:t>
      </w:r>
      <w:r>
        <w:rPr>
          <w:rFonts w:ascii="Arial" w:hAnsi="Arial"/>
          <w:b/>
          <w:color w:val="000000"/>
          <w:sz w:val="20"/>
          <w:u w:val="single"/>
        </w:rPr>
        <w:t>Anti-Hedging Policy</w:t>
      </w:r>
      <w:r>
        <w:rPr>
          <w:rFonts w:ascii="Arial" w:hAnsi="Arial"/>
          <w:color w:val="000000"/>
          <w:sz w:val="20"/>
        </w:rPr>
        <w:t>. Pursuant to the Company’s Anti-Hedging Policy for Directors and Officers, the Company has a policy prohibiting a director or officer from, directly or indirectly, engaging in any hedging transaction that reduces or limits the director’s or officer’s economic risk with respect to his or her ownership interests in the Company. For additional information, see “</w:t>
      </w:r>
      <w:r>
        <w:rPr>
          <w:rFonts w:ascii="Arial" w:hAnsi="Arial"/>
          <w:i/>
          <w:color w:val="000000"/>
          <w:sz w:val="20"/>
        </w:rPr>
        <w:t>Security Ownership of Officers, Directors and Principal Shareholders—Anti-Hedging Policy for Directors and Officers</w:t>
      </w:r>
      <w:r>
        <w:rPr>
          <w:rFonts w:ascii="Arial" w:hAnsi="Arial"/>
          <w:color w:val="000000"/>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 xml:space="preserve">7. </w:t>
      </w:r>
      <w:r>
        <w:rPr>
          <w:rFonts w:ascii="Arial" w:hAnsi="Arial"/>
          <w:b/>
          <w:color w:val="000000"/>
          <w:sz w:val="20"/>
          <w:u w:val="single"/>
        </w:rPr>
        <w:t>Insider Trading Policy</w:t>
      </w:r>
      <w:r>
        <w:rPr>
          <w:rFonts w:ascii="Arial" w:hAnsi="Arial"/>
          <w:b/>
          <w:color w:val="000000"/>
          <w:sz w:val="20"/>
        </w:rPr>
        <w:t xml:space="preserve">. </w:t>
      </w:r>
      <w:r>
        <w:rPr>
          <w:rFonts w:ascii="Arial" w:hAnsi="Arial"/>
          <w:color w:val="000000"/>
          <w:sz w:val="20"/>
        </w:rPr>
        <w:t>The Company has insider trading policies and procedures that govern the purchase, sale and other dispositions of its securities by directors, officers, employees and the Company. For additional information, see “</w:t>
      </w:r>
      <w:r>
        <w:rPr>
          <w:rFonts w:ascii="Arial" w:hAnsi="Arial"/>
          <w:i/>
          <w:color w:val="000000"/>
          <w:sz w:val="20"/>
        </w:rPr>
        <w:t>Security Ownership of Officers, Directors and Principal Shareholders—Insider Trading Policy."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 xml:space="preserve">8. </w:t>
      </w:r>
      <w:r>
        <w:rPr>
          <w:rFonts w:ascii="Arial" w:hAnsi="Arial"/>
          <w:b/>
          <w:color w:val="000000"/>
          <w:sz w:val="20"/>
          <w:u w:val="single"/>
        </w:rPr>
        <w:t>Tax Considerations</w:t>
      </w:r>
      <w:r>
        <w:rPr>
          <w:rFonts w:ascii="Arial" w:hAnsi="Arial"/>
          <w:b/>
          <w:color w:val="000000"/>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u w:val="single"/>
        </w:rPr>
        <w:t>Tax Deductibility of Compensation</w:t>
      </w:r>
      <w:r>
        <w:rPr>
          <w:rFonts w:ascii="Arial" w:hAnsi="Arial"/>
          <w:i/>
          <w:color w:val="000000"/>
          <w:sz w:val="20"/>
        </w:rPr>
        <w:t xml:space="preserve">. </w:t>
      </w:r>
      <w:r>
        <w:rPr>
          <w:rFonts w:ascii="Arial" w:hAnsi="Arial"/>
          <w:color w:val="000000"/>
          <w:sz w:val="20"/>
        </w:rPr>
        <w:t>The compensation committee reviews and considers the deductibility of executive compensation for U.S. federal income tax purposes. In particular, Section 162(m) of the Code, provides that a publicly-held corporation may not deduct compensation in excess of $1,000,000 that is paid to any one of certain of its highly-compensated officers with respect to any particular year. The compensation committee believes it is in the best interests of the Company to follow the approach to executive compensation described in this proxy statement under the heading “Executive Compensation — Compensation Discussion and Analysis,” regardless of the U.S. federal income tax deductibility of the compensation. The compensation committee has determined that the Company will not necessarily seek to limit executive compensation to amounts deductible under the Code if it believes such limitations are not in the best interest of the Company’s shareholders. While considering the tax implications of its compensation decisions, the compensation committee believes its primary focus should be to attract, retain, and motivate executives, and align the executives’ interest with those of the Company’s shareholders.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2" w:name="compensation_committee_report"/>
      <w:bookmarkEnd w:id="32"/>
      <w:r>
        <w:rPr>
          <w:rFonts w:ascii="Arial" w:hAnsi="Arial"/>
          <w:b/>
          <w:color w:val="000000"/>
          <w:sz w:val="20"/>
        </w:rPr>
        <w:t>COMPENSATION COMMITTEE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Ms. Barsh and Messrs. Lambros and Sandfort served as members of the compensation committee during Fiscal 2026. The compensation committee of the Company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r>
        <w:rPr>
          <w:rFonts w:ascii="Times New Roman" w:hAnsi="Times New Roman"/>
          <w:color w:val="000000"/>
          <w:sz w:val="20"/>
        </w:rPr>
        <w:t xml:space="preserve"> </w:t>
      </w:r>
    </w:p>
    <w:p>
      <w:pPr>
        <w:pStyle w:val="TextBody"/>
        <w:bidi w:val="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283"/>
              <w:jc w:val="left"/>
              <w:rPr>
                <w:sz w:val="4"/>
                <w:szCs w:val="4"/>
              </w:rPr>
            </w:pPr>
            <w:r>
              <w:rPr>
                <w:sz w:val="4"/>
                <w:szCs w:val="4"/>
              </w:rPr>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 the Compensation Committee:</w:t>
            </w:r>
          </w:p>
        </w:tc>
      </w:tr>
      <w:tr>
        <w:trPr/>
        <w:tc>
          <w:tcPr>
            <w:tcW w:w="31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John F. Lambros, Chairperson</w:t>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Joanna Barsh</w:t>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Gregory A. Sandfort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foregoing report of the compensation committee shall not be deemed incorporated by reference by any general statement incorporating by reference this proxy statement into any filing under the Securities Act of 1933, as amended (the “Securities Act”), or the Exchange Act, except to the extent that the Company specifically incorporates this information by reference, and shall not otherwise be deemed filed under such acts.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3" w:name="compensation_committee_interlocks_and_in"/>
      <w:bookmarkEnd w:id="33"/>
      <w:r>
        <w:rPr>
          <w:rFonts w:ascii="Arial" w:hAnsi="Arial"/>
          <w:b/>
          <w:color w:val="000000"/>
          <w:sz w:val="20"/>
        </w:rPr>
        <w:t>Compensation Committee Interlocks and Insider Participation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During Fiscal 2026, no member of the compensation committee had at any time been an officer or employee of the Company or any of its subsidiaries. In addition, there are no relationships among the Company’s executive officers, members of the compensation committee or entities whose executives serve on the Board or the compensation committee that require disclosure under applicable SEC regulations.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4" w:name="summary_compensation_table"/>
      <w:bookmarkEnd w:id="34"/>
      <w:r>
        <w:rPr>
          <w:rFonts w:ascii="Arial" w:hAnsi="Arial"/>
          <w:b/>
          <w:color w:val="000000"/>
          <w:sz w:val="20"/>
        </w:rPr>
        <w:t>SUMMARY COMPENSATION TABLE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table below summarizes the total compensation earned by each of the named executive officers for Fiscal 2026, Fiscal 2025 and Fiscal 2024.</w:t>
      </w:r>
      <w:r>
        <w:rPr>
          <w:rFonts w:ascii="Times New Roman" w:hAnsi="Times New Roman"/>
          <w:color w:val="000000"/>
          <w:sz w:val="20"/>
        </w:rPr>
        <w:t xml:space="preserve"> </w:t>
      </w:r>
    </w:p>
    <w:p>
      <w:pPr>
        <w:pStyle w:val="TextBody"/>
        <w:bidi w:val="0"/>
        <w:jc w:val="left"/>
        <w:rPr/>
      </w:pPr>
      <w:r>
        <w:rPr/>
        <w:t> </w:t>
      </w:r>
    </w:p>
    <w:tbl>
      <w:tblPr>
        <w:tblW w:w="11359" w:type="dxa"/>
        <w:jc w:val="left"/>
        <w:tblInd w:w="0" w:type="dxa"/>
        <w:tblLayout w:type="fixed"/>
        <w:tblCellMar>
          <w:top w:w="28" w:type="dxa"/>
          <w:left w:w="28" w:type="dxa"/>
          <w:bottom w:w="28" w:type="dxa"/>
          <w:right w:w="28" w:type="dxa"/>
        </w:tblCellMar>
      </w:tblPr>
      <w:tblGrid>
        <w:gridCol w:w="1391"/>
        <w:gridCol w:w="146"/>
        <w:gridCol w:w="421"/>
        <w:gridCol w:w="146"/>
        <w:gridCol w:w="146"/>
        <w:gridCol w:w="721"/>
        <w:gridCol w:w="146"/>
        <w:gridCol w:w="146"/>
        <w:gridCol w:w="146"/>
        <w:gridCol w:w="146"/>
        <w:gridCol w:w="346"/>
        <w:gridCol w:w="146"/>
        <w:gridCol w:w="146"/>
        <w:gridCol w:w="146"/>
        <w:gridCol w:w="146"/>
        <w:gridCol w:w="721"/>
        <w:gridCol w:w="146"/>
        <w:gridCol w:w="146"/>
        <w:gridCol w:w="146"/>
        <w:gridCol w:w="346"/>
        <w:gridCol w:w="146"/>
        <w:gridCol w:w="146"/>
        <w:gridCol w:w="146"/>
        <w:gridCol w:w="146"/>
        <w:gridCol w:w="721"/>
        <w:gridCol w:w="146"/>
        <w:gridCol w:w="146"/>
        <w:gridCol w:w="146"/>
        <w:gridCol w:w="173"/>
        <w:gridCol w:w="410"/>
        <w:gridCol w:w="173"/>
        <w:gridCol w:w="175"/>
        <w:gridCol w:w="146"/>
        <w:gridCol w:w="146"/>
        <w:gridCol w:w="601"/>
        <w:gridCol w:w="146"/>
        <w:gridCol w:w="146"/>
        <w:gridCol w:w="146"/>
        <w:gridCol w:w="146"/>
        <w:gridCol w:w="721"/>
        <w:gridCol w:w="146"/>
        <w:gridCol w:w="351"/>
      </w:tblGrid>
      <w:tr>
        <w:trPr/>
        <w:tc>
          <w:tcPr>
            <w:tcW w:w="1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Fiscal</w:t>
              <w:br/>
              <w:t>Year</w:t>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Salary</w:t>
              <w:br/>
              <w:t>($)</w:t>
              <w:br/>
              <w:t>(c)(1)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Bonus</w:t>
              <w:br/>
              <w:t>($)</w:t>
              <w:br/>
              <w:t>(d)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Stock</w:t>
              <w:br/>
              <w:t>Awards</w:t>
              <w:br/>
              <w:t>($)</w:t>
              <w:br/>
              <w:t>(e)(2)(3)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Option</w:t>
              <w:br/>
              <w:t>Awards</w:t>
              <w:br/>
              <w:t>($)</w:t>
              <w:br/>
              <w:t>(f)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Non-Equity</w:t>
              <w:br/>
              <w:t>Incentive Plan</w:t>
              <w:br/>
              <w:t>Compensation</w:t>
              <w:br/>
              <w:t>($)</w:t>
              <w:br/>
              <w:t>(g)(4)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Change in</w:t>
              <w:br/>
              <w:t>Pension</w:t>
              <w:br/>
              <w:t>Value and</w:t>
              <w:br/>
              <w:t>Nonqualified</w:t>
              <w:br/>
              <w:t>Deferred</w:t>
              <w:br/>
              <w:t>Compensation</w:t>
              <w:br/>
              <w:t>Earnings</w:t>
              <w:br/>
              <w:t>($)</w:t>
              <w:br/>
              <w: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All Other</w:t>
              <w:br/>
              <w:t>Compensation</w:t>
              <w:br/>
              <w:t>($)</w:t>
              <w:br/>
              <w:t>(i)(5)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br/>
              <w:t>($)</w:t>
              <w:br/>
              <w:t>(j)</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Mimi E. Vaughn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2,717,422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653,310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48,291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4,444,023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Arial" w:hAnsi="Arial"/>
                <w:color w:val="000000"/>
                <w:sz w:val="14"/>
              </w:rPr>
            </w:pPr>
            <w:r>
              <w:rPr>
                <w:rFonts w:ascii="Arial" w:hAnsi="Arial"/>
                <w:color w:val="000000"/>
                <w:sz w:val="14"/>
              </w:rPr>
              <w:t>Chair of the Board, President,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3,475,696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640,500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44,241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5,185,437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Arial" w:hAnsi="Arial"/>
                <w:color w:val="000000"/>
                <w:sz w:val="14"/>
              </w:rPr>
            </w:pPr>
            <w:r>
              <w:rPr>
                <w:rFonts w:ascii="Arial" w:hAnsi="Arial"/>
                <w:color w:val="000000"/>
                <w:sz w:val="14"/>
              </w:rPr>
              <w:t>Chief Executive Officer and Interim Chief Financial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3,183,204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41,831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4,250,035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Cassandra E.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627,123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220,894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126,743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1,574,760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rial" w:hAnsi="Arial"/>
                <w:color w:val="000000"/>
                <w:sz w:val="14"/>
              </w:rPr>
            </w:pPr>
            <w:r>
              <w:rPr>
                <w:rFonts w:ascii="Arial" w:hAnsi="Arial"/>
                <w:color w:val="000000"/>
                <w:sz w:val="14"/>
              </w:rPr>
              <w:t>Former Senior Vice President-Finance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284,514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595,990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rial" w:hAnsi="Arial"/>
                <w:color w:val="000000"/>
                <w:sz w:val="14"/>
              </w:rPr>
            </w:pPr>
            <w:r>
              <w:rPr>
                <w:rFonts w:ascii="Arial" w:hAnsi="Arial"/>
                <w:color w:val="000000"/>
                <w:sz w:val="14"/>
              </w:rPr>
              <w:t>and 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Scott E. Becker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360,260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167,790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1,023,734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Arial" w:hAnsi="Arial"/>
                <w:color w:val="000000"/>
                <w:sz w:val="14"/>
              </w:rPr>
            </w:pPr>
            <w:r>
              <w:rPr>
                <w:rFonts w:ascii="Arial" w:hAnsi="Arial"/>
                <w:color w:val="000000"/>
                <w:sz w:val="14"/>
              </w:rPr>
              <w:t>Senior Vice President, General Counsel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504,886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146,250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1,129,241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Arial" w:hAnsi="Arial"/>
                <w:color w:val="000000"/>
                <w:sz w:val="14"/>
              </w:rPr>
            </w:pPr>
            <w:r>
              <w:rPr>
                <w:rFonts w:ascii="Arial" w:hAnsi="Arial"/>
                <w:color w:val="000000"/>
                <w:sz w:val="14"/>
              </w:rPr>
              <w:t>and Corporate Secretary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445,300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918,422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Parag D. Desai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404,486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172,125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1,049,155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rial" w:hAnsi="Arial"/>
                <w:color w:val="000000"/>
                <w:sz w:val="14"/>
              </w:rPr>
            </w:pPr>
            <w:r>
              <w:rPr>
                <w:rFonts w:ascii="Arial" w:hAnsi="Arial"/>
                <w:color w:val="000000"/>
                <w:sz w:val="14"/>
              </w:rPr>
              <w:t>Senior Vice President, Chief Strategy 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417,000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567,208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156,375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1,159,060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rial" w:hAnsi="Arial"/>
                <w:color w:val="000000"/>
                <w:sz w:val="14"/>
              </w:rPr>
            </w:pPr>
            <w:r>
              <w:rPr>
                <w:rFonts w:ascii="Arial" w:hAnsi="Arial"/>
                <w:color w:val="000000"/>
                <w:sz w:val="14"/>
              </w:rPr>
              <w:t>Digital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417,000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502,246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936,335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Andrew I. Gray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399,620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1,208,203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241,966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2,524,789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Arial" w:hAnsi="Arial"/>
                <w:color w:val="000000"/>
                <w:sz w:val="14"/>
              </w:rPr>
            </w:pPr>
            <w:r>
              <w:rPr>
                <w:rFonts w:ascii="Arial" w:hAnsi="Arial"/>
                <w:color w:val="000000"/>
                <w:sz w:val="14"/>
              </w:rPr>
              <w:t>Senior Vice President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2,502,929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655,760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129,845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3,923,534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Arial" w:hAnsi="Arial"/>
                <w:color w:val="000000"/>
                <w:sz w:val="14"/>
              </w:rPr>
            </w:pPr>
            <w:r>
              <w:rPr>
                <w:rFonts w:ascii="Arial" w:hAnsi="Arial"/>
                <w:color w:val="000000"/>
                <w:sz w:val="14"/>
              </w:rPr>
              <w:t>and Chief Executive Officer Journeys Global Retail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 xml:space="preserve">The amounts in column (c) include salary voluntarily deferred in the Defined Contribution Plan and the Deferred Income Plan described under the heading “Other Compensation — Defined Contribution and Deferred Income Plans” in the “Compensation Discussion and Analysis” section, above, in the following amounts: </w:t>
      </w:r>
    </w:p>
    <w:p>
      <w:pPr>
        <w:pStyle w:val="TextBody"/>
        <w:bidi w:val="0"/>
        <w:jc w:val="left"/>
        <w:rPr/>
      </w:pPr>
      <w:r>
        <w:rPr/>
        <w:t> </w:t>
      </w:r>
    </w:p>
    <w:tbl>
      <w:tblPr>
        <w:tblW w:w="5746" w:type="dxa"/>
        <w:jc w:val="left"/>
        <w:tblInd w:w="0" w:type="dxa"/>
        <w:tblLayout w:type="fixed"/>
        <w:tblCellMar>
          <w:top w:w="28" w:type="dxa"/>
          <w:left w:w="28" w:type="dxa"/>
          <w:bottom w:w="28" w:type="dxa"/>
          <w:right w:w="28" w:type="dxa"/>
        </w:tblCellMar>
      </w:tblPr>
      <w:tblGrid>
        <w:gridCol w:w="1876"/>
        <w:gridCol w:w="146"/>
        <w:gridCol w:w="146"/>
        <w:gridCol w:w="691"/>
        <w:gridCol w:w="146"/>
        <w:gridCol w:w="146"/>
        <w:gridCol w:w="146"/>
        <w:gridCol w:w="146"/>
        <w:gridCol w:w="691"/>
        <w:gridCol w:w="146"/>
        <w:gridCol w:w="146"/>
        <w:gridCol w:w="146"/>
        <w:gridCol w:w="146"/>
        <w:gridCol w:w="691"/>
        <w:gridCol w:w="146"/>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 Deferred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Mimi E. Vaughn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29,407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Cassandra E.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Scott E. Becker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31,508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31,155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Parag D. Desai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Andrew I. Gray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28,292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The amounts in column (e) represent the aggregate grant date fair value of restricted stock and PSU awards, calculated in accordance with ASC Topic 718 “Compensation — Stock Compensation” (“ASC 718”). For a description of the assumptions used by the Company in valuing those awards in Fiscal 2026, please see Note 14 to the Company’s Consolidated Financial Statements included in the Company’s Annual Report on Form 10-K for the fiscal year ended January 31, 2026, filed with the SEC on March 25, 2026. PSUs granted to the Company’s executives in Fiscal 2026 will be earned based on a three-year performance period, and vest on February 1, 2028, subject to continued employment. As further discussed in “Compensation Discussion and Analysis – Stock-Based Compensation – PSUs,” the performance metrics </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pPr>
      <w:r>
        <w:rPr>
          <w:rFonts w:ascii="Arial" w:hAnsi="Arial"/>
          <w:color w:val="000000"/>
          <w:sz w:val="20"/>
        </w:rPr>
        <w:t>for the PSUs are adjusted operating income by business unit through Fiscal 2028 (i.e., a three-year performance period).</w:t>
      </w:r>
      <w:r>
        <w:rPr>
          <w:color w:val="000000"/>
        </w:rPr>
        <w:t xml:space="preserve"> </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 xml:space="preserve">The stock awards for all years presented includes the value of restricted stock and PSUs as of the grant date. The award value included in the table above for PSUs in Fiscal 2026 is based on the grant date fair value of the awards assuming target level achievement, which we have determined in accordance with share-based compensation accounting rules, to be the probable level of achievement of the performance metrics underlying those awards as of the grant date. The table below shows the grant date fair value of PSUs granted to each named executive officer during Fiscal 2026, assuming that: (i) the Company’s performance with respect to those performance metrics will be at target levels (i.e., probable performance) and (ii) the Company’s performance with respect to those performance metrics will be at levels that result in maximum payout. </w:t>
      </w:r>
    </w:p>
    <w:p>
      <w:pPr>
        <w:pStyle w:val="TextBody"/>
        <w:bidi w:val="0"/>
        <w:jc w:val="left"/>
        <w:rPr/>
      </w:pPr>
      <w:r>
        <w:rPr/>
        <w:t> </w:t>
      </w:r>
    </w:p>
    <w:tbl>
      <w:tblPr>
        <w:tblW w:w="5828" w:type="dxa"/>
        <w:jc w:val="left"/>
        <w:tblInd w:w="0" w:type="dxa"/>
        <w:tblLayout w:type="fixed"/>
        <w:tblCellMar>
          <w:top w:w="28" w:type="dxa"/>
          <w:left w:w="28" w:type="dxa"/>
          <w:bottom w:w="28" w:type="dxa"/>
          <w:right w:w="28" w:type="dxa"/>
        </w:tblCellMar>
      </w:tblPr>
      <w:tblGrid>
        <w:gridCol w:w="1876"/>
        <w:gridCol w:w="146"/>
        <w:gridCol w:w="661"/>
        <w:gridCol w:w="146"/>
        <w:gridCol w:w="146"/>
        <w:gridCol w:w="961"/>
        <w:gridCol w:w="146"/>
        <w:gridCol w:w="146"/>
        <w:gridCol w:w="146"/>
        <w:gridCol w:w="147"/>
        <w:gridCol w:w="968"/>
        <w:gridCol w:w="147"/>
        <w:gridCol w:w="192"/>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w:t>
              <w:br/>
              <w:t>Year of</w:t>
              <w:br/>
              <w:t>Grant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Grant Date Fair</w:t>
              <w:br/>
              <w:t>Value (Probable</w:t>
              <w:br/>
              <w:t>Performance)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Grant Date Fair</w:t>
              <w:br/>
              <w:t>Value (Maximum</w:t>
              <w:br/>
              <w:t>Performance)</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Mimi E. Vaughn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1,550,590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3,101,180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Cassandra E.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357,843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715,686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Scott E. Becker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205,568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411,137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Parag D. Desai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461,608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Andrew I. Gray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390,638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781,275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(4)</w:t>
      </w:r>
    </w:p>
    <w:p>
      <w:pPr>
        <w:pStyle w:val="TextBody"/>
        <w:bidi w:val="0"/>
        <w:jc w:val="left"/>
        <w:rPr>
          <w:rFonts w:ascii="Arial" w:hAnsi="Arial"/>
          <w:color w:val="000000"/>
          <w:sz w:val="20"/>
        </w:rPr>
      </w:pPr>
      <w:r>
        <w:rPr>
          <w:rFonts w:ascii="Arial" w:hAnsi="Arial"/>
          <w:color w:val="000000"/>
          <w:sz w:val="20"/>
        </w:rPr>
        <w:t xml:space="preserve">The amounts in column (g) are cash awards under the Company’s EVA Plan, discussed in greater detail under the headings “Elements of Direct Compensation — Annual Incentive Compensation” in the “Compensation Discussion and Analysis” section, above. They include amounts voluntarily deferred by the named executive officers in the Company’s 401(k) Plan and Deferred Income Plan, discussed under the heading “Other Compensation — Defined Contribution and Deferred Income Plans” in the “Compensation Discussion and Analysis” section, above. Of the amounts reported in column (g), the named executive officers elected to defer the following amounts in the 401(k) Plan and/or the Deferred Income Plan: </w:t>
      </w:r>
    </w:p>
    <w:p>
      <w:pPr>
        <w:pStyle w:val="TextBody"/>
        <w:bidi w:val="0"/>
        <w:jc w:val="left"/>
        <w:rPr/>
      </w:pPr>
      <w:r>
        <w:rPr/>
        <w:t> </w:t>
      </w:r>
    </w:p>
    <w:tbl>
      <w:tblPr>
        <w:tblW w:w="5279" w:type="dxa"/>
        <w:jc w:val="left"/>
        <w:tblInd w:w="0" w:type="dxa"/>
        <w:tblLayout w:type="fixed"/>
        <w:tblCellMar>
          <w:top w:w="28" w:type="dxa"/>
          <w:left w:w="28" w:type="dxa"/>
          <w:bottom w:w="28" w:type="dxa"/>
          <w:right w:w="28" w:type="dxa"/>
        </w:tblCellMar>
      </w:tblPr>
      <w:tblGrid>
        <w:gridCol w:w="1876"/>
        <w:gridCol w:w="146"/>
        <w:gridCol w:w="181"/>
        <w:gridCol w:w="430"/>
        <w:gridCol w:w="181"/>
        <w:gridCol w:w="181"/>
        <w:gridCol w:w="146"/>
        <w:gridCol w:w="181"/>
        <w:gridCol w:w="430"/>
        <w:gridCol w:w="181"/>
        <w:gridCol w:w="181"/>
        <w:gridCol w:w="146"/>
        <w:gridCol w:w="179"/>
        <w:gridCol w:w="426"/>
        <w:gridCol w:w="179"/>
        <w:gridCol w:w="235"/>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5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 Deferred ($)</w:t>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Mimi E. Vaughn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Cassandra E.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Scott E. Becker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Parag D. Desai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Andrew I. Gray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05"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Bonuses reported in column (g) of the Summary Compensation Table are bonuses actually payable for the years indicated, reflecting, where applicable, reductions of amounts otherwise payable by the recapture of previously accrued negative balances pursuant to the prior “banking” feature of the EVA Plan and positive bank balances held back in prior years that became payable for the year indicated because of performance in that year. No named executive officer had a positive “bank” balance at the end of Fiscal 2026 and all negative bonus banks were cancelled at the end of Fiscal 2026. See “Annual Incentive Compensation — Historical Bonus Bank” in the “Compensation Discussion and Analysis” section, above.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(5)</w:t>
      </w:r>
    </w:p>
    <w:p>
      <w:pPr>
        <w:pStyle w:val="TextBody"/>
        <w:bidi w:val="0"/>
        <w:spacing w:before="240" w:after="283"/>
        <w:jc w:val="left"/>
        <w:rPr>
          <w:rFonts w:ascii="Arial" w:hAnsi="Arial"/>
          <w:color w:val="000000"/>
          <w:sz w:val="20"/>
        </w:rPr>
      </w:pPr>
      <w:r>
        <w:rPr>
          <w:rFonts w:ascii="Arial" w:hAnsi="Arial"/>
          <w:color w:val="000000"/>
          <w:sz w:val="20"/>
        </w:rPr>
        <w:t xml:space="preserve">The amounts in column (i) for Fiscal 2026 include the following amounts: </w:t>
      </w:r>
    </w:p>
    <w:p>
      <w:pPr>
        <w:pStyle w:val="TextBody"/>
        <w:bidi w:val="0"/>
        <w:jc w:val="left"/>
        <w:rPr/>
      </w:pPr>
      <w:r>
        <w:rPr/>
        <w:t> </w:t>
      </w:r>
    </w:p>
    <w:tbl>
      <w:tblPr>
        <w:tblW w:w="8209" w:type="dxa"/>
        <w:jc w:val="left"/>
        <w:tblInd w:w="0" w:type="dxa"/>
        <w:tblLayout w:type="fixed"/>
        <w:tblCellMar>
          <w:top w:w="28" w:type="dxa"/>
          <w:left w:w="28" w:type="dxa"/>
          <w:bottom w:w="28" w:type="dxa"/>
          <w:right w:w="28" w:type="dxa"/>
        </w:tblCellMar>
      </w:tblPr>
      <w:tblGrid>
        <w:gridCol w:w="1876"/>
        <w:gridCol w:w="146"/>
        <w:gridCol w:w="157"/>
        <w:gridCol w:w="744"/>
        <w:gridCol w:w="157"/>
        <w:gridCol w:w="158"/>
        <w:gridCol w:w="146"/>
        <w:gridCol w:w="209"/>
        <w:gridCol w:w="602"/>
        <w:gridCol w:w="209"/>
        <w:gridCol w:w="210"/>
        <w:gridCol w:w="146"/>
        <w:gridCol w:w="146"/>
        <w:gridCol w:w="796"/>
        <w:gridCol w:w="146"/>
        <w:gridCol w:w="146"/>
        <w:gridCol w:w="146"/>
        <w:gridCol w:w="235"/>
        <w:gridCol w:w="1288"/>
        <w:gridCol w:w="235"/>
        <w:gridCol w:w="31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Matching</w:t>
              <w:br/>
              <w:t>Contributions</w:t>
              <w:br/>
              <w:t>(13-a)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Life Insurance</w:t>
              <w:br/>
              <w:t>Premiums</w:t>
              <w:br/>
              <w:t>(13-b)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Personal</w:t>
              <w:br/>
              <w:t>Benefits</w:t>
              <w:br/>
              <w:t>(13-c)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All</w:t>
              <w:br/>
              <w:t>Other Compensation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Mimi E. Vaughn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34,051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48,291</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Cassandra E.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126,743</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Scott E. Becker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14,067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25,684</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Parag D. Desai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22,544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Andrew I. Gray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231,191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241,966</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Arial" w:hAnsi="Arial"/>
          <w:color w:val="000000"/>
          <w:sz w:val="20"/>
        </w:rPr>
        <w:t>(13-a) Matching contributions paid under the Company’s 401(k) plan to each of the named executive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(13-b) Life insurance premium paid by the Company for the benefit of the named executive officers with a death benefit equal to their base salary up to $500,000.</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(13-c) Includes (i) for each named executive officer, (a) an employee discount on merchandise sold by the Company that is available to all employees and (b) the Company’s contribution to the named executive officer’s health and dental benefits, as applicable; (ii) stipend payments to Ms. Harris of $75,000 for travel and $19,928 in lieu of relocation assistance; (iii) stipend payments to Mr. Gray of $75,000 for travel and $138,310 in lieu of relocation assistance; (iv) reimbursement of the cost of $3,000 for annual executive physicals for Ms. Vaughn, Ms. Harris, Mr. Desai and Mr. Gray; and (v) a payment of $15,681 to Ms. Vaughn pursuant to the STEP Up Plan as described under the heading “Other Compensation — Defined Contribution and Deferred Income Plans” in the “Compensation Discussion and Analysis” section above.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5" w:name="grants_of_plan_based_awards_for_fiscal"/>
      <w:bookmarkEnd w:id="35"/>
      <w:r>
        <w:rPr>
          <w:rFonts w:ascii="Arial" w:hAnsi="Arial"/>
          <w:b/>
          <w:color w:val="000000"/>
          <w:sz w:val="20"/>
        </w:rPr>
        <w:t>GRANTS OF PLAN-BASED AWARDS FOR FISCAL 2026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following table shows, for each of the named executive officers, information regarding his or her award under the Company’s EVA Plan for Fiscal 2026 and grants of restricted stock and PSUs under the Amended and Restated 2020 Equity Incentive Plan in Fiscal 2026.</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8"/>
        <w:gridCol w:w="146"/>
        <w:gridCol w:w="579"/>
        <w:gridCol w:w="146"/>
        <w:gridCol w:w="146"/>
        <w:gridCol w:w="601"/>
        <w:gridCol w:w="146"/>
        <w:gridCol w:w="146"/>
        <w:gridCol w:w="146"/>
        <w:gridCol w:w="721"/>
        <w:gridCol w:w="146"/>
        <w:gridCol w:w="146"/>
        <w:gridCol w:w="146"/>
        <w:gridCol w:w="721"/>
        <w:gridCol w:w="146"/>
        <w:gridCol w:w="146"/>
        <w:gridCol w:w="159"/>
        <w:gridCol w:w="577"/>
        <w:gridCol w:w="146"/>
        <w:gridCol w:w="146"/>
        <w:gridCol w:w="146"/>
        <w:gridCol w:w="526"/>
        <w:gridCol w:w="146"/>
        <w:gridCol w:w="146"/>
        <w:gridCol w:w="146"/>
        <w:gridCol w:w="601"/>
        <w:gridCol w:w="146"/>
        <w:gridCol w:w="146"/>
        <w:gridCol w:w="150"/>
        <w:gridCol w:w="543"/>
        <w:gridCol w:w="146"/>
        <w:gridCol w:w="146"/>
        <w:gridCol w:w="153"/>
        <w:gridCol w:w="757"/>
        <w:gridCol w:w="193"/>
      </w:tblGrid>
      <w:tr>
        <w:trPr/>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8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Estimated Possible Payouts Under</w:t>
              <w:br/>
              <w:t>Non-Equity Incentive Plan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Estimated Possible Payouts Under</w:t>
              <w:br/>
              <w:t>Equity Incentive Plan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All Other</w:t>
              <w:br/>
              <w:t xml:space="preserve">Stock </w:t>
              <w:br/>
              <w:t>Awards:</w:t>
              <w:br/>
              <w:t>Number of</w:t>
              <w:br/>
              <w:t>Shares of</w:t>
              <w:br/>
              <w:t>Stock 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Grant Date</w:t>
              <w:br/>
              <w:t>Fair Value of</w:t>
              <w:br/>
              <w:t>Stock and</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Grant Date</w:t>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Threshold</w:t>
              <w:br/>
              <w:t>($)</w:t>
              <w:br/>
              <w:t>(c)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Target ($)</w:t>
              <w:br/>
              <w:t>(d)(1)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Maximum</w:t>
              <w:br/>
              <w:t>($)</w:t>
              <w:br/>
              <w: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Threshold</w:t>
              <w:br/>
              <w:t>(#)</w:t>
              <w:br/>
              <w:t>(f)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Target</w:t>
              <w:br/>
              <w:t>(#)</w:t>
              <w:br/>
              <w:t>(g)(2)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Maximum</w:t>
              <w:br/>
              <w:t>(#)</w:t>
              <w:br/>
              <w: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Units</w:t>
              <w:br/>
              <w:t>(#)</w:t>
              <w:br/>
              <w:t>(i)(3)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Option Awards</w:t>
              <w:br/>
              <w:t>($)</w:t>
              <w:br/>
              <w:t>(j)</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58"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Mimi E. Vaughn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July 30,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32,412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64,824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129,648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1,550,590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April 4,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64,824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1,166,832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N/A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320,250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1,281,000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3,843,000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Cassandra E.</w:t>
              <w:br/>
              <w:t>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July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357,843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April 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269,280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8"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Scott E. Becker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July 30,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4,297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8,594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17,188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205,568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April 4,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8,594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154,692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N/A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82,250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329,000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987,000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Parag D. Desai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July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230,804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April 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173,682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84,375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337,500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8"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Andrew I. Gray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July 30,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8,166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16,331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32,662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390,638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April 4,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8,982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N/A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181,958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727,833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2,183,499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 xml:space="preserve">Columns (c), (d) and (e) relate to the EVA Plan. The EVA Plan provides for threshold, target and maximum payouts as discussed in detail under the heading “Annual Incentive Compensation” in “Compensation Discussion and Analysis.”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The amounts in columns (f), (g) and (h) represent the threshold, target and maximum number of shares that may vest with respect to PSUs granted under the Amended and Restated 2020 Equity Incentive Plan during Fiscal 2026. The PSUs granted to the Company’s executives in Fiscal 2026 will be earned based on a three-year performance period and if the performance objectives are achieved, PSUs will vest on February 1, 2028, subject to continued employment. As further discussed in “Compensation Discussion and Analysis – Stock-Based Compensation-PSUs,” the performance metrics for the PSUs are adjusted operating income by business unit through Fiscal 2028 (i.e., a three-year performance period). </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 xml:space="preserve">Column (i) reflects awards of restricted stock under the Amended and Restated 2020 Equity Incentive Plan, the grant date fair values of which were calculated in accordance with ASC 718 by multiplying the closing price of the Company’s common stock on the NYSE on the grant date by the number of shares granted. The awards of restricted stock granted on April 4, 2025 vest in three equal annual increments, subject to continued employment. </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6" w:name="outstanding_equity_awards_at_fiscal"/>
      <w:bookmarkEnd w:id="36"/>
      <w:r>
        <w:rPr>
          <w:rFonts w:ascii="Arial" w:hAnsi="Arial"/>
          <w:b/>
          <w:color w:val="000000"/>
          <w:sz w:val="20"/>
        </w:rPr>
        <w:t>OUTSTANDING EQUITY AWARDS AT FISCAL 2026 YEAR-END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following table shows, for each named executive officer, certain information concerning vested and unvested equity awards outstanding at January 31, 2026. The awards include restricted stock, PSUs and stock options, as described under the heading “Stock-Based Compensation” in the “Compensation Discussion and Analysis,” above.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85"/>
        <w:gridCol w:w="146"/>
        <w:gridCol w:w="195"/>
        <w:gridCol w:w="706"/>
        <w:gridCol w:w="146"/>
        <w:gridCol w:w="146"/>
        <w:gridCol w:w="302"/>
        <w:gridCol w:w="719"/>
        <w:gridCol w:w="146"/>
        <w:gridCol w:w="146"/>
        <w:gridCol w:w="193"/>
        <w:gridCol w:w="483"/>
        <w:gridCol w:w="146"/>
        <w:gridCol w:w="146"/>
        <w:gridCol w:w="786"/>
        <w:gridCol w:w="146"/>
        <w:gridCol w:w="150"/>
        <w:gridCol w:w="619"/>
        <w:gridCol w:w="146"/>
        <w:gridCol w:w="146"/>
        <w:gridCol w:w="146"/>
        <w:gridCol w:w="721"/>
        <w:gridCol w:w="146"/>
        <w:gridCol w:w="146"/>
        <w:gridCol w:w="168"/>
        <w:gridCol w:w="694"/>
        <w:gridCol w:w="146"/>
        <w:gridCol w:w="146"/>
        <w:gridCol w:w="151"/>
        <w:gridCol w:w="748"/>
        <w:gridCol w:w="195"/>
      </w:tblGrid>
      <w:tr>
        <w:trPr/>
        <w:tc>
          <w:tcPr>
            <w:tcW w:w="1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0"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Stock Awards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Name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Number of</w:t>
              <w:br/>
              <w:t>Securities</w:t>
              <w:br/>
              <w:t>Underlying</w:t>
              <w:br/>
              <w:t>Unexercised</w:t>
              <w:br/>
              <w:t>Options (#)</w:t>
              <w:br/>
              <w:t>Exercisable</w:t>
              <w:br/>
              <w:t>(b)(1)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Number of</w:t>
              <w:br/>
              <w:t>Securities</w:t>
              <w:br/>
              <w:t>Underlying</w:t>
              <w:br/>
              <w:t>Unexercised</w:t>
              <w:br/>
              <w:t>Options (#)</w:t>
              <w:br/>
              <w:t>Unexercisable</w:t>
              <w:br/>
              <w:t>(c)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Option</w:t>
              <w:br/>
              <w:t>Exercise</w:t>
              <w:br/>
              <w:t>Price ($)</w:t>
              <w:br/>
              <w:t>(d)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Option</w:t>
              <w:br/>
              <w:t>Expiration</w:t>
              <w:br/>
              <w:t>Date</w:t>
              <w:br/>
              <w: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Number of</w:t>
              <w:br/>
              <w:t>Shares or</w:t>
              <w:br/>
              <w:t>Units of</w:t>
              <w:br/>
              <w:t>Stock That</w:t>
              <w:br/>
              <w:t>Have Not</w:t>
              <w:br/>
              <w:t>Vested</w:t>
              <w:br/>
              <w:t>(#)</w:t>
              <w:br/>
              <w:t>(f)(2)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Market</w:t>
              <w:br/>
              <w:t>Value of</w:t>
              <w:br/>
              <w:t>Shares or</w:t>
              <w:br/>
              <w:t>Units of</w:t>
              <w:br/>
              <w:t>Stock That</w:t>
              <w:br/>
              <w:t>Have Not</w:t>
              <w:br/>
              <w:t>Vested</w:t>
              <w:br/>
              <w:t>($)</w:t>
              <w:br/>
              <w:t>(g)(3)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Equity</w:t>
              <w:br/>
              <w:t>Incentive</w:t>
              <w:br/>
              <w:t>Plan</w:t>
              <w:br/>
              <w:t>Awards:</w:t>
              <w:br/>
              <w:t>Number of</w:t>
              <w:br/>
              <w:t>Unearned</w:t>
              <w:br/>
              <w:t>Shares,</w:t>
              <w:br/>
              <w:t>Units or</w:t>
              <w:br/>
              <w:t>Other Rights</w:t>
              <w:br/>
              <w:t>That Have</w:t>
              <w:br/>
              <w:t>Not Vested</w:t>
              <w:br/>
              <w:t>(#)</w:t>
              <w:br/>
              <w:t>(h)(2)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Equity</w:t>
              <w:br/>
              <w:t>Incentive</w:t>
              <w:br/>
              <w:t>Plan</w:t>
              <w:br/>
              <w:t>Awards:</w:t>
              <w:br/>
              <w:t>Market or</w:t>
              <w:br/>
              <w:t>Payout</w:t>
              <w:br/>
              <w:t>Value of</w:t>
              <w:br/>
              <w:t>Unearned</w:t>
              <w:br/>
              <w:t>Shares,</w:t>
              <w:br/>
              <w:t>Units or</w:t>
              <w:br/>
              <w:t>Other Rights</w:t>
              <w:br/>
              <w:t>That Have</w:t>
              <w:br/>
              <w:t>Not</w:t>
              <w:br/>
              <w:t>Vested ($)</w:t>
              <w:br/>
              <w:t>(i)(3)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5"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Mimi E. Vaughn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26,620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41.41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02/05/2030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134,448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3,889,581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114,098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3,300,855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Cassandra E.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586,758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432,793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5"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Scott E. Becker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N/A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N/A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18,837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544,954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15,751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455,676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Parag D. Desai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612,419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511,772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5"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Andrew I. Gray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N/A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N/A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47,950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1,387,194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47,983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1,388,148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 xml:space="preserve">Ms. Vaughn’s stock option award vested in four equal installments on each of February 5, 2021, 2022, 2023 and 2024. </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The shares of restricted stock and PSUs vest on the following schedule: </w:t>
      </w:r>
    </w:p>
    <w:p>
      <w:pPr>
        <w:pStyle w:val="TextBody"/>
        <w:bidi w:val="0"/>
        <w:jc w:val="left"/>
        <w:rPr/>
      </w:pPr>
      <w:r>
        <w:rPr/>
        <w:t> </w:t>
      </w:r>
    </w:p>
    <w:tbl>
      <w:tblPr>
        <w:tblW w:w="7370" w:type="dxa"/>
        <w:jc w:val="left"/>
        <w:tblInd w:w="0" w:type="dxa"/>
        <w:tblLayout w:type="fixed"/>
        <w:tblCellMar>
          <w:top w:w="28" w:type="dxa"/>
          <w:left w:w="28" w:type="dxa"/>
          <w:bottom w:w="28" w:type="dxa"/>
          <w:right w:w="28" w:type="dxa"/>
        </w:tblCellMar>
      </w:tblPr>
      <w:tblGrid>
        <w:gridCol w:w="1741"/>
        <w:gridCol w:w="146"/>
        <w:gridCol w:w="916"/>
        <w:gridCol w:w="226"/>
        <w:gridCol w:w="146"/>
        <w:gridCol w:w="156"/>
        <w:gridCol w:w="642"/>
        <w:gridCol w:w="156"/>
        <w:gridCol w:w="157"/>
        <w:gridCol w:w="146"/>
        <w:gridCol w:w="156"/>
        <w:gridCol w:w="642"/>
        <w:gridCol w:w="156"/>
        <w:gridCol w:w="157"/>
        <w:gridCol w:w="146"/>
        <w:gridCol w:w="168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Restricted</w:t>
              <w:br/>
              <w:t>Shares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PSUs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Vesting Increments</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Mimi E. Vaughn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6/8/2022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12,317 on 6/28/2026</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4/4/2023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14,254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14,254 on 4/4/2026</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4/4/2024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43,053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21,526 on 4/4/2026</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21,527 on 4/4/2027</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4/4/2024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49,274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24,637 on 2/1/2026</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24,637 on 2/1/2027</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4/4/2025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64,824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21,608 on 4/4/2026</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21,608 on 4/4/2027</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21,608 on 4/4/2028</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7/30/2025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64,824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64,824 on 1/29/2028</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Cassandra E. Harris</w:t>
            </w:r>
            <w:r>
              <w:rPr>
                <w:rFonts w:ascii="Arial" w:hAnsi="Arial"/>
                <w:color w:val="000000"/>
                <w:sz w:val="11"/>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10/1/2024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5,322 on 10/1/2026</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4/4/2025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14,960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4,987 on 4/4/2026</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4,986 on 4/4/2027</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4,987 on 4/4/2028</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7/30/2025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14,960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14,960 on 1/29/2028</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Scott E. Becker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6/28/2022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1,995 on 6/28/2026</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4/4/2023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1,994 on 4/4/2026</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4/4/2024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3,127 on 4/4/2026</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3,127 on 4/4/2027</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4/4/2024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3,579 on 2/1/2026</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3,578 on 2/1/2027</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4/4/2025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2,865 on 4/4/2026</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2,864 on 4/4/2027</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2,865 on 4/4/2028</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7/30/2025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8,594 on 1/29/2028</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Parag D. Desai</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6/28/2022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2,245 on 6/28/2026</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4/4/2023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2,249 on 4/4/2026</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4/4/2024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3,513 on 4/4/2026</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3,513 on 4/4/2027</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4/4/2024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4,021 on 2/1/2026</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4,020 on 2/1/2027</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4/4/2025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3,216 on 4/4/2026</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3,217 on 4/4/2027</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3,216 on 4/4/2028</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7/30/2025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9,649 on 1/29/2028</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Andrew I. Gray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4/4/2024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31,652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15,826 on 2/1/2026</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15,826 on 2/1/2027</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12/10/2024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47,451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5,272 on 4/4/2026</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10,545 on 4/4/2027</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15,817 on 4/4/2028</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10,545 on 4/4/2029</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5,272 on 4/4/2030</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4/4/2025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 on 4/4/2026</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167 on 4/4/2027</w:t>
            </w:r>
          </w:p>
        </w:tc>
      </w:tr>
      <w:tr>
        <w:trPr/>
        <w:tc>
          <w:tcPr>
            <w:tcW w:w="1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 on 4/4/2028</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7/30/2025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16,331 on 1/29/2028</w:t>
            </w:r>
          </w:p>
        </w:tc>
      </w:tr>
    </w:tbl>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(3)</w:t>
      </w:r>
    </w:p>
    <w:p>
      <w:pPr>
        <w:pStyle w:val="TextBody"/>
        <w:bidi w:val="0"/>
        <w:jc w:val="left"/>
        <w:rPr>
          <w:rFonts w:ascii="Arial" w:hAnsi="Arial"/>
          <w:color w:val="000000"/>
          <w:sz w:val="20"/>
        </w:rPr>
      </w:pPr>
      <w:r>
        <w:rPr>
          <w:rFonts w:ascii="Arial" w:hAnsi="Arial"/>
          <w:color w:val="000000"/>
          <w:sz w:val="20"/>
        </w:rPr>
        <w:t xml:space="preserve">Market value is calculated based on the closing price of the Company’s common stock on the NYSE on January 30, 2026 ($28.93), the last trading day prior to the end of Fiscal 2026 on January 31, 2026. </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 xml:space="preserve">The restricted shares subject to this award vest ratably over four years, subject to the terms of the applicable award agreement. </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pPr>
      <w:r>
        <w:rPr>
          <w:rFonts w:ascii="Arial" w:hAnsi="Arial"/>
          <w:color w:val="000000"/>
          <w:sz w:val="20"/>
        </w:rPr>
        <w:t>The restricted shares subject to this award vest ratably over three years, subject to the terms of the applicable award agreement.</w:t>
      </w:r>
      <w:r>
        <w:rPr>
          <w:color w:val="000000"/>
        </w:rPr>
        <w:t xml:space="preserve"> </w:t>
      </w:r>
    </w:p>
    <w:p>
      <w:pPr>
        <w:pStyle w:val="TextBody"/>
        <w:bidi w:val="0"/>
        <w:spacing w:before="120" w:after="283"/>
        <w:jc w:val="left"/>
        <w:rPr>
          <w:rFonts w:ascii="Arial" w:hAnsi="Arial"/>
          <w:color w:val="000000"/>
          <w:sz w:val="20"/>
        </w:rPr>
      </w:pPr>
      <w:r>
        <w:rPr>
          <w:rFonts w:ascii="Arial" w:hAnsi="Arial"/>
          <w:color w:val="000000"/>
          <w:sz w:val="20"/>
        </w:rPr>
        <w:t>(6)</w:t>
      </w:r>
    </w:p>
    <w:p>
      <w:pPr>
        <w:pStyle w:val="TextBody"/>
        <w:bidi w:val="0"/>
        <w:spacing w:before="120" w:after="283"/>
        <w:jc w:val="left"/>
        <w:rPr>
          <w:rFonts w:ascii="Arial" w:hAnsi="Arial"/>
          <w:color w:val="000000"/>
          <w:sz w:val="20"/>
        </w:rPr>
      </w:pPr>
      <w:r>
        <w:rPr>
          <w:rFonts w:ascii="Arial" w:hAnsi="Arial"/>
          <w:color w:val="000000"/>
          <w:sz w:val="20"/>
        </w:rPr>
        <w:t xml:space="preserve">The PSUs granted on April 4, 2024 had a one-year performance period that elapsed on February 1, 2025, and the PSUs earned as a result of the Company’s performance during the performance period have been reflected in columns (f) and (g). One-half of the restricted shares subject to this performance award vest on each of February 1, 2026 and February 1, 2027, subject to the terms of the applicable award agreement. </w:t>
      </w:r>
    </w:p>
    <w:p>
      <w:pPr>
        <w:pStyle w:val="TextBody"/>
        <w:bidi w:val="0"/>
        <w:spacing w:before="120" w:after="283"/>
        <w:jc w:val="left"/>
        <w:rPr>
          <w:rFonts w:ascii="Arial" w:hAnsi="Arial"/>
          <w:color w:val="000000"/>
          <w:sz w:val="20"/>
        </w:rPr>
      </w:pPr>
      <w:r>
        <w:rPr>
          <w:rFonts w:ascii="Arial" w:hAnsi="Arial"/>
          <w:color w:val="000000"/>
          <w:sz w:val="20"/>
        </w:rPr>
        <w:t>(7)</w:t>
      </w:r>
    </w:p>
    <w:p>
      <w:pPr>
        <w:pStyle w:val="TextBody"/>
        <w:bidi w:val="0"/>
        <w:spacing w:before="120" w:after="283"/>
        <w:jc w:val="left"/>
        <w:rPr>
          <w:rFonts w:ascii="Arial" w:hAnsi="Arial"/>
          <w:color w:val="000000"/>
          <w:sz w:val="20"/>
        </w:rPr>
      </w:pPr>
      <w:r>
        <w:rPr>
          <w:rFonts w:ascii="Arial" w:hAnsi="Arial"/>
          <w:color w:val="000000"/>
          <w:sz w:val="20"/>
        </w:rPr>
        <w:t xml:space="preserve">The restricted shares subject to this award vest over a five-year period with one-ninth vesting on April 4, 2026, two-ninths vesting on April 4, 2027, one-third vesting on April 4, 2028, two-ninths vesting on April 4, 2029, and one-ninth vesting on April 4, 2030. </w:t>
      </w:r>
    </w:p>
    <w:p>
      <w:pPr>
        <w:pStyle w:val="TextBody"/>
        <w:bidi w:val="0"/>
        <w:spacing w:before="120" w:after="283"/>
        <w:jc w:val="left"/>
        <w:rPr>
          <w:rFonts w:ascii="Arial" w:hAnsi="Arial"/>
          <w:color w:val="000000"/>
          <w:sz w:val="20"/>
        </w:rPr>
      </w:pPr>
      <w:r>
        <w:rPr>
          <w:rFonts w:ascii="Arial" w:hAnsi="Arial"/>
          <w:color w:val="000000"/>
          <w:sz w:val="20"/>
        </w:rPr>
        <w:t>(8)</w:t>
      </w:r>
    </w:p>
    <w:p>
      <w:pPr>
        <w:pStyle w:val="TextBody"/>
        <w:bidi w:val="0"/>
        <w:spacing w:before="120" w:after="283"/>
        <w:jc w:val="left"/>
        <w:rPr>
          <w:rFonts w:ascii="Arial" w:hAnsi="Arial"/>
          <w:color w:val="000000"/>
          <w:sz w:val="20"/>
        </w:rPr>
      </w:pPr>
      <w:r>
        <w:rPr>
          <w:rFonts w:ascii="Arial" w:hAnsi="Arial"/>
          <w:color w:val="000000"/>
          <w:sz w:val="20"/>
        </w:rPr>
        <w:t xml:space="preserve">The PSUs granted on July 30, 2025 have a three-year performance period, and if the performance objectives are achieved, the PSUs will vest on January 29, 2028, subject to continued employment. The number of PSUs reported reflects the target level of achievement. The number of PSUs that vest, if any, is based upon the achievement of targeted performance metrics and can range from 50% of target (at threshold) to 200% of target (at maximum) (or 0%, if performance is below the threshold level). </w:t>
      </w:r>
    </w:p>
    <w:p>
      <w:pPr>
        <w:pStyle w:val="TextBody"/>
        <w:bidi w:val="0"/>
        <w:spacing w:before="120" w:after="283"/>
        <w:jc w:val="left"/>
        <w:rPr>
          <w:rFonts w:ascii="Arial" w:hAnsi="Arial"/>
          <w:color w:val="000000"/>
          <w:sz w:val="20"/>
        </w:rPr>
      </w:pPr>
      <w:r>
        <w:rPr>
          <w:rFonts w:ascii="Arial" w:hAnsi="Arial"/>
          <w:color w:val="000000"/>
          <w:sz w:val="20"/>
        </w:rPr>
        <w:t>(9)</w:t>
      </w:r>
    </w:p>
    <w:p>
      <w:pPr>
        <w:pStyle w:val="TextBody"/>
        <w:bidi w:val="0"/>
        <w:spacing w:before="120" w:after="283"/>
        <w:jc w:val="left"/>
        <w:rPr>
          <w:rFonts w:ascii="Arial" w:hAnsi="Arial"/>
          <w:color w:val="000000"/>
          <w:sz w:val="20"/>
        </w:rPr>
      </w:pPr>
      <w:r>
        <w:rPr>
          <w:rFonts w:ascii="Arial" w:hAnsi="Arial"/>
          <w:color w:val="000000"/>
          <w:sz w:val="20"/>
        </w:rPr>
        <w:t xml:space="preserve">As noted above, Ms. Harris departed the Company effective March 6, 2026, and continued to support the Company as a consultant and principal accounting officer through March 25, 2026, pursuant to a Consulting Agreement dated January 29, 2026. All unvested restricted share awards and PSUs reflected in the table above for Ms. Harris were forfeited in connection with her departure. </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7" w:name="option_exercises_and_stock_vested"/>
      <w:bookmarkEnd w:id="37"/>
      <w:r>
        <w:rPr>
          <w:rFonts w:ascii="Arial" w:hAnsi="Arial"/>
          <w:b/>
          <w:color w:val="000000"/>
          <w:sz w:val="20"/>
        </w:rPr>
        <w:t>OPTION EXERCISES AND</w:t>
      </w:r>
      <w:r>
        <w:rPr>
          <w:rFonts w:ascii="Times New Roman" w:hAnsi="Times New Roman"/>
          <w:color w:val="000000"/>
          <w:sz w:val="20"/>
        </w:rPr>
        <w:t xml:space="preserve"> </w:t>
      </w:r>
      <w:r>
        <w:rPr>
          <w:rFonts w:ascii="Arial" w:hAnsi="Arial"/>
          <w:b/>
          <w:color w:val="000000"/>
          <w:sz w:val="20"/>
        </w:rPr>
        <w:t>STOCK VESTED IN FISCAL 2026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following table shows, for each named executive officer, certain information about his or her shares of restricted stock that vested during Fiscal 2026:</w:t>
      </w:r>
      <w:r>
        <w:rPr>
          <w:rFonts w:ascii="Times New Roman" w:hAnsi="Times New Roman"/>
          <w:color w:val="000000"/>
          <w:sz w:val="20"/>
        </w:rPr>
        <w:t xml:space="preserve"> </w:t>
      </w:r>
    </w:p>
    <w:p>
      <w:pPr>
        <w:pStyle w:val="TextBody"/>
        <w:bidi w:val="0"/>
        <w:jc w:val="left"/>
        <w:rPr/>
      </w:pPr>
      <w:r>
        <w:rPr/>
        <w:t> </w:t>
      </w:r>
    </w:p>
    <w:tbl>
      <w:tblPr>
        <w:tblW w:w="4741" w:type="dxa"/>
        <w:jc w:val="left"/>
        <w:tblInd w:w="0" w:type="dxa"/>
        <w:tblLayout w:type="fixed"/>
        <w:tblCellMar>
          <w:top w:w="28" w:type="dxa"/>
          <w:left w:w="28" w:type="dxa"/>
          <w:bottom w:w="28" w:type="dxa"/>
          <w:right w:w="28" w:type="dxa"/>
        </w:tblCellMar>
      </w:tblPr>
      <w:tblGrid>
        <w:gridCol w:w="1876"/>
        <w:gridCol w:w="146"/>
        <w:gridCol w:w="146"/>
        <w:gridCol w:w="691"/>
        <w:gridCol w:w="146"/>
        <w:gridCol w:w="146"/>
        <w:gridCol w:w="146"/>
        <w:gridCol w:w="146"/>
        <w:gridCol w:w="961"/>
        <w:gridCol w:w="146"/>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 Awards</w:t>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w:t>
              <w:br/>
              <w:t>of Shares</w:t>
              <w:br/>
              <w:t>Acquired</w:t>
              <w:br/>
              <w:t>on Vesting</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Value</w:t>
              <w:br/>
              <w:t>Realized</w:t>
              <w:br/>
              <w:t>on Vesting</w:t>
              <w:br/>
              <w:t>($)(2)</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Mimi E. Vaughn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57,683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1,098,525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Cassandra E.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Scott E. Becker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185,117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Parag D. Desai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Andrew I. Gray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234,663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 xml:space="preserve">Amounts reflect gross shares vested which excludes shares withheld for taxes.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Amounts reflect the product of the closing price of the Company’s common stock on the NYSE on the last trading day before the vesting date ((i) $18.00 for Ms. Vaughn, Mr. Desai and Mr. Becker for restricted stock that vested on April 4, 2025, (ii) $20.75 for Ms. Vaughn, Mr. Desai, and Mr. Becker for restricted stock that vested on June 28, 2025, (iii) $29.83 for Ms. Harris for restricted stock that vested on October 1, 2025 and (iv) $32.43 for Mr. Gray for restricted stock that vested on January 12, 2026) multiplied by the number of shares vested. </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8" w:name="non_qualified_deferred_compensation"/>
      <w:bookmarkEnd w:id="38"/>
      <w:r>
        <w:rPr>
          <w:rFonts w:ascii="Arial" w:hAnsi="Arial"/>
          <w:b/>
          <w:color w:val="000000"/>
          <w:sz w:val="20"/>
        </w:rPr>
        <w:t>NON-QUALIFIED DEFERRED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following table shows, for each named executive officer, his or her contributions to and investment earnings on balances in the Company’s Deferred Income Plan, described under the heading “Deferred Income Plan” in the “Defined Contribution and Deferred Income Plans” section of the “Compensation Discussion and Analysis,” above. Earnings on plan balances are from investments selected by the participants, which may not include Company securities.</w:t>
      </w:r>
      <w:r>
        <w:rPr>
          <w:rFonts w:ascii="Times New Roman" w:hAnsi="Times New Roman"/>
          <w:color w:val="000000"/>
          <w:sz w:val="20"/>
        </w:rPr>
        <w:t xml:space="preserve"> </w:t>
      </w:r>
    </w:p>
    <w:p>
      <w:pPr>
        <w:pStyle w:val="TextBody"/>
        <w:bidi w:val="0"/>
        <w:jc w:val="left"/>
        <w:rPr/>
      </w:pPr>
      <w:r>
        <w:rPr/>
        <w:t> </w:t>
      </w:r>
    </w:p>
    <w:tbl>
      <w:tblPr>
        <w:tblW w:w="8587" w:type="dxa"/>
        <w:jc w:val="left"/>
        <w:tblInd w:w="0" w:type="dxa"/>
        <w:tblLayout w:type="fixed"/>
        <w:tblCellMar>
          <w:top w:w="28" w:type="dxa"/>
          <w:left w:w="28" w:type="dxa"/>
          <w:bottom w:w="28" w:type="dxa"/>
          <w:right w:w="28" w:type="dxa"/>
        </w:tblCellMar>
      </w:tblPr>
      <w:tblGrid>
        <w:gridCol w:w="1876"/>
        <w:gridCol w:w="146"/>
        <w:gridCol w:w="226"/>
        <w:gridCol w:w="536"/>
        <w:gridCol w:w="226"/>
        <w:gridCol w:w="228"/>
        <w:gridCol w:w="146"/>
        <w:gridCol w:w="226"/>
        <w:gridCol w:w="536"/>
        <w:gridCol w:w="226"/>
        <w:gridCol w:w="228"/>
        <w:gridCol w:w="146"/>
        <w:gridCol w:w="146"/>
        <w:gridCol w:w="691"/>
        <w:gridCol w:w="146"/>
        <w:gridCol w:w="146"/>
        <w:gridCol w:w="146"/>
        <w:gridCol w:w="212"/>
        <w:gridCol w:w="503"/>
        <w:gridCol w:w="212"/>
        <w:gridCol w:w="214"/>
        <w:gridCol w:w="146"/>
        <w:gridCol w:w="146"/>
        <w:gridCol w:w="796"/>
        <w:gridCol w:w="146"/>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b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Executive</w:t>
              <w:br/>
              <w:t>Contributions</w:t>
              <w:br/>
              <w:t>in Last FY</w:t>
              <w:br/>
              <w:t>($)</w:t>
              <w:br/>
              <w:t>(b)(1)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Registrant</w:t>
              <w:br/>
              <w:t>Contributions</w:t>
              <w:br/>
              <w:t>in Last FY</w:t>
              <w:br/>
              <w:t>($)</w:t>
              <w:br/>
              <w:t>(c)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Earnings</w:t>
              <w:br/>
              <w:t>in Last FY</w:t>
              <w:br/>
              <w:t>($)</w:t>
              <w:br/>
              <w:t>(d)(2)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Withdrawals/</w:t>
              <w:br/>
              <w:t>Distributions</w:t>
              <w:br/>
              <w:t>($)</w:t>
              <w:br/>
              <w: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Balance</w:t>
              <w:br/>
              <w:t>at Last</w:t>
              <w:br/>
              <w:t>FYE</w:t>
              <w:br/>
              <w:t>($)</w:t>
              <w:br/>
              <w:t>(f)(3)</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Mimi E. Vaughn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180,135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Cassandra E.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Scott E. Becker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Parag D. Desai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Andrew I. Gray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 xml:space="preserve">All amounts reported in column (b) are included in the salary reported for each named executive officer in column (c) of the Summary Compensation Table for Fiscal 2026.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Because no named executive officer’s deferred compensation earnings for Fiscal 2026 constituted above-market interest under the disclosure requirements applicable to the Summary Compensation Table, above, none of the amounts reported in column (d) are reflected in column (h) of the Summary Compensation Table. </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 xml:space="preserve">The amount reported in column (f) includes, for each named executive officer, the following amount reported as compensation in the Summary Compensation Table for each of the three fiscal years in the Summary Compensation Table. </w:t>
      </w:r>
    </w:p>
    <w:p>
      <w:pPr>
        <w:pStyle w:val="TextBody"/>
        <w:bidi w:val="0"/>
        <w:jc w:val="left"/>
        <w:rPr/>
      </w:pPr>
      <w:r>
        <w:rPr/>
        <w:t> </w:t>
      </w:r>
    </w:p>
    <w:tbl>
      <w:tblPr>
        <w:tblW w:w="5279" w:type="dxa"/>
        <w:jc w:val="left"/>
        <w:tblInd w:w="0" w:type="dxa"/>
        <w:tblLayout w:type="fixed"/>
        <w:tblCellMar>
          <w:top w:w="28" w:type="dxa"/>
          <w:left w:w="28" w:type="dxa"/>
          <w:bottom w:w="28" w:type="dxa"/>
          <w:right w:w="28" w:type="dxa"/>
        </w:tblCellMar>
      </w:tblPr>
      <w:tblGrid>
        <w:gridCol w:w="1876"/>
        <w:gridCol w:w="146"/>
        <w:gridCol w:w="181"/>
        <w:gridCol w:w="430"/>
        <w:gridCol w:w="181"/>
        <w:gridCol w:w="181"/>
        <w:gridCol w:w="146"/>
        <w:gridCol w:w="181"/>
        <w:gridCol w:w="430"/>
        <w:gridCol w:w="181"/>
        <w:gridCol w:w="181"/>
        <w:gridCol w:w="146"/>
        <w:gridCol w:w="179"/>
        <w:gridCol w:w="426"/>
        <w:gridCol w:w="179"/>
        <w:gridCol w:w="235"/>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Mimi E. Vaughn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Cassandra E.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Scott E. Becker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05"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Parag D. Desai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Andrew I. Gray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05"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9" w:name="change_of_control_arrangements"/>
      <w:bookmarkEnd w:id="39"/>
      <w:r>
        <w:rPr>
          <w:rFonts w:ascii="Arial" w:hAnsi="Arial"/>
          <w:b/>
          <w:color w:val="000000"/>
          <w:sz w:val="20"/>
        </w:rPr>
        <w:t>CHANGE OF CONTROL</w:t>
      </w:r>
      <w:r>
        <w:rPr>
          <w:rFonts w:ascii="Times New Roman" w:hAnsi="Times New Roman"/>
          <w:color w:val="000000"/>
          <w:sz w:val="20"/>
        </w:rPr>
        <w:t xml:space="preserve"> </w:t>
      </w:r>
      <w:r>
        <w:rPr>
          <w:rFonts w:ascii="Arial" w:hAnsi="Arial"/>
          <w:b/>
          <w:color w:val="000000"/>
          <w:sz w:val="20"/>
        </w:rPr>
        <w:t>ARRANGEMENTS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AND SEVERANCE PLANS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Employment Protection Agreements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All the named executive officers are parties to employment protection agreements (collectively, the “Employment Protection Agreements”). The agreements become effective only in the event of a Change of Control, which is defined as occurring when (i) any person (as defined in Section 3(a)(9) of the Exchange Act, and as used in Sections 13(d) and 14(d) thereof), excluding the Company, any majority owned subsidiary of the Company (a “Subsidiary”) and any employee benefit plan sponsored or maintained by the Company or any Subsidiary (including any trustee of such plan acting as trustee), but including a “group” as defined in Section 13(d)(3) of the Exchange Act (a “Person”), becomes the beneficial owner of shares of the Company having at least 20% of the total number of votes that may be cast for the election of directors of the Company (the “Voting Shares”); provided, however, that such an event will not constitute a Change of Control if the acquiring Person has entered into an agreement with the Company approved by the Board which materially restricts the right of such Person to direct or influence the management or policies of the Company; (ii) the shareholders of the Company approve any merger or other business combination of the Company, sale of the Company’s assets or combination of the foregoing transactions (a “Transaction”) other than a Transaction involving only the Company and one or more of its Subsidiaries, or a Transaction immediately following which the shareholders of the Company immediately prior to the Transaction (excluding for this purpose any shareholder of the Company who also owns directly or indirectly more than 10% of the shares of the other company involved in the Transaction) continue to have a majority of the voting power in the resulting entity; or (iii) within any 24-month period beginning on or after the date of the agreements, the persons who were directors of the Company immediately before the beginning of such period (the “Incumbent Directors”) cease (for any reason other than death) to constitute at least a majority of the Board or of the board of directors of any successor to the Company, provided that any director who was not a director as of the date of the applicable Employment Protection Agreement will be deemed to be an Incumbent Director if such director was elected to the Board by, or on the recommendation of or with the approval of, at least two-thirds of the members of the Board who then qualified as Incumbent Directors either actually or by prior operation of Section 2(a) of the agreements. Each Employment Protection Agreement provides for employment by the Company for a term of up to three years following a Change of Control. The executive is to exercise authority and perform duties commensurate with his or her authority and duties existing during the 90 days immediately prior to the Change of Control. He or she is also to receive compensation (including incentive compensation and benefits) during the term in an amount not less than that which he or she was receiving immediately prior to the Change of Control. Any amounts paid to the named executive officers (with the exception of Ms. Vaughn and Mr. Desai) under the Employment Protection Agreement will be reduced to the maximum amount that could be paid without being subject to the excise tax imposed under Sections 280G and 4999 of the Code, but only if the after-tax benefit of the reduced amount is higher than the after-tax benefit of the unreduced amount.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If the executive’s employment is terminated by death or Disability (as defined in the agreements) determined in accordance with the Employment Protection Agreements during the term of the agreement, he or she, or his or her legal representative (as applicable), is entitled to receive from the Company, in a lump sum in cash within 30 days from the date of termination (except for payments due to the executive under any employee benefit plan), his or her accrued but unpaid base salary, all amounts owing to him or her under any applicable employee benefit plans, and a bonus equal to the average of the two most recent annual bonuses received by the executive (including the value of any equity paid in lieu of cash and excluding any year in which no bonus was paid and any discretionary bonus paid to the executive), prorated for the number of days in the current fiscal year that the executive was employed. A deceased executive’s family is also entitled to receive benefits at least equal to the most favorable level of benefits available to surviving families of executives of the Company under provisions of benefit plans relating to family death benefits that were in effect at any time during the 90 days prior to the Change of Control. If the executive is terminated for Cause (as defined in the Employment Protection Agreements) or quits voluntarily (other than on account of Good Reason (as defined in the Employment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Protection Agreements)) during the employment period, he or she is entitled to receive from the Company, in a lump sum in cash within 30 days from the date of termination (except for payments due to the executive under any employee benefit plan), the same compensation payable in case of termination by death or disability, except that the prorated bonus would not be payable.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As defined in the Employment Protection Agreements, “Cause” means (i) an act or acts of dishonesty or gross misconduct on the executive’s part which result or are intended to result in material damage to the Company’s business or reputation or (ii) repeated material violations by the executive of his or her obligations under the agreement which violations are demonstrably willful and deliberate on the executive’s part. “Good Reason” is defined to include (i) a good faith determination by the executive that the Company has taken (without his or her consent) action that materially changes his or her authority or responsibilities or materially reduces his or her ability to carry out such responsibilities; (ii) the Company’s failure to comply with provisions of the agreement involving the executive’s compensation, annual bonuses, incentive and savings plans, retirement programs, benefit plans, expenses, vacations and fringe benefits and working conditions; (iii) the Company’s requiring the executive to be employed at a location more than 50 miles further from his or her principal residence than the location at which the executive worked immediately before the agreement became effective; and (iv) the Company’s failure subject to certain exceptions to require a successor to assume and agree to perform under the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If the executive’s employment is actually or constructively terminated by the Company without Cause, or if the executive terminates his or her employment for Good Reason during the term of the agreement, the executive will be entitled to receive from the Company, in a lump sum in cash within 15 days from the date of termination, his or her base salary through the termination date, and a severance allowance equal to two times (i) his or her annual base salary, plus (ii) the average of his or her two most recent annual bonuses received by the executive (including the value of any equity paid in lieu of cash and excluding any year in which no bonus was paid and any discretionary bonus paid to the executive), plus (iii) the present value of the annual cost to the Company of obtaining coverage equivalent to the coverage provided by the Company prior to the Change of Control under any welfare benefit plans (including medical, dental, disability, group life and accidental death insurance) plus the annualized value of fringe benefits provided to the executive prior to the Change of Control, plus, in the case of Employment Protection Agreements entered into prior to Fiscal 2020 for Ms. Vaughn and Mr. Desai, reimbursement for any excise tax owed thereon and for taxes payable by reason of the reimbursement. Amounts payable under the Employment Protection Agreements are to be reduced by any amount received under the general severance plan described below, and may offset on a dollar-by-dollar basis payments due under the Executive Severance Plan described below. On February 6, 2025, the Company approved amendments to the Employment Protection Agreement to be entered into with certain executive officers of the Company, with the exception of Ms. Vaughn and Mr. Desai. Among other things, the Employment Protection Agreement was amended to revise the operation of the Employment Protection Agreement such that any Termination Notice (as defined in the Employment Protection Agreement) shall be effective at any time that the Company is in active negotiations with respect to a transaction that would constitute a Change of Control, if consummated. In addition, the Employment Protection Agreement was amended to remove the automatic termination of the Employment Protection Agreement upon the attainment of a certain retirement age by the applicable executive.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Severance Plans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General Severance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Company maintains a severance plan for monthly-paid salaried employees to provide for certain benefits in the event of a Company-initiated separation from the Company other than for Cause (as defined in the plan). Under the terms of the plan, an eligible employee is entitled to one week of his or her base salary at the termination date multiplied by each year of service with the Company with a maximum of 24 weeks and a minimum of two weeks. If their employment had been terminated without Cause as of January 31, 2026, the named executive officers would have been entitled to the following severance payments under the plan, which</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reduce payments due under the Employment Protection Agreements and Executive Severance Plan: Ms. Vaughn — $433,654; Mr. Becker — $63,269; Mr. Desai — $95,192; Ms. Harris — $23,077; and Mr. Gray — $38,942.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Executive Severance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Effective May 2, 2024, the Company maintains an executive severance plan for certain executive employees to provide for certain benefits in the event employment is terminated (i) by the Company for any reason other than for Cause (as defined in plan), and that is not the result of (x) a resignation by the executive without Good Reason, (y) death or disability, or (z) in connection with certain sale transactions whereby the participant is offered a Suitable Position (as defined in the plan), or (ii) by the employee for Good Reason (as defined in plan) (each such termination, a “Covered Termination”). Under the terms of the plan, upon a Covered Termination, such an employee is eligible to receive monthly cash severance payments in an aggregate amount equal to (i) twelve (12) months of such employee’s base salary or, in the case of an employee who is the chief executive officer of the Company, twenty-four (24) months of such employee’s base salary and (ii) twelve (12) months of COBRA Premiums (as defined in the plan) or, in the case of an employee who is the chief executive officer of the Company, twenty-four (24) months of COBRA Premiums. Payments due under the Executive Severance Plan may be offset on a dollar-by-dollar basis by payments due under the Employment Protection Agreements described above.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Equity Awards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Change of Control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As described in more detail below, awards made by the Company under the 2009 Equity Incentive Plan and the Amended and Restated 2020 Equity Incentive Plan become immediately vested and exercisable upon a Change of Control unless the compensation committee determines in good faith prior to the Change of Control that such equity award will be honored or assumed, or new rights substituted therefor (an “Alternative Award”), by a participant’s employer immediately following a Change of Control provided that the Alternative Award is (i) based on stock that is traded on an established securities market, (ii) provides the participant with rights and entitlements substantially equivalent to or better than the existing award, including vesting schedule, (iii) has substantially equivalent value to the existing award and (iv) has terms and conditions which provide that if a participant’s employment is involuntarily terminated without cause, or if a participant terminates employment for good reason, such equity award will be deemed immediately vested and exercisable and/or all restrictions shall lapse, and shall be settled for a payment for each share of stock subject to the Alternative Award in cash, in immediately transferable, publicly traded securities, or a combination thereof, in an amount equal to the fair market value of such stock on the date of the participant’s termination or the excess of the fair market value of such stock on the date of participant’s termination over the corresponding exercise or base price.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For awards of restricted stock and options made by the Company under the Amended and Restated 2020 Equity Incentive Plan, 100% of the unvested shares become immediately vested, and in the case of options, immediately exercisable, if the entity surviving the Change of Control does not assume the award or grant an Alternative Award.</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For awards of PSUs made by the Company under the Amended and Restated 2020 Equity Incentive Plan in Fiscal 2024, the performance threshold was not met as of January 31, 2026 and the PSUs did not vest. As a result, none of the Fiscal 2024 PSUs would be eligible to vest for any change of control.</w:t>
      </w:r>
    </w:p>
    <w:p>
      <w:pPr>
        <w:pStyle w:val="TextBody"/>
        <w:bidi w:val="0"/>
        <w:spacing w:before="240" w:after="283"/>
        <w:jc w:val="left"/>
        <w:rPr>
          <w:rFonts w:ascii="Times New Roman" w:hAnsi="Times New Roman"/>
          <w:sz w:val="20"/>
        </w:rPr>
      </w:pPr>
      <w:r>
        <w:rPr>
          <w:rFonts w:ascii="Arial" w:hAnsi="Arial"/>
          <w:color w:val="000000"/>
          <w:sz w:val="20"/>
        </w:rPr>
        <w:t>For awards of PSUs made by the Company under the Amended and Restated 2020 Equity Incentive Plan in Fiscal 2025, if the entity surviving the Change of Control assumes the awards granted: (i) any in process performance periods will end on the date immediately preceding the Change of Control; (ii) if the Change of Control occurs before the performance period would have ended in the absence of the preceding clause, the number of earned PSUs eligible to vest will be the target number of performance share units granted; (iii) if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Change of Control occurs after the performance period ends, the number of earned PSUs eligible to vest will be based on the attainment of the performance targets, in such manner as determined by the compensation committee; (iv) such number of earned PSUs that are eligible to vest will vest on the applicable vesting date, provided that the participant remains employed with the successor through such vesting date; and (v) in the event that, prior to the applicable vesting date, the participant’s employment with the successor is terminated without cause by the successor, or terminates for good reason by the participant or on account of the participant’s death or disability, the number of earned PSUs that would otherwise have vested on such vesting date shall immediately become vested and the applicable shares (or the cash value thereof) shall be released to the participant (or the participant’s estate or other legal representative) upon such termination of employment. In the event the successor does not assume the awards, (i) if the Change of Control occurs before the end of the performance period, a number of PSUs equal to the target award shall vest and be settled in accordance with the applicable award agreement as of immediately prior to the Change of Control, or (ii) if the Change of Control occurs after the end of the performance period, all earned PSUs that have not previously vested shall immediately vest, and any shares not previously released to the participant shall be released to the participant in accordance with the applicable award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For awards of PSUs made by the Company under the Amended and Restated 2020 Equity Incentive Plan in Fiscal 2026, if the entity surviving the Change of Control assumes the awards granted: (i) any in process performance periods will end on the date immediately preceding the Change of Control; (ii) if the Change of Control occurs within the first year of the performance period, the number of PSUs eligible to vest will be the target number of performance share units granted; (iii) if the Change of Control occurs after the first year of the performance period but prior to the end of the performance period, the number of PSUs eligible to vest will be based on the attainment of the performance targets through the portion of the performance period ending not later than the effective date of the Change of Control, in such manner as determined by the compensation committee; (iv) such number of PSUs that are eligible to vest will vest as of the end of the performance period, provided that the participant remains employed with the successor through such vesting date; and (v) in the event that, within 24 months following the Change of Control, the participant’s employment with the successor is terminated without cause by the successor, or terminates for good reason by the participant or on account of the participant’s death or disability prior to the vesting date, the number of PSUs eligible to vest on the vesting date will immediately vest and the applicable shares will be released to the participant (or the participant’s estate or other legal representative) upon the participant’s termination of employment. In the event the successor does not assume the awards, (i) if the Change of Control occurs within the first year of the performance period, the target number of PSUs granted will vest as of the effective date of the Change of Control or (ii) if the Change of Control occurs after the first year of the performance period but prior to the end of the performance period, a number of PSUs will vest based on the attainment of the performance targets through the portion of the performance period ending not later than the effective date of the Change of Control, in such manner as determined by the compensation committee, and in each case the applicable shares will be released to the participant (or the participant’s estate or other legal representative).</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i/>
          <w:color w:val="000000"/>
          <w:sz w:val="20"/>
        </w:rPr>
        <w:t>Certain Terminations of Employment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For awards of restricted stock and PSUs made by the Company under the Amended and Restated 2020 Equity Incentive Plan, any unvested restricted stock or PSUs are automatically forfeited upon a participant’s termination of employment, subject to the following: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If such participant’s employment terminates due to death or “Disability” (as defined in the Amended and Restated 2020 Equity Incentive Plan and/or the applicable award agreement):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a prorated portion of unvested restricted stock will immediately vest in proportion to such participant’s length of employment during the applicable restricted period; </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for PSUs granted in Fiscal 2024, the performance threshold was not met as of January 31, 2026 and the PSUs did not vest. As a result, none of the Fiscal 2024 PSUs would be eligible to vest for termination of employment due to death or disability;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for PSUs granted in Fiscal 2025, (i) prior to the second vesting date and (ii) following the end of the performance period, the participant (or the estate or legal representative thereof) shall immediately become vested in the earned PSUs to the extent the earned PSUs have not already become vested; and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for PSUs granted in Fiscal 2026, a number of unvested PSUs will immediately vest in an amount equal to the applicable target award.</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If such participant’s employment is terminated by the Company without Cause (as defined in the Amended and Restated 2020 Equity Incentive Plan and/or the applicable award agreement):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a prorated portion of unvested restricted stock for awards granted before 2024 will immediately vest in proportion to such participant’s length of employment during the applicable restricted period;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for PSUs granted in Fiscal 2024, the performance threshold was not met as of January 31, 2026 and the PSUs did not vest. As a result, none of the Fiscal 2024 PSUs would be eligible to vest for termination of employment by the Company without Cause;</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for PSUs granted in Fiscal 2025, (A) the number of earned PSUs shall equal the product of the actual number of earned PSUs multiplied by the appropriate proration factor, (B) fifty percent (50%) of the earned PSUs shall become vested as of the first vesting date, and (C) the number of earned PSUs that shall become vested as of the second vesting date shall equal the total number of earned PSUs, minus the number of earned PSUs that became vested on the first vesting date; and</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for PSUs granted in Fiscal 2026, if the Company terminates the grantee's employment without cause prior to the first anniversary of the first day of the applicable performance period, no portion of the award is eligible to vest; if such termination occurs on or after that date, but prior to the end of the performance period, the grantee is eligible for a pro-rated portion of earned PSUs (capped at target) with settlement occurring at the end of the applicable performance period based on actual results.</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If such participant’s employment terminates due to Retirement (as defined in the Amended and Restated 2020 Equity Incentive Plan and/or the applicable award agreement):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for PSUs granted in Fiscal 2024, the performance threshold was not met as of January 31, 2026 and the PSUs did not vest. As a result, none of the Fiscal 2024 PSUs would be eligible to vest for termination of employment due to retirement;</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for PSUs granted in Fiscal 2025, (i) the number of earned PSUs shall equal the product of (A) the number of earned PSUs at the end of the performance period, multiplied by (B) a fraction, the numerator of which is the number of whole months during the total vesting period during which the participant was employed by the Company, and the denominator of which is the total number of whole months in the total vesting period, (ii) fifty percent (50%) of the earned PSUs shall become vested as of the first vesting date, and (iii) the number of earned PSUs that shall become vested as of the second vesting date shall equal the total number of earned PSUs, minus the number of earned PSUs that became vested on the first vesting date; and</w:t>
      </w:r>
    </w:p>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for PSUs granted in Fiscal 2026,a prorated portion of unvested PSUs will vest on the normal vesting date in an amount equal to the product of (1) the number of PSUs that would have vested if the participant had remained employed with the Company until the normal vesting date (based on the attainment of the applicable performance targets), multiplied by (2) the appropriate proration factor, provided, that if the participant subsequently dies more than six months prior to the normal vesting date, attainment of the applicable performance target will be calculated at the 100% target level and such prorated number of PSUs shall immediately vest and be paid out.</w:t>
      </w:r>
    </w:p>
    <w:p>
      <w:pPr>
        <w:pStyle w:val="TextBody"/>
        <w:bidi w:val="0"/>
        <w:spacing w:before="240" w:after="283"/>
        <w:jc w:val="left"/>
        <w:rPr>
          <w:rFonts w:ascii="Times New Roman" w:hAnsi="Times New Roman"/>
          <w:sz w:val="20"/>
        </w:rPr>
      </w:pPr>
      <w:r>
        <w:rPr>
          <w:rFonts w:ascii="Arial" w:hAnsi="Arial"/>
          <w:b/>
          <w:color w:val="000000"/>
          <w:sz w:val="20"/>
        </w:rPr>
        <w:t>Summary of Potential Payments Upon Change of Control or Termination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following table shows for each of the named executive officers, assuming that a Change of Control in which the surviving entity assumes equity awards or grants an Alternative Award, followed by immediate involuntary termination of his or her employment (other than for Cause) or by voluntary termination by the named executive officer for Good Reason (as defined under the Employment Protection Agreement), occurred on January 31, 2026, the estimated amounts payable with respect to (a) salary, (b) bonus, (c) the value, based on the closing price of the Company’s stock on the NYSE on January 30, 2026 (the last trading day of the fiscal year) of all previously unvested restricted stock and PSUs subject to accelerated vesting, (d) the estimated value of the payment related to benefits provided under the Employment Protection Agreement, (e) the non-qualified deferred compensation (which would be paid upon termination for any reason regardless of whether a Change of Control has occurred, under the terms of the Deferred Income Plan), (f) for named executive officers who entered into Employment Protection Agreements prior to Fiscal 2020, the gross-up related to excise taxes that would have been reimbursable to the named executive officer (assuming a 37.0% marginal federal income tax rate), and (g) the total of items (a) through (f). With respect to each named executive officer, the actual awards and amounts payable can only be determined at the time of each named executive officer’s termination of employment.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49"/>
        <w:gridCol w:w="146"/>
        <w:gridCol w:w="146"/>
        <w:gridCol w:w="931"/>
        <w:gridCol w:w="146"/>
        <w:gridCol w:w="146"/>
        <w:gridCol w:w="146"/>
        <w:gridCol w:w="931"/>
        <w:gridCol w:w="146"/>
        <w:gridCol w:w="146"/>
        <w:gridCol w:w="146"/>
        <w:gridCol w:w="931"/>
        <w:gridCol w:w="146"/>
        <w:gridCol w:w="146"/>
        <w:gridCol w:w="146"/>
        <w:gridCol w:w="784"/>
        <w:gridCol w:w="146"/>
        <w:gridCol w:w="146"/>
        <w:gridCol w:w="158"/>
        <w:gridCol w:w="848"/>
        <w:gridCol w:w="146"/>
        <w:gridCol w:w="146"/>
        <w:gridCol w:w="212"/>
        <w:gridCol w:w="504"/>
        <w:gridCol w:w="146"/>
        <w:gridCol w:w="146"/>
        <w:gridCol w:w="146"/>
        <w:gridCol w:w="1036"/>
        <w:gridCol w:w="193"/>
      </w:tblGrid>
      <w:tr>
        <w:trPr/>
        <w:tc>
          <w:tcPr>
            <w:tcW w:w="10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Cash</w:t>
              <w:br/>
              <w:t>Severance</w:t>
              <w:br/>
              <w:t>(a)(1)</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Bonus</w:t>
              <w:br/>
              <w:t>(b)(2)</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Accelerated</w:t>
              <w:br/>
              <w:t>Stock-Based</w:t>
              <w:br/>
              <w:t>Compensation</w:t>
              <w:br/>
              <w:t>(c)(3)</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Estimated</w:t>
              <w:br/>
              <w:t>Benefits Value</w:t>
              <w:br/>
              <w:t>(d)(4)</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Deferred</w:t>
              <w:br/>
              <w:t>Compensation</w:t>
              <w:br/>
              <w:t>Payout</w:t>
              <w:br/>
              <w:t>(e)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Tax Gross-Up</w:t>
              <w:br/>
              <w:t>(f)(5)</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br/>
              <w:t>(g)(6)</w:t>
              <w:b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49"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Mimi E. Vaughn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1,293,810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7,190,436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263,493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180,135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10,977,874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Cassandra E.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295,894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1,019,551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2,677,171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9"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Scott E. Becker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314,040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1,000,631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127,681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2,382,352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Parag D. Desai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328,500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1,124,191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2,470,535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9"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Andrew I. Gray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1,827,328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2,775,342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165,262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6,117,932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 xml:space="preserve">Twenty-four (24) months of such named executive officer’s base salary.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Two times the average of the last two annual bonuses earned by the named executive officer. </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 xml:space="preserve">The value, based on the closing price of the Company’s common stock on the NYSE on January 30, 2026, of the previously unvested restricted stock and PSUs that would have vested on an accelerated basis upon an assumed Change of Control, followed by immediate involuntary termination of such named executive officer’s employment (other than for Cause) or by voluntary termination by such named executive officer for Good Reason, occurring on January 31, 2026. With respect to the PSUs granted on (i) April 4, 2023, the performance threshold was not met as of January 31, 2026 and no shares were earned, (ii) April 4, 2024, the value of the PSUs is equal to the number of PSUs earned during the performance period and (iii) July 30, 2025, the value of the PSUs is equal to the number of PSUs the Company estimates will be earned at the end of the performance period. If the entity surviving the Change of Control does not assume an equity award or grant an Alternative Award, all restricted stock and PSUs will immediately vest in the amounts provided in column (c) above. </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 xml:space="preserve">Includes the present value, calculated using the annual federal short-term rate as determined under Section 1274(d) of the Code of (a) the annual cost to the Company of obtaining coverage under the welfare benefit </w:t>
      </w:r>
    </w:p>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pPr>
      <w:r>
        <w:rPr>
          <w:rFonts w:ascii="Arial" w:hAnsi="Arial"/>
          <w:color w:val="000000"/>
          <w:sz w:val="20"/>
        </w:rPr>
        <w:t>plans discussed above and (b) the annualized value of fringe benefits provided to the named executive officer immediately prior to January 31, 2026.</w:t>
      </w:r>
      <w:r>
        <w:rPr>
          <w:color w:val="000000"/>
        </w:rPr>
        <w:t xml:space="preserve"> </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 xml:space="preserve">Employment Protection Agreements entered into prior to Fiscal 2020 provide for the reimbursement of the excise tax payable on the Change of Control payment plus income taxes payable on the reimbursement. Beginning in Fiscal 2020, this provision was eliminated from the form of Employment Protection Agreement. </w:t>
      </w:r>
    </w:p>
    <w:p>
      <w:pPr>
        <w:pStyle w:val="TextBody"/>
        <w:bidi w:val="0"/>
        <w:spacing w:before="120" w:after="283"/>
        <w:jc w:val="left"/>
        <w:rPr>
          <w:rFonts w:ascii="Arial" w:hAnsi="Arial"/>
          <w:color w:val="000000"/>
          <w:sz w:val="20"/>
        </w:rPr>
      </w:pPr>
      <w:r>
        <w:rPr>
          <w:rFonts w:ascii="Arial" w:hAnsi="Arial"/>
          <w:color w:val="000000"/>
          <w:sz w:val="20"/>
        </w:rPr>
        <w:t>(6)</w:t>
      </w:r>
    </w:p>
    <w:p>
      <w:pPr>
        <w:pStyle w:val="TextBody"/>
        <w:bidi w:val="0"/>
        <w:spacing w:before="120" w:after="283"/>
        <w:jc w:val="left"/>
        <w:rPr>
          <w:rFonts w:ascii="Arial" w:hAnsi="Arial"/>
          <w:color w:val="000000"/>
          <w:sz w:val="20"/>
        </w:rPr>
      </w:pPr>
      <w:r>
        <w:rPr>
          <w:rFonts w:ascii="Arial" w:hAnsi="Arial"/>
          <w:color w:val="000000"/>
          <w:sz w:val="20"/>
        </w:rPr>
        <w:t xml:space="preserve">Figures in this table assume no reduction in severance benefits due to Sections 280G and 4999 of the Code, if applicable. </w:t>
      </w:r>
    </w:p>
    <w:p>
      <w:pPr>
        <w:pStyle w:val="TextBody"/>
        <w:bidi w:val="0"/>
        <w:spacing w:before="240" w:after="283"/>
        <w:jc w:val="left"/>
        <w:rPr>
          <w:rFonts w:ascii="Times New Roman" w:hAnsi="Times New Roman"/>
          <w:sz w:val="20"/>
        </w:rPr>
      </w:pPr>
      <w:r>
        <w:rPr>
          <w:rFonts w:ascii="Arial" w:hAnsi="Arial"/>
          <w:color w:val="000000"/>
          <w:sz w:val="20"/>
        </w:rPr>
        <w:t>The following table shows, for each of the named executive officers, assuming that a Change of Control in which the surviving entity assumes equity awards or grants an Alternative Award, followed by immediate termination of his or her employment because of death or disability, occurred on January 31, 2026, the estimated amounts payable with respect to (a) salary, (b) bonus, (c) the value, based on the closing price of the Company’s common stock on the NYSE on January 30, 2026 (the last trading day of the fiscal year), of all previously unvested restricted stock and PSUs subject to accelerated vesting, (d) non-qualified deferred compensation, and (e) the total of items (a) through (d):</w:t>
      </w:r>
      <w:r>
        <w:rPr>
          <w:rFonts w:ascii="Times New Roman" w:hAnsi="Times New Roman"/>
          <w:color w:val="000000"/>
          <w:sz w:val="20"/>
        </w:rPr>
        <w:t xml:space="preserve"> </w:t>
      </w:r>
    </w:p>
    <w:p>
      <w:pPr>
        <w:pStyle w:val="TextBody"/>
        <w:bidi w:val="0"/>
        <w:jc w:val="left"/>
        <w:rPr/>
      </w:pPr>
      <w:r>
        <w:rPr/>
        <w:t> </w:t>
      </w:r>
    </w:p>
    <w:tbl>
      <w:tblPr>
        <w:tblW w:w="8875" w:type="dxa"/>
        <w:jc w:val="left"/>
        <w:tblInd w:w="0" w:type="dxa"/>
        <w:tblLayout w:type="fixed"/>
        <w:tblCellMar>
          <w:top w:w="28" w:type="dxa"/>
          <w:left w:w="28" w:type="dxa"/>
          <w:bottom w:w="28" w:type="dxa"/>
          <w:right w:w="28" w:type="dxa"/>
        </w:tblCellMar>
      </w:tblPr>
      <w:tblGrid>
        <w:gridCol w:w="1876"/>
        <w:gridCol w:w="146"/>
        <w:gridCol w:w="170"/>
        <w:gridCol w:w="404"/>
        <w:gridCol w:w="170"/>
        <w:gridCol w:w="172"/>
        <w:gridCol w:w="146"/>
        <w:gridCol w:w="146"/>
        <w:gridCol w:w="796"/>
        <w:gridCol w:w="146"/>
        <w:gridCol w:w="146"/>
        <w:gridCol w:w="146"/>
        <w:gridCol w:w="146"/>
        <w:gridCol w:w="961"/>
        <w:gridCol w:w="146"/>
        <w:gridCol w:w="146"/>
        <w:gridCol w:w="146"/>
        <w:gridCol w:w="150"/>
        <w:gridCol w:w="823"/>
        <w:gridCol w:w="150"/>
        <w:gridCol w:w="153"/>
        <w:gridCol w:w="146"/>
        <w:gridCol w:w="146"/>
        <w:gridCol w:w="961"/>
        <w:gridCol w:w="146"/>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Cash</w:t>
              <w:br/>
              <w:t>Severance</w:t>
              <w:br/>
              <w:t>(a)(1)</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Bonus</w:t>
              <w:br/>
              <w:t>(b)(2)</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Accelerated</w:t>
              <w:br/>
              <w:t>Stock-Based</w:t>
              <w:br/>
              <w:t>Compensation</w:t>
              <w:br/>
              <w:t>(c)(3)</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Deferred</w:t>
              <w:br/>
              <w:t>Compensation</w:t>
              <w:br/>
              <w:t>Payout</w:t>
              <w:br/>
              <w:t>(d)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(e)(4)</w:t>
              <w:br/>
              <w:t>($)</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Mimi E. Vaughn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646,905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4,892,256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180,135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5,719,296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Cassandra E.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752,282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Scott E. Becker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157,020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681,865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838,885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Parag D. Desai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930,361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Andrew I. Gray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913,664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1,525,621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2,439,285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 xml:space="preserve">Accrued and unpaid salary of the named executive officers at January 31, 2026.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The average of the last two annual bonuses earned by the named executive officer. </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The value, based on the closing price of the Company’s common stock on the NYSE on January 30, 2026, of the previously unvested restricted stock and PSUs that would have vested on an accelerated basis upon an assumed Change of Control, followed by immediate termination of such named executive officer’s employment because of death or disability, occurring on January 31, 2026. With respect to the PSUs granted on (i) April 4, 2023, the performance threshold was not met as of January 31, 2026 and no shares were earned, (ii) April 4, 2024, the value of the PSUs is equal to the number of PSUs earned during the performance period and (iii) July 30, 2025, the value of the PSUs is equal to the number of PSUs the Company estimates will be earned at the end of the performance period. The value of the restricted stock is equal to the number of restricted shares earned during the period ended January 31, 2026 multiplied by the appropriate proration factor.</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 xml:space="preserve">Figures in this table assume no reduction in severance benefits due to Sections 280G and 4999 of the Code, if applicable. </w:t>
      </w:r>
    </w:p>
    <w:p>
      <w:pPr>
        <w:pStyle w:val="TextBody"/>
        <w:bidi w:val="0"/>
        <w:spacing w:before="24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The following table shows, for each of the named executive officers, assuming such named executive officer was involuntarily terminated without Cause on January 31, 2026, and no Change of Control had occurred, the estimated amounts payable with respect to (a) salary, (b) the value, based on the closing price of the Company’s common stock on the NYSE on January 30, 2026 (the last trading day of the fiscal year), of previously unvested restricted stock granted prior to 2024 and PSUs subject to accelerated vesting, (c) non-qualified deferred compensation, (d) the value of the COBRA Premiums (as defined in the Executive Severance Plan), and (e) the total of items (a) through (d):</w:t>
      </w:r>
      <w:r>
        <w:rPr>
          <w:rFonts w:ascii="Times New Roman" w:hAnsi="Times New Roman"/>
          <w:color w:val="000000"/>
          <w:sz w:val="20"/>
        </w:rPr>
        <w:t xml:space="preserve"> </w:t>
      </w:r>
    </w:p>
    <w:p>
      <w:pPr>
        <w:pStyle w:val="TextBody"/>
        <w:bidi w:val="0"/>
        <w:jc w:val="left"/>
        <w:rPr/>
      </w:pPr>
      <w:r>
        <w:rPr/>
        <w:t> </w:t>
      </w:r>
    </w:p>
    <w:tbl>
      <w:tblPr>
        <w:tblW w:w="9253" w:type="dxa"/>
        <w:jc w:val="left"/>
        <w:tblInd w:w="0" w:type="dxa"/>
        <w:tblLayout w:type="fixed"/>
        <w:tblCellMar>
          <w:top w:w="28" w:type="dxa"/>
          <w:left w:w="28" w:type="dxa"/>
          <w:bottom w:w="28" w:type="dxa"/>
          <w:right w:w="28" w:type="dxa"/>
        </w:tblCellMar>
      </w:tblPr>
      <w:tblGrid>
        <w:gridCol w:w="1876"/>
        <w:gridCol w:w="146"/>
        <w:gridCol w:w="146"/>
        <w:gridCol w:w="961"/>
        <w:gridCol w:w="146"/>
        <w:gridCol w:w="146"/>
        <w:gridCol w:w="146"/>
        <w:gridCol w:w="146"/>
        <w:gridCol w:w="961"/>
        <w:gridCol w:w="146"/>
        <w:gridCol w:w="146"/>
        <w:gridCol w:w="146"/>
        <w:gridCol w:w="150"/>
        <w:gridCol w:w="823"/>
        <w:gridCol w:w="150"/>
        <w:gridCol w:w="153"/>
        <w:gridCol w:w="146"/>
        <w:gridCol w:w="146"/>
        <w:gridCol w:w="691"/>
        <w:gridCol w:w="146"/>
        <w:gridCol w:w="146"/>
        <w:gridCol w:w="146"/>
        <w:gridCol w:w="146"/>
        <w:gridCol w:w="961"/>
        <w:gridCol w:w="146"/>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Cash</w:t>
              <w:br/>
              <w:t>Severance</w:t>
              <w:br/>
              <w:t>(a)(1)</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Accelerated</w:t>
              <w:br/>
              <w:t>Stock-Based</w:t>
              <w:br/>
              <w:t>Compensation</w:t>
              <w:br/>
              <w:t>(b)(2)</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Deferred</w:t>
              <w:br/>
              <w:t>Compensation</w:t>
              <w:br/>
              <w:t>Payout</w:t>
              <w:br/>
              <w:t>(c)</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COBRA</w:t>
              <w:br/>
              <w:t>Premiums</w:t>
              <w:br/>
              <w:t>(d)(3)</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(d)</w:t>
              <w:br/>
              <w:t>($)</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Mimi E. Vaughn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2,025,456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180,135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4,293,668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Cassandra E.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Scott E. Becker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288,839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773,449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Parag D. Desai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780,596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Andrew I. Gray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731,464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18,294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1,424,758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 xml:space="preserve">Twelve (12) months of such named executive officer’s base salary or, in the case of the chief executive officer of the Company, twenty-four (24) months of such executive’s base salary pursuant to the Executive Severance Plan.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The value, based on the closing price of the Company’s common stock on the NYSE on January 30, 2026, of the previously unvested restricted stock granted prior to 2024 and PSUs that would have vested on an accelerated basis upon such named executive officer’s involuntary termination without Cause. With respect to the PSUs granted on (i) April 4, 2023, the performance threshold was not met as of January 31, 2026 and no shares were earned, (ii) April 4, 2024, the value of the PSUs is equal to the number of PSUs earned during the performance period multiplied by the appropriate proration factor and (iii) July 30, 2025, the value of the PSUs, if any, cannot be determined at this time because the performance period does not end until January 29, 2028; however, each named executive officer remains eligible for a pro-rated portion of earned PSUs (capped at target) based on actual results at the end of the performance period, subject to the appropriate proration factor. As such, for the PSUs granted on July 30, 2025, the values in this column reflect the applicable pro-rated portion of earned PSUs assuming target performance is achieved. The value of the restricted stock is equal to the number of shares earned during the period ended January 31, 2026 multiplied by the appropriate proration factor </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 xml:space="preserve">Twelve (12) months of COBRA Premiums (as defined in the Executive Severance Plan) or, in the case of an employee who is the chief executive officer of the Company, twenty-four (24) months of COBRA Premiums pursuant to the Executive Severance Plan. </w:t>
      </w:r>
    </w:p>
    <w:p>
      <w:pPr>
        <w:pStyle w:val="TextBody"/>
        <w:bidi w:val="0"/>
        <w:spacing w:before="24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The following table shows, for each of the named executive officers, assuming such named executive officer died or became disabled on January 31, 2026, and no Change of Control had occurred, the estimated amounts payable with respect to (a) salary, (b) the value, based on the closing price of the Company’s common stock on the NYSE on January 30, 2026 (the last trading day of the fiscal year), of all previously unvested restricted stock and PSUs subject to accelerated vesting, (c) non-qualified deferred compensation, and (d) the total of items (a) through (c):</w:t>
      </w:r>
      <w:r>
        <w:rPr>
          <w:rFonts w:ascii="Times New Roman" w:hAnsi="Times New Roman"/>
          <w:color w:val="000000"/>
          <w:sz w:val="20"/>
        </w:rPr>
        <w:t xml:space="preserve"> </w:t>
      </w:r>
    </w:p>
    <w:p>
      <w:pPr>
        <w:pStyle w:val="TextBody"/>
        <w:bidi w:val="0"/>
        <w:jc w:val="left"/>
        <w:rPr/>
      </w:pPr>
      <w:r>
        <w:rPr/>
        <w:t> </w:t>
      </w:r>
    </w:p>
    <w:tbl>
      <w:tblPr>
        <w:tblW w:w="7495" w:type="dxa"/>
        <w:jc w:val="left"/>
        <w:tblInd w:w="0" w:type="dxa"/>
        <w:tblLayout w:type="fixed"/>
        <w:tblCellMar>
          <w:top w:w="28" w:type="dxa"/>
          <w:left w:w="28" w:type="dxa"/>
          <w:bottom w:w="28" w:type="dxa"/>
          <w:right w:w="28" w:type="dxa"/>
        </w:tblCellMar>
      </w:tblPr>
      <w:tblGrid>
        <w:gridCol w:w="1876"/>
        <w:gridCol w:w="146"/>
        <w:gridCol w:w="170"/>
        <w:gridCol w:w="404"/>
        <w:gridCol w:w="170"/>
        <w:gridCol w:w="172"/>
        <w:gridCol w:w="146"/>
        <w:gridCol w:w="146"/>
        <w:gridCol w:w="961"/>
        <w:gridCol w:w="146"/>
        <w:gridCol w:w="146"/>
        <w:gridCol w:w="146"/>
        <w:gridCol w:w="150"/>
        <w:gridCol w:w="823"/>
        <w:gridCol w:w="150"/>
        <w:gridCol w:w="153"/>
        <w:gridCol w:w="146"/>
        <w:gridCol w:w="146"/>
        <w:gridCol w:w="961"/>
        <w:gridCol w:w="146"/>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Cash</w:t>
              <w:br/>
              <w:t>Severance</w:t>
              <w:br/>
              <w:t>(a)(1)</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Accelerated</w:t>
              <w:br/>
              <w:t>Stock-Based</w:t>
              <w:br/>
              <w:t>Compensation</w:t>
              <w:br/>
              <w:t>(b)(2)</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Deferred</w:t>
              <w:br/>
              <w:t>Compensation</w:t>
              <w:br/>
              <w:t>Payout</w:t>
              <w:br/>
              <w:t>(c)</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(d)</w:t>
              <w:br/>
              <w:t>($)</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Mimi E. Vaughn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4,892,256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180,135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5,072,391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Cassandra E.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Scott E. Becker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681,865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681,865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Parag D. Desai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Andrew I. Gray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1,525,621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1,525,621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 xml:space="preserve">Accrued and unpaid salary of the named executive officers at January 31, 2026.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The value, based on the closing price of the Company’s common stock on the NYSE on January 30, 2026, of the previously unvested restricted stock and PSUs that would have vested on an accelerated basis upon such named executive officer’s death or disability. With respect to the PSUs granted on (i) April 4, 2023, the performance threshold was not met as of January 31, 2026 and no shares were earned, (ii) April 4, 2024, the value of the PSUs is equal to the number of PSUs earned during the performance period and (iii) July 30, 2025, the value of the PSUs is equal to the number of PSUs the Company estimates will be earned at the end of the performance period. The value of restricted stock is equal to the number of restricted shares earned during the period ended January 31, 2026 multiplied by the appropriate proration factor. </w:t>
      </w:r>
    </w:p>
    <w:p>
      <w:pPr>
        <w:pStyle w:val="TextBody"/>
        <w:bidi w:val="0"/>
        <w:spacing w:before="240" w:after="283"/>
        <w:jc w:val="left"/>
        <w:rPr>
          <w:rFonts w:ascii="Times New Roman" w:hAnsi="Times New Roman"/>
          <w:sz w:val="20"/>
        </w:rPr>
      </w:pPr>
      <w:r>
        <w:rPr>
          <w:rFonts w:ascii="Arial" w:hAnsi="Arial"/>
          <w:color w:val="000000"/>
          <w:sz w:val="20"/>
        </w:rPr>
        <w:t>The following table shows, for each of the named executive officers, assuming such named executive officer retired on January 31, 2026, and no Change of Control had occurred, the estimated amounts payable with respect to (a) salary, (b) the value, based on the closing price of the Company’s common stock on the NYSE on January 30, 2026 (the last trading day of the fiscal year), of all previously unvested PSUs subject to accelerated vesting, (c) non-qualified deferred compensation, and (d) the total of items (a) through (c):</w:t>
      </w:r>
      <w:r>
        <w:rPr>
          <w:rFonts w:ascii="Times New Roman" w:hAnsi="Times New Roman"/>
          <w:color w:val="000000"/>
          <w:sz w:val="20"/>
        </w:rPr>
        <w:t xml:space="preserve"> </w:t>
      </w:r>
    </w:p>
    <w:p>
      <w:pPr>
        <w:pStyle w:val="TextBody"/>
        <w:bidi w:val="0"/>
        <w:jc w:val="left"/>
        <w:rPr/>
      </w:pPr>
      <w:r>
        <w:rPr/>
        <w:t> </w:t>
      </w:r>
    </w:p>
    <w:tbl>
      <w:tblPr>
        <w:tblW w:w="7495" w:type="dxa"/>
        <w:jc w:val="left"/>
        <w:tblInd w:w="0" w:type="dxa"/>
        <w:tblLayout w:type="fixed"/>
        <w:tblCellMar>
          <w:top w:w="28" w:type="dxa"/>
          <w:left w:w="28" w:type="dxa"/>
          <w:bottom w:w="28" w:type="dxa"/>
          <w:right w:w="28" w:type="dxa"/>
        </w:tblCellMar>
      </w:tblPr>
      <w:tblGrid>
        <w:gridCol w:w="1876"/>
        <w:gridCol w:w="146"/>
        <w:gridCol w:w="170"/>
        <w:gridCol w:w="404"/>
        <w:gridCol w:w="170"/>
        <w:gridCol w:w="172"/>
        <w:gridCol w:w="146"/>
        <w:gridCol w:w="146"/>
        <w:gridCol w:w="961"/>
        <w:gridCol w:w="146"/>
        <w:gridCol w:w="146"/>
        <w:gridCol w:w="146"/>
        <w:gridCol w:w="150"/>
        <w:gridCol w:w="823"/>
        <w:gridCol w:w="150"/>
        <w:gridCol w:w="153"/>
        <w:gridCol w:w="146"/>
        <w:gridCol w:w="146"/>
        <w:gridCol w:w="961"/>
        <w:gridCol w:w="146"/>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Cash</w:t>
              <w:br/>
              <w:t>Severance</w:t>
              <w:br/>
              <w:t>(a)(1)</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Accelerated</w:t>
              <w:br/>
              <w:t>Stock-Based</w:t>
              <w:br/>
              <w:t>Compensation</w:t>
              <w:br/>
              <w:t>(b)(2)</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Deferred</w:t>
              <w:br/>
              <w:t>Compensation</w:t>
              <w:br/>
              <w:t>Payout</w:t>
              <w:br/>
              <w:t>(c)</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(d)</w:t>
              <w:br/>
              <w:t>($)</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Mimi E. Vaughn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1,473,956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180,135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1,654,091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Cassandra E.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Scott E. Becker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207,100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207,100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Parag D. Desai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Andrew I. Gray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731,464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731,464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 xml:space="preserve">Accrued and unpaid salary of the named executive officers at January 31, 2026.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The value, based on the closing price of the Company’s common stock on the NYSE on January 30, 2026, of the previously unvested PSUs that would have vested on an accelerated basis upon such named executive officer’s retirement. With respect to the PSUs granted on (i) April 4, 2023, the performance threshold was not met as of January 31, 2026 and no shares were earned, (ii) April 4, 2024, the value of the PSUs is equal to the number of PSUs earned during the performance period and (iii) July 30, 2025, the value of the PSUs is equal to the number of PSUs the Company estimates will be earned at the end of the </w:t>
      </w:r>
    </w:p>
    <w:p>
      <w:pPr>
        <w:pStyle w:val="TextBody"/>
        <w:bidi w:val="0"/>
        <w:spacing w:before="24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pPr>
      <w:r>
        <w:rPr>
          <w:rFonts w:ascii="Arial" w:hAnsi="Arial"/>
          <w:color w:val="000000"/>
          <w:sz w:val="20"/>
        </w:rPr>
        <w:t>performance period. The PSUs earned or estimated to be earned are multiplied by the appropriate proration factor.</w:t>
      </w:r>
      <w:r>
        <w:rPr>
          <w:color w:val="000000"/>
        </w:rPr>
        <w:t xml:space="preserve"> </w:t>
      </w:r>
    </w:p>
    <w:p>
      <w:pPr>
        <w:pStyle w:val="TextBody"/>
        <w:bidi w:val="0"/>
        <w:spacing w:before="240" w:after="283"/>
        <w:jc w:val="left"/>
        <w:rPr>
          <w:rFonts w:ascii="Times New Roman" w:hAnsi="Times New Roman"/>
          <w:sz w:val="20"/>
        </w:rPr>
      </w:pPr>
      <w:r>
        <w:rPr>
          <w:rFonts w:ascii="Arial" w:hAnsi="Arial"/>
          <w:color w:val="000000"/>
          <w:sz w:val="20"/>
        </w:rPr>
        <w:t>The following table shows, for each of the named executive officers, assuming such named executive officer was terminated by the named executive officer for Good Reason (as defined in the Executive Severance Plan) on January 31, 2026, and no Change of Control had occurred, the estimated amounts payable with respect to (a) salary, (b) the value of the COBRA Premiums (as defined in the Executive Severance Plan, and (c) the total of items (a) and (b):</w:t>
      </w:r>
      <w:r>
        <w:rPr>
          <w:rFonts w:ascii="Times New Roman" w:hAnsi="Times New Roman"/>
          <w:color w:val="000000"/>
          <w:sz w:val="20"/>
        </w:rPr>
        <w:t xml:space="preserve"> </w:t>
      </w:r>
    </w:p>
    <w:p>
      <w:pPr>
        <w:pStyle w:val="TextBody"/>
        <w:bidi w:val="0"/>
        <w:jc w:val="left"/>
        <w:rPr/>
      </w:pPr>
      <w:r>
        <w:rPr/>
        <w:t> </w:t>
      </w:r>
    </w:p>
    <w:tbl>
      <w:tblPr>
        <w:tblW w:w="6286" w:type="dxa"/>
        <w:jc w:val="left"/>
        <w:tblInd w:w="0" w:type="dxa"/>
        <w:tblLayout w:type="fixed"/>
        <w:tblCellMar>
          <w:top w:w="28" w:type="dxa"/>
          <w:left w:w="28" w:type="dxa"/>
          <w:bottom w:w="28" w:type="dxa"/>
          <w:right w:w="28" w:type="dxa"/>
        </w:tblCellMar>
      </w:tblPr>
      <w:tblGrid>
        <w:gridCol w:w="1876"/>
        <w:gridCol w:w="146"/>
        <w:gridCol w:w="146"/>
        <w:gridCol w:w="961"/>
        <w:gridCol w:w="146"/>
        <w:gridCol w:w="146"/>
        <w:gridCol w:w="146"/>
        <w:gridCol w:w="146"/>
        <w:gridCol w:w="691"/>
        <w:gridCol w:w="146"/>
        <w:gridCol w:w="146"/>
        <w:gridCol w:w="146"/>
        <w:gridCol w:w="146"/>
        <w:gridCol w:w="961"/>
        <w:gridCol w:w="146"/>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Cash</w:t>
              <w:br/>
              <w:t>Severance</w:t>
              <w:br/>
              <w:t>(a)(1)</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COBRA</w:t>
              <w:br/>
              <w:t>Premiums</w:t>
              <w:br/>
              <w:t>(b)(2)</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(c)</w:t>
              <w:br/>
              <w:t>($)</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Mimi E. Vaughn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2,088,077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Cassandra E.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Scott E. Becker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484,610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Parag D. Desai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455,866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Andrew I. Gray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18,294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693,294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 xml:space="preserve">Twelve (12) months of such named executive officer’s base salary or, in the case of the chief executive officer of the Company, twenty-four (24) months of such executive’s base salary.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Twelve (12) months of COBRA Premiums (as defined in the Executive Severance Plan) or, in the case of the chief executive officer of the Company, twenty-four (24) months of COBRA Premiums. </w:t>
      </w:r>
    </w:p>
    <w:p>
      <w:pPr>
        <w:pStyle w:val="TextBody"/>
        <w:bidi w:val="0"/>
        <w:spacing w:before="24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0" w:name="ceo_pay_ratio"/>
      <w:bookmarkEnd w:id="40"/>
      <w:r>
        <w:rPr>
          <w:rFonts w:ascii="Arial" w:hAnsi="Arial"/>
          <w:b/>
          <w:color w:val="000000"/>
          <w:sz w:val="20"/>
        </w:rPr>
        <w:t>CEO PAY RATIO</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As required by Section 953(b) of the Dodd-Frank Wall Street Reform and Consumer Protection Act, and Item 402(u) of Regulation S-K, the Company is providing the following information about the relationship of the median annual total compensation of all its employees and the annual total compensation of Mimi E. Vaughn, its CEO for Fiscal 2026. The ratio reported below represents a reasonable estimate, calculated in a manner consistent with Item 402(u) of Regulation S-K.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For Fiscal 2026, the annual total compensation of the Company’s median employee was $3,867. The Company’s median employee was a part-time, hourly-paid employee in one of its retail stores. As reported in the Summary Compensation Table, the annual total compensation of the CEO was $4,444,023.</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Based on this information, the ratio of the annual total compensation of the CEO to the median employee was 1,149 to 1 (the “CEO Pay Ratio”).</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calculating the CEO Pay Ratio, the Company first identified all active employees as of November 1, 2025, a date within three years of the end of Fiscal 2026. Including all full-time, part-time, seasonal and temporary employees, as required by SEC rules, the Company had 13,089 U.S. and 6,022 non-U.S. employees on that date. The Company did not exclude any employees whether pursuant to the de minimis exemption for foreign employees or any other permitted exclusion.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To identify its median employee, the Company used total taxable compensation based on 2025 W-2 income for U.S. employees and the equivalent for non-U.S. employees.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identifying the median employee, the Company did not annualize compensation for any employees who were employed for less than the full fiscal year. For employees not paid in U.S. dollars, the Company converted their pay into U.S. dollars using the average of month-end exchange rates for the twelve months ended December 31, 2025. The Company then determined the median employee’s total compensation, including any perquisites and other benefits, in the same manner that it determines the total compensation of the named executive officers for purposes of the Summary Compensation Table disclosed in this proxy statement.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Pay ratios reported by the Company’s peers may not be directly comparable to the Company’s because of differences in the composition of each company’s workforce, as well as the assumptions, methodologies, adjustments, and estimates used in calculating the pay ratio, as permitted by SEC rules.</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240" w:after="283"/>
        <w:jc w:val="center"/>
        <w:rPr>
          <w:rFonts w:ascii="Arial" w:hAnsi="Arial"/>
          <w:b/>
          <w:color w:val="000000"/>
          <w:sz w:val="20"/>
        </w:rPr>
      </w:pPr>
      <w:bookmarkStart w:id="41" w:name="equity_award_timing_disclosure"/>
      <w:bookmarkEnd w:id="41"/>
      <w:r>
        <w:rPr>
          <w:rFonts w:ascii="Arial" w:hAnsi="Arial"/>
          <w:b/>
          <w:color w:val="000000"/>
          <w:sz w:val="20"/>
        </w:rPr>
        <w:t>EQUITY AWARD TIMING DISCLOSURE</w:t>
      </w:r>
    </w:p>
    <w:p>
      <w:pPr>
        <w:pStyle w:val="TextBody"/>
        <w:bidi w:val="0"/>
        <w:spacing w:before="240" w:after="283"/>
        <w:jc w:val="both"/>
        <w:rPr>
          <w:rFonts w:ascii="Arial" w:hAnsi="Arial"/>
          <w:color w:val="000000"/>
          <w:sz w:val="20"/>
        </w:rPr>
      </w:pPr>
      <w:r>
        <w:rPr>
          <w:rFonts w:ascii="Arial" w:hAnsi="Arial"/>
          <w:color w:val="000000"/>
          <w:sz w:val="20"/>
        </w:rPr>
        <w:t>The Company does not have a program, plan or practice to time the grant of stock options, stock appreciation rights or similar option-like instruments in coordination with the release of material non-public information. The Company did not grant any stock options, stock appreciation rights or similar option-like instruments to any named executive officer during Fiscal 2026.</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2" w:name="pay_versus_performance_table"/>
      <w:bookmarkEnd w:id="42"/>
      <w:r>
        <w:rPr>
          <w:rFonts w:ascii="Arial" w:hAnsi="Arial"/>
          <w:b/>
          <w:caps/>
          <w:color w:val="000000"/>
          <w:sz w:val="20"/>
        </w:rPr>
        <w:t>Pay Versus Performance Table</w:t>
      </w:r>
      <w:r>
        <w:rPr>
          <w:rFonts w:ascii="Times New Roman" w:hAnsi="Times New Roman"/>
          <w:caps/>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following table sets forth additional compensation information of our Principal Executive Officer (“PEO”) and our non-PEO named executive officers (“non-PEO NEOs”) along with total shareholder return, net income (loss) and change in EVA results for Fiscal 2026, Fiscal 2025, Fiscal 2024, Fiscal 2023 and Fiscal 2022. “Compensation actually paid” (“CAP”), as required under SEC rules, reflects adjusted values to unvested and vested equity awards during the fiscal years shown in the table based on year-end stock prices, various accounting valuation assumptions, and projected performance modifiers but does not reflect actual amounts paid out for those awards. For a discussion of how the compensation committee assessed Genesco’s performance and the named executive officers’ pay each year, see the “Compensation Discussion and Analysis” in this proxy statement and in the proxy statements for Fiscal 2022, Fiscal 2023, Fiscal 2024 and Fiscal 2025.</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0"/>
        <w:gridCol w:w="146"/>
        <w:gridCol w:w="201"/>
        <w:gridCol w:w="805"/>
        <w:gridCol w:w="146"/>
        <w:gridCol w:w="146"/>
        <w:gridCol w:w="201"/>
        <w:gridCol w:w="805"/>
        <w:gridCol w:w="151"/>
        <w:gridCol w:w="146"/>
        <w:gridCol w:w="203"/>
        <w:gridCol w:w="816"/>
        <w:gridCol w:w="146"/>
        <w:gridCol w:w="146"/>
        <w:gridCol w:w="201"/>
        <w:gridCol w:w="805"/>
        <w:gridCol w:w="151"/>
        <w:gridCol w:w="146"/>
        <w:gridCol w:w="291"/>
        <w:gridCol w:w="445"/>
        <w:gridCol w:w="186"/>
        <w:gridCol w:w="186"/>
        <w:gridCol w:w="231"/>
        <w:gridCol w:w="424"/>
        <w:gridCol w:w="146"/>
        <w:gridCol w:w="146"/>
        <w:gridCol w:w="292"/>
        <w:gridCol w:w="534"/>
        <w:gridCol w:w="151"/>
        <w:gridCol w:w="146"/>
        <w:gridCol w:w="292"/>
        <w:gridCol w:w="534"/>
        <w:gridCol w:w="200"/>
      </w:tblGrid>
      <w:tr>
        <w:trPr/>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Value of Initial Fixed $100</w:t>
              <w:br/>
              <w:t>Investment Based 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Year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Summary</w:t>
              <w:br/>
              <w:t>Compensation</w:t>
              <w:br/>
              <w:t>Table Total</w:t>
              <w:br/>
              <w:t>for PEO</w:t>
              <w:br/>
              <w:t>($)(1)</w:t>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Compensation</w:t>
              <w:br/>
              <w:t>Actually Paid</w:t>
              <w:br/>
              <w:t>to PEO</w:t>
              <w:br/>
              <w:t>($)(2)</w:t>
              <w:br/>
              <w:t>(c)</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Average</w:t>
              <w:br/>
              <w:t>Summary</w:t>
              <w:br/>
              <w:t>Compensation</w:t>
              <w:br/>
              <w:t>Table Total for</w:t>
              <w:br/>
              <w:t>Non-PEO</w:t>
              <w:br/>
              <w:t>NEOs</w:t>
              <w:br/>
              <w:t>($)(3)</w:t>
              <w:br/>
              <w:t>(d)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Average</w:t>
              <w:br/>
              <w:t>Compensation</w:t>
              <w:br/>
              <w:t>Actually Paid</w:t>
              <w:br/>
              <w:t>to Non-PEO</w:t>
              <w:br/>
              <w:t>NEOs</w:t>
              <w:br/>
              <w:t>($)(4)</w:t>
              <w:br/>
              <w:t>(e)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Genesco</w:t>
              <w:br/>
              <w:t>TSR</w:t>
              <w:br/>
              <w:t>($)(5)</w:t>
              <w:br/>
              <w:t>(f)</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Peer</w:t>
              <w:br/>
              <w:t>Group</w:t>
              <w:br/>
              <w:t>TSR</w:t>
              <w:br/>
              <w:t>($)(6)</w:t>
              <w:br/>
              <w:t>(g)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Net Income</w:t>
              <w:br/>
              <w:t>(Loss)</w:t>
              <w:br/>
              <w:t>($ Millions)</w:t>
              <w:br/>
              <w:t>(7)</w:t>
              <w:br/>
              <w:t>(h)</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Change in</w:t>
              <w:br/>
              <w:t>EVA</w:t>
              <w:br/>
              <w:t>($ Millions)</w:t>
              <w:br/>
              <w:t>(8)</w:t>
              <w:br/>
              <w:t>(i)</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0"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Fiscal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4,444,023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3,135,937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1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1,543,110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1,331,211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Fiscal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5,185,437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7,065,754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1,640,128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2,069,106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Fiscal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4,250,035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(911,957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1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860,620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(183,778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6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Fiscal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3,711,215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3,555,298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942,522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794,370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640"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Fiscal 2022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8,766,458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9,109,572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1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2,876,839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2,887,343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 xml:space="preserve">Reflects compensation amounts reported in the “Summary Compensation Table” for the PEO for the respective years shown.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color w:val="000000"/>
        </w:rPr>
      </w:pPr>
      <w:r>
        <w:rPr>
          <w:color w:val="000000"/>
        </w:rPr>
        <w:t>“</w:t>
      </w:r>
      <w:r>
        <w:rPr>
          <w:rFonts w:ascii="Arial" w:hAnsi="Arial"/>
          <w:color w:val="000000"/>
          <w:sz w:val="20"/>
        </w:rPr>
        <w:t xml:space="preserve">Compensation actually paid” to the PEO in each of Fiscal 2026, Fiscal 2025, Fiscal 2024, Fiscal 2023 and Fiscal 2022 reflects the respective amounts set forth in column (c) above, adjusted as set forth in the table below, as determined in accordance with SEC rules. The dollar amounts reflected in column (c) above do not reflect the actual amount of compensation earned by or paid to our PEO during the applicable year. For information regarding the decisions made by the compensation committee with respect to the PEO compensation for each fiscal year, please see the “Compensation Discussion and Analysis” sections of the proxy statements reporting pay for the fiscal years covered in the table above.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30"/>
        <w:gridCol w:w="146"/>
        <w:gridCol w:w="196"/>
        <w:gridCol w:w="826"/>
        <w:gridCol w:w="146"/>
        <w:gridCol w:w="146"/>
        <w:gridCol w:w="196"/>
        <w:gridCol w:w="886"/>
        <w:gridCol w:w="166"/>
        <w:gridCol w:w="146"/>
        <w:gridCol w:w="196"/>
        <w:gridCol w:w="886"/>
        <w:gridCol w:w="166"/>
        <w:gridCol w:w="146"/>
        <w:gridCol w:w="196"/>
        <w:gridCol w:w="826"/>
        <w:gridCol w:w="166"/>
        <w:gridCol w:w="146"/>
        <w:gridCol w:w="196"/>
        <w:gridCol w:w="886"/>
        <w:gridCol w:w="211"/>
      </w:tblGrid>
      <w:tr>
        <w:trPr/>
        <w:tc>
          <w:tcPr>
            <w:tcW w:w="3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Vaughn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Vaughn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Vaughn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Vaughn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Vaughn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0"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SCT Total Compensation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8,766,458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3,711,215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4,250,035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5,185,437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4,444,023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Stock and Option Award Values Reported</w:t>
              <w:br/>
              <w:t>   in SCT for the Covered Year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5,113,804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2,674,267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3,183,204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3,475,696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2,717,422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0"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Plus: Fair Value for Stock and Option Awards</w:t>
              <w:br/>
              <w:t>   Granted in the Covered Year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2,413,120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4,202,402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1,231,973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4,742,042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4,219,556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 in Fair Value of Outstanding Unvested</w:t>
              <w:br/>
              <w:t>   Stock and Option Awards from Prior Years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2,217,017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(1,290,521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(1,767,052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805,415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(1,512,383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330"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 in Fair Value of Stock and Option</w:t>
              <w:br/>
              <w:t>  Awards from Prior Years that Vested in the</w:t>
              <w:br/>
              <w:t>  Covered Year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826,781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(393,532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(1,443,709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(191,443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(1,297,838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3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Fair Value of Stock and Option Awards</w:t>
              <w:br/>
              <w:t>   Forfeited during the Covered Year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0"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Aggregate Change in Actuarial Present Value</w:t>
              <w:br/>
              <w:t>   of Accumulated Benefit Under Pension Plans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Plus: Aggregate Service Cost and Prior Service</w:t>
              <w:br/>
              <w:t>   Cost for Pension Plans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0"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Compensation Actually Paid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9,109,572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3,555,298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(911,957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7,065,754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3,135,937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Note: Equity Valuations: Stock option grant date fair value is calculated based on the Black-Scholes option pricing model as of date of grant. Adjustments have been made using stock option fair values as of each measurement date using the stock price as of the measurement date and updated assumptions (i.e., term, volatility, dividend yield, risk free rates) as of the measurement date. Time-vested restricted share grant date fair values are calculated using the stock price as of date of grant.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Adjustments have been made using the stock price as of year-end and as of each date of vest.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Note that a portion of Fiscal 2022 bonus was paid in stock in Fiscal 2023, with a grant date of March 24, 2022. Both the cash and equity portions of this bonus were disclosed in the Summary Compensation Table for Fiscal 2022 (the cash was reported as Non-Equity Incentive Plan Compensation and the equity was reported as a Stock Award). Given the early Fiscal 2023 grant date for the equity portion of the bonus, for the “compensation actually paid” calculations, such portion was treated as a subtraction in Fiscal 2022 and an addition in Fiscal 2023.</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(3)</w:t>
      </w:r>
    </w:p>
    <w:p>
      <w:pPr>
        <w:pStyle w:val="TextBody"/>
        <w:bidi w:val="0"/>
        <w:spacing w:before="240" w:after="283"/>
        <w:jc w:val="left"/>
        <w:rPr>
          <w:rFonts w:ascii="Arial" w:hAnsi="Arial"/>
          <w:color w:val="000000"/>
          <w:sz w:val="20"/>
        </w:rPr>
      </w:pPr>
      <w:r>
        <w:rPr>
          <w:rFonts w:ascii="Arial" w:hAnsi="Arial"/>
          <w:color w:val="000000"/>
          <w:sz w:val="20"/>
        </w:rPr>
        <w:t xml:space="preserve">The following non-PEO named executive officers are included in the average figures shown: Harris, Becker, Desai and Gray for Fiscal 2026; Becker, Desai, Harris and Gray for Fiscal 2025; George, Becker, Desai, Daniel E. Ewoldsen and Mario Gallione for Fiscal 2024; George, Gallione, Desai and Ewoldsen for Fiscal 2023; and George, Becker, Gallione and Desai for Fiscal 2022. </w:t>
      </w:r>
    </w:p>
    <w:p>
      <w:pPr>
        <w:pStyle w:val="TextBody"/>
        <w:bidi w:val="0"/>
        <w:spacing w:before="240" w:after="283"/>
        <w:jc w:val="left"/>
        <w:rPr>
          <w:rFonts w:ascii="Arial" w:hAnsi="Arial"/>
          <w:color w:val="000000"/>
          <w:sz w:val="20"/>
        </w:rPr>
      </w:pPr>
      <w:r>
        <w:rPr>
          <w:rFonts w:ascii="Arial" w:hAnsi="Arial"/>
          <w:color w:val="000000"/>
          <w:sz w:val="20"/>
        </w:rPr>
        <w:t>(4)</w:t>
      </w:r>
    </w:p>
    <w:p>
      <w:pPr>
        <w:pStyle w:val="TextBody"/>
        <w:bidi w:val="0"/>
        <w:spacing w:before="240" w:after="283"/>
        <w:jc w:val="left"/>
        <w:rPr>
          <w:rFonts w:ascii="Arial" w:hAnsi="Arial"/>
          <w:color w:val="000000"/>
          <w:sz w:val="20"/>
        </w:rPr>
      </w:pPr>
      <w:r>
        <w:rPr>
          <w:rFonts w:ascii="Arial" w:hAnsi="Arial"/>
          <w:color w:val="000000"/>
          <w:sz w:val="20"/>
        </w:rPr>
        <w:t xml:space="preserve">Average “compensation actually paid” for our non-PEO NEOs in each of Fiscal 2026, Fiscal 2025, Fiscal 2024, Fiscal 2023 and Fiscal 2022 reflects the respective amounts set forth in column (e) of the table above, adjusted as set forth in the table below, as determined in accordance with SEC rules. The dollar amounts reflected in column (e) of the table above do not reflect the actual amount of compensation earned by or paid to our non-PEO NEOs during the applicable year. For information regarding the decisions made by our compensation committee in regards to the non-PEO NEOs’ compensation for each fiscal year, please see the “Compensation Discussion and Analysis” sections of the proxy statements reporting pay for the fiscal years covered in the table above.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48"/>
        <w:gridCol w:w="146"/>
        <w:gridCol w:w="202"/>
        <w:gridCol w:w="855"/>
        <w:gridCol w:w="146"/>
        <w:gridCol w:w="146"/>
        <w:gridCol w:w="216"/>
        <w:gridCol w:w="831"/>
        <w:gridCol w:w="166"/>
        <w:gridCol w:w="146"/>
        <w:gridCol w:w="216"/>
        <w:gridCol w:w="831"/>
        <w:gridCol w:w="166"/>
        <w:gridCol w:w="146"/>
        <w:gridCol w:w="202"/>
        <w:gridCol w:w="855"/>
        <w:gridCol w:w="166"/>
        <w:gridCol w:w="146"/>
        <w:gridCol w:w="202"/>
        <w:gridCol w:w="855"/>
        <w:gridCol w:w="218"/>
      </w:tblGrid>
      <w:tr>
        <w:trPr/>
        <w:tc>
          <w:tcPr>
            <w:tcW w:w="3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3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Non-PEO NEOs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See Column</w:t>
              <w:br/>
              <w:t>(d) 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See Column</w:t>
              <w:br/>
              <w:t>(d) Note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See Column</w:t>
              <w:br/>
              <w:t>(d) Note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See Column</w:t>
              <w:br/>
              <w:t>(d) Note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See Column</w:t>
              <w:br/>
              <w:t>(d) Note</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8"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SCT Total Compensation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2,876,839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942,522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860,620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1,640,128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1,543,110</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Stock and Option Award Values Reported</w:t>
              <w:br/>
              <w:t>   in SCT for the Covered Year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1,538,400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353,906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393,522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911,866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447,872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8"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Plus: Fair Value for Stock and Option Awards</w:t>
              <w:br/>
              <w:t>   Granted in the Covered Year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887,769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641,691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168,250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1,058,716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750,625</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 in Fair Value of Outstanding Unvested</w:t>
              <w:br/>
              <w:t>   Stock and Option Awards from Prior Years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452,546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(314,332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(253,562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(386,011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348"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Plus Fair Value at Vesting Date of Awards</w:t>
              <w:br/>
              <w:t>   Granted and Vested During the Fiscal</w:t>
              <w:br/>
              <w:t>   Year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242,632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 in Fair Value of Stock and Option Awards</w:t>
              <w:br/>
              <w:t>   from Prior Years that Vested in the Covered</w:t>
              <w:br/>
              <w:t>   Year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(316,954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(128,640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348"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Fair Value of Stock and Option Awards</w:t>
              <w:br/>
              <w:t>   Forfeited during the Covered Year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248,610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Aggregate Change in Actuarial Present</w:t>
              <w:br/>
              <w:t>   Value of Accumulated Benefit Under Pension</w:t>
              <w:br/>
              <w:t>   Plans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8"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Plus: Aggregate Service Cost and Prior Service</w:t>
              <w:br/>
              <w:t>   Cost for Pension Plans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Compensation Actually Paid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2,887,343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794,370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2,069,106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1,331,211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Note: Equity Valuations: Stock option grant date fair value is calculated based on the Black-Scholes option pricing model as of date of grant. Adjustments have been made using stock option fair values as of each measurement date using the stock price as of the measurement date and updated assumptions (i.e., term, volatility, dividend yield, risk free rates) as of the measurement date. Time-vested restricted share grant date fair values are calculated using the stock price as of date of grant.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Adjustments have been made using the stock price as of year-end and as of each date of vest.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Note that a portion of Fiscal 2022 bonus was paid in stock in Fiscal 2023, with a grant date of March 24, 2022. Both the cash and equity portions of this bonus were disclosed in the Summary Compensation Table for Fiscal 2022 (the cash was reported as Non-Equity Incentive Plan Compensation and the equity was reported as a Stock Award). Given the early Fiscal 2023 grant date for the equity portion of the bonus, for the “compensation actually paid” calculations, such portion was treated as a subtraction in Fiscal 2022 and an addition in Fiscal 2023.</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 xml:space="preserve">For the relevant fiscal year, represents the cumulative value of $100 invested in Genesco for the measurement periods beginning on January 30, 2021 and ending on January 31, 2026, February 1, 2025, February 3, 2024, January 28, 2023, and January 29, 2022, respectively. </w:t>
      </w:r>
    </w:p>
    <w:p>
      <w:pPr>
        <w:pStyle w:val="TextBody"/>
        <w:bidi w:val="0"/>
        <w:spacing w:before="120" w:after="283"/>
        <w:jc w:val="left"/>
        <w:rPr>
          <w:rFonts w:ascii="Arial" w:hAnsi="Arial"/>
          <w:color w:val="000000"/>
          <w:sz w:val="20"/>
        </w:rPr>
      </w:pPr>
      <w:r>
        <w:rPr>
          <w:rFonts w:ascii="Arial" w:hAnsi="Arial"/>
          <w:color w:val="000000"/>
          <w:sz w:val="20"/>
        </w:rPr>
        <w:t>(6)</w:t>
      </w:r>
    </w:p>
    <w:p>
      <w:pPr>
        <w:pStyle w:val="TextBody"/>
        <w:bidi w:val="0"/>
        <w:spacing w:before="120" w:after="283"/>
        <w:jc w:val="left"/>
        <w:rPr>
          <w:rFonts w:ascii="Arial" w:hAnsi="Arial"/>
          <w:color w:val="000000"/>
          <w:sz w:val="20"/>
        </w:rPr>
      </w:pPr>
      <w:r>
        <w:rPr>
          <w:rFonts w:ascii="Arial" w:hAnsi="Arial"/>
          <w:color w:val="000000"/>
          <w:sz w:val="20"/>
        </w:rPr>
        <w:t xml:space="preserve">For the relevant fiscal year, represents the cumulative TSR (“Peer Group TSR”) of the annual report Peer Group consisting of Caleres, Inc., Designer Brands, Foot Locker, Inc. - included through September 8, 2025 when it was acquired by DICK's Sporting Goods, Inc., Shoe Carnival, Inc. and Wolverine World Wide, Inc. (the “Peer Group”) for the measurement periods beginning on January 30, 2021 and ending on January 31, 2026, February 1, 2025, February 3, 2024, January 28, 2023 and January 29, 2022, respectively. </w:t>
      </w:r>
    </w:p>
    <w:p>
      <w:pPr>
        <w:pStyle w:val="TextBody"/>
        <w:bidi w:val="0"/>
        <w:spacing w:before="120" w:after="283"/>
        <w:jc w:val="left"/>
        <w:rPr>
          <w:rFonts w:ascii="Arial" w:hAnsi="Arial"/>
          <w:color w:val="000000"/>
          <w:sz w:val="20"/>
        </w:rPr>
      </w:pPr>
      <w:r>
        <w:rPr>
          <w:rFonts w:ascii="Arial" w:hAnsi="Arial"/>
          <w:color w:val="000000"/>
          <w:sz w:val="20"/>
        </w:rPr>
        <w:t>(7)</w:t>
      </w:r>
    </w:p>
    <w:p>
      <w:pPr>
        <w:pStyle w:val="TextBody"/>
        <w:bidi w:val="0"/>
        <w:spacing w:before="120" w:after="283"/>
        <w:jc w:val="left"/>
        <w:rPr>
          <w:rFonts w:ascii="Arial" w:hAnsi="Arial"/>
          <w:color w:val="000000"/>
          <w:sz w:val="20"/>
        </w:rPr>
      </w:pPr>
      <w:r>
        <w:rPr>
          <w:rFonts w:ascii="Arial" w:hAnsi="Arial"/>
          <w:color w:val="000000"/>
          <w:sz w:val="20"/>
        </w:rPr>
        <w:t xml:space="preserve">Reflects “Net Income (Loss)” in the Company’s Consolidated Statements of Operations included in the Company’s Annual Reports on Form 10-K for each of the years ended January 31, 2026, February 1, 2025, February 3, 2024, January 28, 2023 and January 29, 2022. </w:t>
      </w:r>
    </w:p>
    <w:p>
      <w:pPr>
        <w:pStyle w:val="TextBody"/>
        <w:bidi w:val="0"/>
        <w:spacing w:before="120" w:after="283"/>
        <w:jc w:val="left"/>
        <w:rPr>
          <w:rFonts w:ascii="Arial" w:hAnsi="Arial"/>
          <w:color w:val="000000"/>
          <w:sz w:val="20"/>
        </w:rPr>
      </w:pPr>
      <w:r>
        <w:rPr>
          <w:rFonts w:ascii="Arial" w:hAnsi="Arial"/>
          <w:color w:val="000000"/>
          <w:sz w:val="20"/>
        </w:rPr>
        <w:t>(8)</w:t>
      </w:r>
    </w:p>
    <w:p>
      <w:pPr>
        <w:pStyle w:val="TextBody"/>
        <w:bidi w:val="0"/>
        <w:spacing w:before="120" w:after="283"/>
        <w:jc w:val="left"/>
        <w:rPr>
          <w:rFonts w:ascii="Arial" w:hAnsi="Arial"/>
          <w:color w:val="000000"/>
          <w:sz w:val="20"/>
        </w:rPr>
      </w:pPr>
      <w:r>
        <w:rPr>
          <w:rFonts w:ascii="Arial" w:hAnsi="Arial"/>
          <w:color w:val="000000"/>
          <w:sz w:val="20"/>
        </w:rPr>
        <w:t xml:space="preserve">Company-Selected Measure is change in economic value added, or EVA. The Company determined EVA in Fiscal 2026 by subtracting from a business unit’s “net operating profit after taxes,” or NOPAT, a charge of 10% of the “average net assets” employed to generate the profit. EVA, NOPAT and average net assets are non-GAAP financial measures the Company computes utilizing, and for purposes of supplementing, certain financial metrics included in the Company’s audited consolidated financial statements, which are prepared in accordance with GAAP. For more information on EVA, NOPAT and average net assets, please see “EVA Calculations” above in “Executive Compensation — Compensation Discussion and Analysis — Fiscal 2026 Compensation Discussion.” </w:t>
      </w:r>
    </w:p>
    <w:p>
      <w:pPr>
        <w:pStyle w:val="TextBody"/>
        <w:bidi w:val="0"/>
        <w:spacing w:before="24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Relationship between Pay and Performance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Below are graphs showing the relationship of “compensation actually paid” to our Chief Executive Officer and other named executive officers in Fiscal 2022, Fiscal 2023, Fiscal 2024, Fiscal 2025 and Fiscal 2026 to (1) TSR of both Genesco and the Peer Group, (2) Genesco’s net income (loss) and (3) Genesco’s change in EVA.</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drawing>
          <wp:inline distT="0" distB="0" distL="0" distR="0">
            <wp:extent cx="4495800" cy="2428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495800" cy="2428875"/>
                    </a:xfrm>
                    <a:prstGeom prst="rect">
                      <a:avLst/>
                    </a:prstGeom>
                  </pic:spPr>
                </pic:pic>
              </a:graphicData>
            </a:graphic>
          </wp:inline>
        </w:drawing>
      </w:r>
    </w:p>
    <w:p>
      <w:pPr>
        <w:pStyle w:val="TextBody"/>
        <w:bidi w:val="0"/>
        <w:jc w:val="left"/>
        <w:rPr/>
      </w:pPr>
      <w:r>
        <w:rPr/>
        <w:t> </w:t>
      </w:r>
    </w:p>
    <w:p>
      <w:pPr>
        <w:pStyle w:val="TextBody"/>
        <w:bidi w:val="0"/>
        <w:jc w:val="center"/>
        <w:rPr/>
      </w:pPr>
      <w:r>
        <w:rPr/>
        <w:drawing>
          <wp:inline distT="0" distB="0" distL="0" distR="0">
            <wp:extent cx="4505325" cy="2428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505325" cy="2428875"/>
                    </a:xfrm>
                    <a:prstGeom prst="rect">
                      <a:avLst/>
                    </a:prstGeom>
                  </pic:spPr>
                </pic:pic>
              </a:graphicData>
            </a:graphic>
          </wp:inline>
        </w:drawing>
      </w:r>
    </w:p>
    <w:p>
      <w:pPr>
        <w:pStyle w:val="TextBody"/>
        <w:bidi w:val="0"/>
        <w:spacing w:before="24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drawing>
          <wp:inline distT="0" distB="0" distL="0" distR="0">
            <wp:extent cx="4505325" cy="24098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505325" cy="2409825"/>
                    </a:xfrm>
                    <a:prstGeom prst="rect">
                      <a:avLst/>
                    </a:prstGeom>
                  </pic:spPr>
                </pic:pic>
              </a:graphicData>
            </a:graphic>
          </wp:inline>
        </w:drawing>
      </w:r>
    </w:p>
    <w:p>
      <w:pPr>
        <w:pStyle w:val="TextBody"/>
        <w:bidi w:val="0"/>
        <w:spacing w:before="360" w:after="283"/>
        <w:jc w:val="left"/>
        <w:rPr>
          <w:rFonts w:ascii="Times New Roman" w:hAnsi="Times New Roman"/>
          <w:sz w:val="20"/>
        </w:rPr>
      </w:pPr>
      <w:r>
        <w:rPr>
          <w:rFonts w:ascii="Arial" w:hAnsi="Arial"/>
          <w:b/>
          <w:color w:val="000000"/>
          <w:sz w:val="20"/>
        </w:rPr>
        <w:t>List of Performance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Listed below are the performance measures which in our assessment represent the most important financial performance measures we use to link compensation actually paid to our named executive officers, for Fiscal 2026, to Company performance.</w:t>
      </w:r>
      <w:r>
        <w:rPr>
          <w:rFonts w:ascii="Times New Roman" w:hAnsi="Times New Roman"/>
          <w:color w:val="000000"/>
          <w:sz w:val="20"/>
        </w:rPr>
        <w:t xml:space="preserve"> </w:t>
      </w:r>
    </w:p>
    <w:p>
      <w:pPr>
        <w:pStyle w:val="TextBody"/>
        <w:bidi w:val="0"/>
        <w:jc w:val="left"/>
        <w:rPr/>
      </w:pPr>
      <w:r>
        <w:rPr/>
        <w:t> </w:t>
      </w:r>
    </w:p>
    <w:tbl>
      <w:tblPr>
        <w:tblW w:w="3823" w:type="dxa"/>
        <w:jc w:val="left"/>
        <w:tblInd w:w="0" w:type="dxa"/>
        <w:tblLayout w:type="fixed"/>
        <w:tblCellMar>
          <w:top w:w="28" w:type="dxa"/>
          <w:left w:w="28" w:type="dxa"/>
          <w:bottom w:w="28" w:type="dxa"/>
          <w:right w:w="28" w:type="dxa"/>
        </w:tblCellMar>
      </w:tblPr>
      <w:tblGrid>
        <w:gridCol w:w="2491"/>
        <w:gridCol w:w="146"/>
        <w:gridCol w:w="146"/>
        <w:gridCol w:w="886"/>
        <w:gridCol w:w="154"/>
      </w:tblGrid>
      <w:tr>
        <w:trPr/>
        <w:tc>
          <w:tcPr>
            <w:tcW w:w="24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Arial" w:hAnsi="Arial"/>
                <w:b/>
                <w:color w:val="000000"/>
                <w:sz w:val="16"/>
              </w:rPr>
            </w:pPr>
            <w:r>
              <w:rPr>
                <w:rFonts w:ascii="Arial" w:hAnsi="Arial"/>
                <w:b/>
                <w:color w:val="000000"/>
                <w:sz w:val="16"/>
              </w:rPr>
              <w:t>Measure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6"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Nature</w:t>
            </w:r>
          </w:p>
        </w:tc>
        <w:tc>
          <w:tcPr>
            <w:tcW w:w="154"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in EVA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Financial</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Financial</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3" w:name="director_compensation"/>
      <w:bookmarkEnd w:id="43"/>
      <w:r>
        <w:rPr>
          <w:rFonts w:ascii="Arial" w:hAnsi="Arial"/>
          <w:b/>
          <w:color w:val="000000"/>
          <w:sz w:val="20"/>
        </w:rPr>
        <w:t>DIRECTOR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Cash and Equity-Based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For Fiscal 2026, directors were paid an annual cash retainer of $90,000. In addition to their retainer as directors, the lead independent director and the chairpersons of the Board committees received the following additional annual cash retainers: lead independent director, $35,000; audit committee, $30,000; compensation committee, $25,000; and nominating and governance committee, $20,000. Non-employee directors are also granted equity compensation in the amount of $120,000. The Company reimburses directors for their reasonable out-of-pocket expenses incurred in attending Board and committee meetings. Directors who are full-time Company employees do not receive any extra compensation for serving as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following table shows, for each director of the Company who was a member of the Board during Fiscal 2026 and who is not also a named executive officer, information about the director’s compensation in Fiscal 2026.</w:t>
      </w:r>
      <w:r>
        <w:rPr>
          <w:rFonts w:ascii="Times New Roman" w:hAnsi="Times New Roman"/>
          <w:color w:val="000000"/>
          <w:sz w:val="20"/>
        </w:rPr>
        <w:t xml:space="preserve"> </w:t>
      </w:r>
    </w:p>
    <w:p>
      <w:pPr>
        <w:pStyle w:val="TextBody"/>
        <w:bidi w:val="0"/>
        <w:jc w:val="left"/>
        <w:rPr/>
      </w:pPr>
      <w:r>
        <w:rPr/>
        <w:t> </w:t>
      </w:r>
    </w:p>
    <w:tbl>
      <w:tblPr>
        <w:tblW w:w="6271" w:type="dxa"/>
        <w:jc w:val="left"/>
        <w:tblInd w:w="0" w:type="dxa"/>
        <w:tblLayout w:type="fixed"/>
        <w:tblCellMar>
          <w:top w:w="28" w:type="dxa"/>
          <w:left w:w="28" w:type="dxa"/>
          <w:bottom w:w="28" w:type="dxa"/>
          <w:right w:w="28" w:type="dxa"/>
        </w:tblCellMar>
      </w:tblPr>
      <w:tblGrid>
        <w:gridCol w:w="2086"/>
        <w:gridCol w:w="146"/>
        <w:gridCol w:w="146"/>
        <w:gridCol w:w="796"/>
        <w:gridCol w:w="146"/>
        <w:gridCol w:w="146"/>
        <w:gridCol w:w="146"/>
        <w:gridCol w:w="146"/>
        <w:gridCol w:w="796"/>
        <w:gridCol w:w="146"/>
        <w:gridCol w:w="146"/>
        <w:gridCol w:w="146"/>
        <w:gridCol w:w="146"/>
        <w:gridCol w:w="796"/>
        <w:gridCol w:w="14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b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Fees Earned</w:t>
              <w:br/>
              <w:t>or Paid in</w:t>
              <w:br/>
              <w:t>Cash</w:t>
              <w:br/>
              <w:t>($)</w:t>
              <w:br/>
              <w:t>(b)(1)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w:t>
              <w:br/>
              <w:t>Awards</w:t>
              <w:br/>
              <w:t>($)</w:t>
              <w:br/>
              <w:t>(c)(2)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w:t>
              <w:br/>
              <w:t>(h)</w:t>
            </w:r>
          </w:p>
        </w:tc>
      </w:tr>
      <w:tr>
        <w:trPr/>
        <w:tc>
          <w:tcPr>
            <w:tcW w:w="208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Joanna Barsh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110,346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220,346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Matthew M. Bilunas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Carolyn Bojanowski</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110,346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200,346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John F. Lambros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Thurgood Marshall, Jr.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110,346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200,346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Angel R. Martinez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Mary E. Meixelsperger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110,346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230,346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Gregory A. Sandfort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 xml:space="preserve">Cash fees include annual director’s retainer and, where applicable, lead director and committee chair fees. </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 xml:space="preserve">The amounts in column (c) represent the aggregate grant date fair value of restricted stock amounts, calculated by multiplying the closing price of the Company’s common stock on the NYSE on the grant date by the number of shares granted. On June 26, 2025, the Board granted shares of restricted stock with a value (at the average closing price of the common stock on the NYSE for the thirty-day period prior to the determination of the number of shares to be granted) of $120,000 to each of the non-employee directors pursuant to the Amended and Restated 2020 Equity Incentive Plan. The shares granted to directors in Fiscal 2026 vest on the earlier of the 2026 Annual Meeting and the first anniversary of the grant date, subject to continued service on the Board. At January 31, 2026, directors who were not also named executive officers had the following restricted stock awards outstanding: </w:t>
      </w:r>
    </w:p>
    <w:p>
      <w:pPr>
        <w:pStyle w:val="TextBody"/>
        <w:bidi w:val="0"/>
        <w:jc w:val="left"/>
        <w:rPr/>
      </w:pPr>
      <w:r>
        <w:rPr/>
        <w:t> </w:t>
      </w:r>
    </w:p>
    <w:tbl>
      <w:tblPr>
        <w:tblW w:w="3388" w:type="dxa"/>
        <w:jc w:val="left"/>
        <w:tblInd w:w="0" w:type="dxa"/>
        <w:tblLayout w:type="fixed"/>
        <w:tblCellMar>
          <w:top w:w="28" w:type="dxa"/>
          <w:left w:w="28" w:type="dxa"/>
          <w:bottom w:w="28" w:type="dxa"/>
          <w:right w:w="28" w:type="dxa"/>
        </w:tblCellMar>
      </w:tblPr>
      <w:tblGrid>
        <w:gridCol w:w="2086"/>
        <w:gridCol w:w="146"/>
        <w:gridCol w:w="157"/>
        <w:gridCol w:w="633"/>
        <w:gridCol w:w="157"/>
        <w:gridCol w:w="209"/>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Restricted</w:t>
              <w:br/>
              <w:t>Shares</w:t>
              <w:br/>
              <w:t>Outstanding</w:t>
            </w:r>
          </w:p>
        </w:tc>
      </w:tr>
      <w:tr>
        <w:trPr/>
        <w:tc>
          <w:tcPr>
            <w:tcW w:w="208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Joanna Barsh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Matthew M. Bilunas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Carolyn Bojanowski</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John F. Lambros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Thurgood Marshall, Jr.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Angel R. Martinez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Mary E. Meixelsperger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Gregory A. Sandfort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4" w:name="proposal_2"/>
      <w:bookmarkEnd w:id="44"/>
      <w:r>
        <w:rPr>
          <w:rFonts w:ascii="Arial" w:hAnsi="Arial"/>
          <w:b/>
          <w:color w:val="000000"/>
          <w:sz w:val="20"/>
        </w:rPr>
        <w:t>PROPOSAL 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ADVISORY VOTE ON COMPENSATION OF NAMED EXECUTIVE OFFICERS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U.S. Congress has enacted requirements commonly referred to as the “Say on Pay” rules. As required by Section 14A of the Exchange Act, the Company seeks shareholders’ non-binding, advisory vote to approve the compensation of the named executive officers as disclosed in the “Compensation Discussion and Analysis” section, the accompanying tables and related narrative discussion contained in this proxy statement.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As described in detail in the “Compensation Discussion and Analysis” section, the Company’s executive compensation programs are designed to attract and retain executive officers with the skills necessary to achieve its financial and strategic objectives. The Company’s executives are rewarded for their contributions through appropriate incentives tied to the Company’s performance and market value that seek to align their interests with those of its shareholders. The Company believes that the compensation of its named executive officers was reasonable and rewarded the named executive officers for attaining specified goals which do not promote the taking of an unreasonable amount of risk. The “Compensation Discussion and Analysis” section of this proxy statement and the related tables and narrative discussion provide additional details on the Company’s executive compensation, including its compensation philosophy and objectives and the Fiscal 2026 compensation of the named executive officers.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2026 “Say on Pay” proposal gives you as a shareholder another opportunity to endorse or not endorse the compensation the Company paid to the named executive officers through the following resolution: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RESOLVED: That the shareholders of Genesco Inc. approve the compensation of the Company’s named executive officers, as disclosed pursuant to Item 402 of Regulation S-K, including the “Compensation Discussion and Analysis” section and related compensation tables, notes and narrative in the proxy statement for the Company’s 2026 Annual Meeting of Shareholders.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Because your vote is advisory, it will not be binding on the Board or the Company. However, the Board will review the voting results and take them into consideration when making future decisions regarding executive compensation for named executive officers. The current frequency of the non-binding, advisory vote to approve the compensation of all named executive officers is annual. The next such vote will occur at the 2027 annual meeting of shareholders.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The Board unanimously recommends a vote FOR the approval of the Company’s compensation of our named executive officers on a non-binding, advisory basis.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5" w:name="proposal_3"/>
      <w:bookmarkEnd w:id="45"/>
      <w:r>
        <w:rPr>
          <w:rFonts w:ascii="Arial" w:hAnsi="Arial"/>
          <w:b/>
          <w:color w:val="000000"/>
          <w:sz w:val="20"/>
        </w:rPr>
        <w:t>PROPOSAL 3</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aps/>
          <w:color w:val="000000"/>
          <w:sz w:val="20"/>
        </w:rPr>
        <w:t>A PROPOSAL TO APPROVE the Genesco inc.</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Arial" w:hAnsi="Arial"/>
          <w:b/>
          <w:caps/>
          <w:color w:val="000000"/>
          <w:sz w:val="20"/>
        </w:rPr>
        <w:t>FOURTH Amended and Restated 2020 Equity Incentive Plan</w:t>
      </w:r>
      <w:r>
        <w:rPr>
          <w:rFonts w:ascii="Times New Roman" w:hAnsi="Times New Roman"/>
          <w:caps/>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compensation committee and the Board believe that a key element of officer, key employee, non-employee director and consultant compensation is stock-based incentive compensation. Stock-based compensation advances the interests of the Company by encouraging and providing for the acquisition of equity interests in the Company by officers, key employees, non-employee directors and consultants, thereby providing substantial motivation for superior performance and aligning their interest with shareholders of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May 2026, the Board adopted, subject to shareholder approval, the Genesco Inc. Fourth Amended and Restated 2020 Equity Incentive Plan, which is an amendment and restatement of the Third Amended and Restated 2020 Equity Incentive Plan (for purposes of this Proposal 3, as proposed to be amended and restated, the “Amended Plan,” and as currently in effect, the “Plan”). The Amended Plan is designed to enhance the flexibility to adapt to changing economic and competitive conditions and to grant equity awards to our officers, key employees, non-employee directors and consultants, and to ensure that we can continue to grant equity awards to other eligible recipients at levels determined to be appropriate by the Board and/or the compensation committee. If approved by our shareholders, the Amended Plan will be effective as of July 21, 2026 (the “Effective Date”).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Approval of the Amended Plan will increase by 1,200,000 shares the total number of shares available for issuance as of the Effective Date to 1,623,147 shares (which includes the 1,200,000 additional shares and the 423,147 shares available for grant as of April 30, 2026, under the Plan), less any shares granted under the Plan after April 30, 2026 and prior to the Effective Date, deducted at the fungible ratio described below. In connection with the Amended Plan, no substantive changes have been made to the Plan with the exception of (i) replenishing the share reserve, (ii) revising the ratio at which full-value awards are debited from the share reserve, and (iii) clarifying that performance awards may be settled in cash, shares, or any combination thereof, as determined by the compensation committee in its sole discretion. For a description of the material terms of the Amended Plan, see “Summary of Material Features of the Amended Plan” below. We request and recommend that our shareholders approve the Amended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As noted above, as of April 30, 2026, there were 423,147 shares of common stock available for issuance under the Plan. Annual PSU grants for Fiscal 2027 had not yet been made as of April 30, 2026 and will need to come out of the Plan’s (or the Amended Plan’s, as applicable) share reserve. If our shareholders do not approve the proposed share increase contemplated by the Amended Plan, we believe we will not be able to continue to offer competitive equity packages to retain our current employees and hire new employees, and that we may not be competitive with other companies that offer equity incentives. If the Amended Plan is not approved by our shareholders, the Plan will remain in effect. The Plan is the only shareholder-approved equity plan under which the Company can currently grant equity awards. In determining the increase in the number of shares to be made available for grant as contemplated by the Amended Plan, the Board and the compensation committee considered the number and types of awards made by the Company in recent years under the Plan, the expected future practices with respect to equity awards to the Company’s executive officers and proxy advisory firm guidelines.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The compensation committee and the Board believe that approval of the Amended Plan is essential to further the long-term stability and financial success of the Company by permitting the Company to continue to grant equity awards to attract, motivate and retain qualified officers, key employees, non-employee directors and consultants, in all cases at levels determined to be appropriate by the Board and/or the compensation committee and in accordance with the terms of the Amended Plan. A copy of the Amended Plan is attached as </w:t>
      </w:r>
      <w:r>
        <w:rPr>
          <w:rFonts w:ascii="Arial" w:hAnsi="Arial"/>
          <w:color w:val="000000"/>
          <w:sz w:val="20"/>
          <w:u w:val="single"/>
        </w:rPr>
        <w:t>Appendix A</w:t>
      </w:r>
      <w:r>
        <w:rPr>
          <w:rFonts w:ascii="Times New Roman" w:hAnsi="Times New Roman"/>
          <w:color w:val="000000"/>
          <w:sz w:val="20"/>
        </w:rPr>
        <w:t xml:space="preserve"> </w:t>
      </w:r>
      <w:r>
        <w:rPr>
          <w:rFonts w:ascii="Arial" w:hAnsi="Arial"/>
          <w:color w:val="000000"/>
          <w:sz w:val="20"/>
        </w:rPr>
        <w:t>to this proxy statement and is incorporated herein by reference.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The Board unanimously recommends a vote FOR approval of the Genesco Inc. Fourth Amended and Restated 2020 Equity Incentive Plan and your proxy will be so voted unless you specify otherwise.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u w:val="single"/>
        </w:rPr>
        <w:t>Summary of Material Features of the Amended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material features of the Amended Plan that is being submitted to the shareholders for approval include the following:</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75"/>
        <w:gridCol w:w="146"/>
        <w:gridCol w:w="8584"/>
      </w:tblGrid>
      <w:tr>
        <w:trPr/>
        <w:tc>
          <w:tcPr>
            <w:tcW w:w="147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84" w:type="dxa"/>
            <w:tcBorders/>
            <w:shd w:fill="FFFFFF" w:val="clear"/>
            <w:vAlign w:val="center"/>
          </w:tcPr>
          <w:p>
            <w:pPr>
              <w:pStyle w:val="TableContents"/>
              <w:bidi w:val="0"/>
              <w:spacing w:before="0" w:after="283"/>
              <w:jc w:val="left"/>
              <w:rPr>
                <w:sz w:val="4"/>
                <w:szCs w:val="4"/>
              </w:rPr>
            </w:pPr>
            <w:r>
              <w:rPr>
                <w:sz w:val="4"/>
                <w:szCs w:val="4"/>
              </w:rPr>
            </w:r>
          </w:p>
        </w:tc>
      </w:tr>
      <w:tr>
        <w:trPr/>
        <w:tc>
          <w:tcPr>
            <w:tcW w:w="1475"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Arial" w:hAnsi="Arial"/>
                <w:b/>
                <w:color w:val="000000"/>
                <w:sz w:val="16"/>
              </w:rPr>
            </w:pPr>
            <w:r>
              <w:rPr>
                <w:rFonts w:ascii="Arial" w:hAnsi="Arial"/>
                <w:b/>
                <w:color w:val="000000"/>
                <w:sz w:val="16"/>
              </w:rPr>
              <w:t>Amended Plan Feature(1)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84" w:type="dxa"/>
            <w:tcBorders>
              <w:bottom w:val="single" w:sz="6" w:space="0" w:color="000000"/>
            </w:tcBorders>
            <w:tcMar>
              <w:top w:w="0" w:type="dxa"/>
              <w:left w:w="0" w:type="dxa"/>
              <w:right w:w="0" w:type="dxa"/>
            </w:tcMar>
            <w:vAlign w:val="center"/>
          </w:tcPr>
          <w:p>
            <w:pPr>
              <w:pStyle w:val="TableContents"/>
              <w:bidi w:val="0"/>
              <w:spacing w:before="0" w:after="20"/>
              <w:jc w:val="left"/>
              <w:rPr>
                <w:rFonts w:ascii="Arial" w:hAnsi="Arial"/>
                <w:b/>
                <w:color w:val="000000"/>
                <w:sz w:val="16"/>
              </w:rPr>
            </w:pPr>
            <w:r>
              <w:rPr>
                <w:rFonts w:ascii="Arial" w:hAnsi="Arial"/>
                <w:b/>
                <w:color w:val="000000"/>
                <w:sz w:val="16"/>
              </w:rPr>
              <w:t>Amended Plan Terms</w:t>
            </w:r>
          </w:p>
        </w:tc>
      </w:tr>
      <w:tr>
        <w:trPr/>
        <w:tc>
          <w:tcPr>
            <w:tcW w:w="1475" w:type="dxa"/>
            <w:tcBorders/>
            <w:tcMar>
              <w:top w:w="0" w:type="dxa"/>
              <w:left w:w="0" w:type="dxa"/>
              <w:bottom w:w="0" w:type="dxa"/>
              <w:right w:w="0" w:type="dxa"/>
            </w:tcMar>
            <w:vAlign w:val="center"/>
          </w:tcPr>
          <w:p>
            <w:pPr>
              <w:pStyle w:val="TableContents"/>
              <w:bidi w:val="0"/>
              <w:jc w:val="left"/>
              <w:rPr>
                <w:rFonts w:ascii="Arial" w:hAnsi="Arial"/>
                <w:b/>
                <w:color w:val="000000"/>
                <w:sz w:val="20"/>
              </w:rPr>
            </w:pPr>
            <w:r>
              <w:rPr>
                <w:rFonts w:ascii="Arial" w:hAnsi="Arial"/>
                <w:b/>
                <w:color w:val="000000"/>
                <w:sz w:val="20"/>
              </w:rPr>
              <w:t>Authorized Shares</w:t>
            </w:r>
          </w:p>
          <w:p>
            <w:pPr>
              <w:pStyle w:val="TableContents"/>
              <w:bidi w:val="0"/>
              <w:spacing w:before="0" w:after="20"/>
              <w:jc w:val="left"/>
              <w:rPr>
                <w:rFonts w:ascii="Arial" w:hAnsi="Arial"/>
                <w:i/>
                <w:color w:val="000000"/>
                <w:sz w:val="20"/>
              </w:rPr>
            </w:pPr>
            <w:r>
              <w:rPr>
                <w:rFonts w:ascii="Arial" w:hAnsi="Arial"/>
                <w:i/>
                <w:color w:val="000000"/>
                <w:sz w:val="20"/>
              </w:rPr>
              <w:t>(Section 4.1 of the Amended Plan)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 of the Effective Date, (a) 1,623,147 (which includes (i) 1,200,000 additional shares authorized pursuant to the Amended Plan, and (ii) 423,147 shares authorized and available for grant as of April 30, 2026, under the Plan), less (b) any shares (adjusted based on the fungible share counting provision set forth below) granted under the Plan after April 30, 2026 and prior to the Effective Date.</w:t>
            </w:r>
          </w:p>
        </w:tc>
      </w:tr>
      <w:tr>
        <w:trPr/>
        <w:tc>
          <w:tcPr>
            <w:tcW w:w="1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tcBorders/>
            <w:tcMar>
              <w:top w:w="0" w:type="dxa"/>
              <w:left w:w="0" w:type="dxa"/>
              <w:bottom w:w="0" w:type="dxa"/>
              <w:right w:w="0" w:type="dxa"/>
            </w:tcMar>
            <w:vAlign w:val="center"/>
          </w:tcPr>
          <w:p>
            <w:pPr>
              <w:pStyle w:val="TableContents"/>
              <w:bidi w:val="0"/>
              <w:jc w:val="left"/>
              <w:rPr>
                <w:rFonts w:ascii="Arial" w:hAnsi="Arial"/>
                <w:b/>
                <w:color w:val="000000"/>
                <w:sz w:val="20"/>
              </w:rPr>
            </w:pPr>
            <w:r>
              <w:rPr>
                <w:rFonts w:ascii="Arial" w:hAnsi="Arial"/>
                <w:b/>
                <w:color w:val="000000"/>
                <w:sz w:val="20"/>
              </w:rPr>
              <w:t>Fungible Share Counting</w:t>
            </w:r>
          </w:p>
          <w:p>
            <w:pPr>
              <w:pStyle w:val="TableContents"/>
              <w:bidi w:val="0"/>
              <w:spacing w:before="0" w:after="20"/>
              <w:jc w:val="left"/>
              <w:rPr>
                <w:rFonts w:ascii="Arial" w:hAnsi="Arial"/>
                <w:i/>
                <w:color w:val="000000"/>
                <w:sz w:val="20"/>
              </w:rPr>
            </w:pPr>
            <w:r>
              <w:rPr>
                <w:rFonts w:ascii="Arial" w:hAnsi="Arial"/>
                <w:i/>
                <w:color w:val="000000"/>
                <w:sz w:val="20"/>
              </w:rPr>
              <w:t>(Section 4.1 of the Amended Plan)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Under the Amended Plan, each share subject to a full-value award would reduce the share reserve by the full-value debiting rate, and each share subject to an option or stock appreciation right (“SAR”) would reduce the share reserve by one share. The full-value award debiting rate means: (i) for full-value awards granted under the Plan (or after February 1, 2020, full value awards previously granted under the Genesco Inc. Second Amended and Restated 2009 Equity Incentive Plan (the “Prior Plan”)) prior to or on March 24, 2023, 1.72 shares; (ii) for full-value awards granted after March 24, 2023 and through and including March 31, 2024 under the Plan, 1.52 shares; (iii) for full-value awards granted after March 31, 2024 and through and including April 15, 2025, 1.35 shares; (iv) for full-value awards granted after April 15, 2025 and through and including the Effective Date, 1.51 shares; and (v) for full-value awards granted after the Effective Date, 1 share.</w:t>
            </w:r>
            <w:r>
              <w:rPr>
                <w:rFonts w:ascii="Times New Roman" w:hAnsi="Times New Roman"/>
                <w:color w:val="000000"/>
                <w:sz w:val="20"/>
              </w:rPr>
              <w:t xml:space="preserve"> </w:t>
            </w:r>
          </w:p>
        </w:tc>
      </w:tr>
      <w:tr>
        <w:trPr/>
        <w:tc>
          <w:tcPr>
            <w:tcW w:w="1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tcBorders/>
            <w:tcMar>
              <w:top w:w="0" w:type="dxa"/>
              <w:left w:w="0" w:type="dxa"/>
              <w:bottom w:w="0" w:type="dxa"/>
              <w:right w:w="0" w:type="dxa"/>
            </w:tcMar>
            <w:vAlign w:val="center"/>
          </w:tcPr>
          <w:p>
            <w:pPr>
              <w:pStyle w:val="TableContents"/>
              <w:bidi w:val="0"/>
              <w:jc w:val="left"/>
              <w:rPr>
                <w:rFonts w:ascii="Arial" w:hAnsi="Arial"/>
                <w:b/>
                <w:color w:val="000000"/>
                <w:sz w:val="20"/>
              </w:rPr>
            </w:pPr>
            <w:r>
              <w:rPr>
                <w:rFonts w:ascii="Arial" w:hAnsi="Arial"/>
                <w:b/>
                <w:color w:val="000000"/>
                <w:sz w:val="20"/>
              </w:rPr>
              <w:t>Expiration Date</w:t>
            </w:r>
          </w:p>
          <w:p>
            <w:pPr>
              <w:pStyle w:val="TableContents"/>
              <w:bidi w:val="0"/>
              <w:spacing w:before="0" w:after="20"/>
              <w:jc w:val="left"/>
              <w:rPr>
                <w:rFonts w:ascii="Arial" w:hAnsi="Arial"/>
                <w:i/>
                <w:color w:val="000000"/>
                <w:sz w:val="20"/>
              </w:rPr>
            </w:pPr>
            <w:r>
              <w:rPr>
                <w:rFonts w:ascii="Arial" w:hAnsi="Arial"/>
                <w:i/>
                <w:color w:val="000000"/>
                <w:sz w:val="20"/>
              </w:rPr>
              <w:t>(Section 16.2 of the Amended Plan)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Amended Plan expires on June 25, 2030.</w:t>
            </w:r>
          </w:p>
        </w:tc>
      </w:tr>
      <w:tr>
        <w:trPr/>
        <w:tc>
          <w:tcPr>
            <w:tcW w:w="1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tcBorders/>
            <w:tcMar>
              <w:top w:w="0" w:type="dxa"/>
              <w:left w:w="0" w:type="dxa"/>
              <w:bottom w:w="0" w:type="dxa"/>
              <w:right w:w="0" w:type="dxa"/>
            </w:tcMar>
            <w:vAlign w:val="center"/>
          </w:tcPr>
          <w:p>
            <w:pPr>
              <w:pStyle w:val="TableContents"/>
              <w:bidi w:val="0"/>
              <w:jc w:val="left"/>
              <w:rPr>
                <w:rFonts w:ascii="Arial" w:hAnsi="Arial"/>
                <w:b/>
                <w:color w:val="000000"/>
                <w:sz w:val="20"/>
              </w:rPr>
            </w:pPr>
            <w:r>
              <w:rPr>
                <w:rFonts w:ascii="Arial" w:hAnsi="Arial"/>
                <w:b/>
                <w:color w:val="000000"/>
                <w:sz w:val="20"/>
              </w:rPr>
              <w:t>Limited Share Recycling</w:t>
            </w:r>
          </w:p>
          <w:p>
            <w:pPr>
              <w:pStyle w:val="TableContents"/>
              <w:bidi w:val="0"/>
              <w:spacing w:before="0" w:after="20"/>
              <w:jc w:val="left"/>
              <w:rPr>
                <w:rFonts w:ascii="Arial" w:hAnsi="Arial"/>
                <w:i/>
                <w:color w:val="000000"/>
                <w:sz w:val="20"/>
              </w:rPr>
            </w:pPr>
            <w:r>
              <w:rPr>
                <w:rFonts w:ascii="Arial" w:hAnsi="Arial"/>
                <w:i/>
                <w:color w:val="000000"/>
                <w:sz w:val="20"/>
              </w:rPr>
              <w:t>(Section 4.1 of the Amended Plan)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following shares underlying any award will not again become available for awards under the Amended Plan: (1) shares tendered or withheld in payment of the option price of an option; (2) shares tendered or withheld to satisfy any tax withholding obligation with respect to an option or SAR; (3) shares repurchased by the Company with proceeds received from the exercise of an option; and (4) shares subject to a SAR that are not issued in connection with the stock settlement of that SAR upon its exercise.</w:t>
            </w:r>
          </w:p>
        </w:tc>
      </w:tr>
      <w:tr>
        <w:trPr/>
        <w:tc>
          <w:tcPr>
            <w:tcW w:w="1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tcBorders/>
            <w:tcMar>
              <w:top w:w="0" w:type="dxa"/>
              <w:left w:w="0" w:type="dxa"/>
              <w:bottom w:w="0" w:type="dxa"/>
              <w:right w:w="0" w:type="dxa"/>
            </w:tcMar>
            <w:vAlign w:val="center"/>
          </w:tcPr>
          <w:p>
            <w:pPr>
              <w:pStyle w:val="TableContents"/>
              <w:bidi w:val="0"/>
              <w:jc w:val="left"/>
              <w:rPr>
                <w:rFonts w:ascii="Arial" w:hAnsi="Arial"/>
                <w:b/>
                <w:color w:val="000000"/>
                <w:sz w:val="20"/>
              </w:rPr>
            </w:pPr>
            <w:r>
              <w:rPr>
                <w:rFonts w:ascii="Arial" w:hAnsi="Arial"/>
                <w:b/>
                <w:color w:val="000000"/>
                <w:sz w:val="20"/>
              </w:rPr>
              <w:t>Forfeited Awards</w:t>
            </w:r>
          </w:p>
          <w:p>
            <w:pPr>
              <w:pStyle w:val="TableContents"/>
              <w:bidi w:val="0"/>
              <w:spacing w:before="0" w:after="20"/>
              <w:jc w:val="left"/>
              <w:rPr>
                <w:rFonts w:ascii="Arial" w:hAnsi="Arial"/>
                <w:i/>
                <w:color w:val="000000"/>
                <w:sz w:val="20"/>
              </w:rPr>
            </w:pPr>
            <w:r>
              <w:rPr>
                <w:rFonts w:ascii="Arial" w:hAnsi="Arial"/>
                <w:i/>
                <w:color w:val="000000"/>
                <w:sz w:val="20"/>
              </w:rPr>
              <w:t>(Section 4.1 of the Amended Plan)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Under the Amended Plan, full-value awards issued under the Plan, the Amended Plan, or the Prior Plan which terminate, expire or are settled for cash, forfeited or canceled will be added back to the share reserve at the full-value award debiting rate; all other awards made under the Plan, the Amended Plan, or the Prior Plan which terminate, expire or are settled for cash, forfeited or canceled will be added back to the share reserve on a one-for-one basis.</w:t>
            </w:r>
          </w:p>
        </w:tc>
      </w:tr>
      <w:tr>
        <w:trPr/>
        <w:tc>
          <w:tcPr>
            <w:tcW w:w="14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Performance Award</w:t>
              <w:br/>
              <w:t>Terms</w:t>
              <w:br/>
            </w:r>
            <w:r>
              <w:rPr>
                <w:rFonts w:ascii="Arial" w:hAnsi="Arial"/>
                <w:i/>
                <w:color w:val="000000"/>
                <w:sz w:val="20"/>
              </w:rPr>
              <w:t>(Section 8.1 of the</w:t>
              <w:br/>
              <w:t>Amended Plan)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Under the Amended Plan, performance awards granted pursuant to the Plan may</w:t>
              <w:br/>
              <w:t>be payable in cash, shares, other securities, other property, or any combination</w:t>
              <w:br/>
              <w:t>thereof, as determined in the sole discretion of the compensation committee. The</w:t>
              <w:br/>
              <w:t>Amended Plan clarifies that a single performance award may be settled using more than one form of consideration.</w:t>
            </w:r>
          </w:p>
        </w:tc>
      </w:tr>
      <w:tr>
        <w:trPr/>
        <w:tc>
          <w:tcPr>
            <w:tcW w:w="14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8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52"/>
        <w:gridCol w:w="146"/>
        <w:gridCol w:w="7907"/>
      </w:tblGrid>
      <w:tr>
        <w:trPr/>
        <w:tc>
          <w:tcPr>
            <w:tcW w:w="215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07" w:type="dxa"/>
            <w:tcBorders/>
            <w:shd w:fill="FFFFFF" w:val="clear"/>
            <w:vAlign w:val="center"/>
          </w:tcPr>
          <w:p>
            <w:pPr>
              <w:pStyle w:val="TableContents"/>
              <w:bidi w:val="0"/>
              <w:spacing w:before="0" w:after="283"/>
              <w:jc w:val="left"/>
              <w:rPr>
                <w:sz w:val="4"/>
                <w:szCs w:val="4"/>
              </w:rPr>
            </w:pPr>
            <w:r>
              <w:rPr>
                <w:sz w:val="4"/>
                <w:szCs w:val="4"/>
              </w:rPr>
            </w:r>
          </w:p>
        </w:tc>
      </w:tr>
      <w:tr>
        <w:trPr/>
        <w:tc>
          <w:tcPr>
            <w:tcW w:w="2152"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Arial" w:hAnsi="Arial"/>
                <w:b/>
                <w:color w:val="000000"/>
                <w:sz w:val="16"/>
              </w:rPr>
            </w:pPr>
            <w:r>
              <w:rPr>
                <w:rFonts w:ascii="Arial" w:hAnsi="Arial"/>
                <w:b/>
                <w:color w:val="000000"/>
                <w:sz w:val="16"/>
              </w:rPr>
              <w:t>Amended Plan Feature(1)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07" w:type="dxa"/>
            <w:tcBorders>
              <w:bottom w:val="single" w:sz="6" w:space="0" w:color="000000"/>
            </w:tcBorders>
            <w:tcMar>
              <w:top w:w="0" w:type="dxa"/>
              <w:left w:w="0" w:type="dxa"/>
              <w:right w:w="0" w:type="dxa"/>
            </w:tcMar>
            <w:vAlign w:val="center"/>
          </w:tcPr>
          <w:p>
            <w:pPr>
              <w:pStyle w:val="TableContents"/>
              <w:bidi w:val="0"/>
              <w:spacing w:before="0" w:after="20"/>
              <w:jc w:val="left"/>
              <w:rPr>
                <w:rFonts w:ascii="Arial" w:hAnsi="Arial"/>
                <w:b/>
                <w:color w:val="000000"/>
                <w:sz w:val="16"/>
              </w:rPr>
            </w:pPr>
            <w:r>
              <w:rPr>
                <w:rFonts w:ascii="Arial" w:hAnsi="Arial"/>
                <w:b/>
                <w:color w:val="000000"/>
                <w:sz w:val="16"/>
              </w:rPr>
              <w:t>Amended Plan Terms</w:t>
            </w:r>
          </w:p>
        </w:tc>
      </w:tr>
      <w:tr>
        <w:trPr/>
        <w:tc>
          <w:tcPr>
            <w:tcW w:w="21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Performance Award</w:t>
              <w:br/>
              <w:t>Settlement</w:t>
              <w:br/>
            </w:r>
            <w:r>
              <w:rPr>
                <w:rFonts w:ascii="Arial" w:hAnsi="Arial"/>
                <w:i/>
                <w:color w:val="000000"/>
                <w:sz w:val="20"/>
              </w:rPr>
              <w:t>(Section 8.3 of the</w:t>
              <w:br/>
              <w:t>Amended Plan)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0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Under the Amended Plan, performance awards may be settled in cash, shares,</w:t>
              <w:br/>
              <w:t>other securities, other property, or any combination thereof, as determined by the</w:t>
              <w:br/>
              <w:t>compensation committee in its sole discretion. Settlement may be made in a lump</w:t>
              <w:br/>
              <w:t>sum, in installments, or on a deferred basis, in each case consistent with the terms</w:t>
              <w:br/>
              <w:t>of the applicable award agreement.</w:t>
            </w:r>
          </w:p>
        </w:tc>
      </w:tr>
      <w:tr>
        <w:trPr/>
        <w:tc>
          <w:tcPr>
            <w:tcW w:w="2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tcBorders/>
            <w:tcMar>
              <w:top w:w="0" w:type="dxa"/>
              <w:left w:w="0" w:type="dxa"/>
              <w:bottom w:w="0" w:type="dxa"/>
              <w:right w:w="0" w:type="dxa"/>
            </w:tcMar>
            <w:vAlign w:val="center"/>
          </w:tcPr>
          <w:p>
            <w:pPr>
              <w:pStyle w:val="TableContents"/>
              <w:bidi w:val="0"/>
              <w:jc w:val="left"/>
              <w:rPr>
                <w:rFonts w:ascii="Arial" w:hAnsi="Arial"/>
                <w:b/>
                <w:color w:val="000000"/>
                <w:sz w:val="20"/>
              </w:rPr>
            </w:pPr>
            <w:r>
              <w:rPr>
                <w:rFonts w:ascii="Arial" w:hAnsi="Arial"/>
                <w:b/>
                <w:color w:val="000000"/>
                <w:sz w:val="20"/>
              </w:rPr>
              <w:t>No Repricing</w:t>
            </w:r>
          </w:p>
          <w:p>
            <w:pPr>
              <w:pStyle w:val="TableContents"/>
              <w:bidi w:val="0"/>
              <w:spacing w:before="0" w:after="20"/>
              <w:jc w:val="left"/>
              <w:rPr>
                <w:rFonts w:ascii="Arial" w:hAnsi="Arial"/>
                <w:i/>
                <w:color w:val="000000"/>
                <w:sz w:val="20"/>
              </w:rPr>
            </w:pPr>
            <w:r>
              <w:rPr>
                <w:rFonts w:ascii="Arial" w:hAnsi="Arial"/>
                <w:i/>
                <w:color w:val="000000"/>
                <w:sz w:val="20"/>
              </w:rPr>
              <w:t>(Section 6.2 of the Amended Plan)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Amended Plan prohibits the repricing of stock options or SARs without shareholder approval. This restriction applies to both direct repricing (lowering the option price of a stock option) and indirect repricing (canceling an outstanding stock option in exchange for a cash award or another award).</w:t>
            </w:r>
          </w:p>
        </w:tc>
      </w:tr>
      <w:tr>
        <w:trPr/>
        <w:tc>
          <w:tcPr>
            <w:tcW w:w="2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tcBorders/>
            <w:tcMar>
              <w:top w:w="0" w:type="dxa"/>
              <w:left w:w="0" w:type="dxa"/>
              <w:bottom w:w="0" w:type="dxa"/>
              <w:right w:w="0" w:type="dxa"/>
            </w:tcMar>
            <w:vAlign w:val="center"/>
          </w:tcPr>
          <w:p>
            <w:pPr>
              <w:pStyle w:val="TableContents"/>
              <w:bidi w:val="0"/>
              <w:jc w:val="left"/>
              <w:rPr>
                <w:rFonts w:ascii="Arial" w:hAnsi="Arial"/>
                <w:b/>
                <w:color w:val="000000"/>
                <w:sz w:val="20"/>
              </w:rPr>
            </w:pPr>
            <w:r>
              <w:rPr>
                <w:rFonts w:ascii="Arial" w:hAnsi="Arial"/>
                <w:b/>
                <w:color w:val="000000"/>
                <w:sz w:val="20"/>
              </w:rPr>
              <w:t>Minimum Vesting Requirement</w:t>
            </w:r>
          </w:p>
          <w:p>
            <w:pPr>
              <w:pStyle w:val="TableContents"/>
              <w:bidi w:val="0"/>
              <w:spacing w:before="0" w:after="20"/>
              <w:jc w:val="left"/>
              <w:rPr>
                <w:rFonts w:ascii="Arial" w:hAnsi="Arial"/>
                <w:i/>
                <w:color w:val="000000"/>
                <w:sz w:val="20"/>
              </w:rPr>
            </w:pPr>
            <w:r>
              <w:rPr>
                <w:rFonts w:ascii="Arial" w:hAnsi="Arial"/>
                <w:i/>
                <w:color w:val="000000"/>
                <w:sz w:val="20"/>
              </w:rPr>
              <w:t>(Section 4.4 of the Amended Plan)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Subject to limited exceptions, no award will have a vesting period of less than one year. Up to 5% of the awards under the Amended Plan will not be subject to this requirement.</w:t>
            </w:r>
          </w:p>
        </w:tc>
      </w:tr>
      <w:tr>
        <w:trPr/>
        <w:tc>
          <w:tcPr>
            <w:tcW w:w="2152" w:type="dxa"/>
            <w:tcBorders/>
            <w:tcMar>
              <w:top w:w="0" w:type="dxa"/>
              <w:left w:w="0" w:type="dxa"/>
              <w:bottom w:w="0" w:type="dxa"/>
              <w:right w:w="0" w:type="dxa"/>
            </w:tcMar>
            <w:vAlign w:val="center"/>
          </w:tcPr>
          <w:p>
            <w:pPr>
              <w:pStyle w:val="TableContents"/>
              <w:bidi w:val="0"/>
              <w:jc w:val="left"/>
              <w:rPr>
                <w:rFonts w:ascii="Arial" w:hAnsi="Arial"/>
                <w:b/>
                <w:color w:val="000000"/>
                <w:sz w:val="20"/>
              </w:rPr>
            </w:pPr>
            <w:r>
              <w:rPr>
                <w:rFonts w:ascii="Arial" w:hAnsi="Arial"/>
                <w:b/>
                <w:color w:val="000000"/>
                <w:sz w:val="20"/>
              </w:rPr>
              <w:t>Recoupment/ Clawback Provision</w:t>
            </w:r>
          </w:p>
          <w:p>
            <w:pPr>
              <w:pStyle w:val="TableContents"/>
              <w:bidi w:val="0"/>
              <w:spacing w:before="0" w:after="20"/>
              <w:jc w:val="left"/>
              <w:rPr>
                <w:rFonts w:ascii="Arial" w:hAnsi="Arial"/>
                <w:i/>
                <w:color w:val="000000"/>
                <w:sz w:val="20"/>
              </w:rPr>
            </w:pPr>
            <w:r>
              <w:rPr>
                <w:rFonts w:ascii="Arial" w:hAnsi="Arial"/>
                <w:i/>
                <w:color w:val="000000"/>
                <w:sz w:val="20"/>
              </w:rPr>
              <w:t>(Section 14.3 of the Amended Plan)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 addition to the permissive recoupment provisions set forth in the Amended Plan, all awards will be subject to recoupment under certain circumstances, including to the extent (1) set forth in any award agreement, (2) the recipient is subject to the Company’s existing recoupment policy (which applies to cash and equity-based incentive compensation), or (3) the recoupment provisions of the Sarbanes-Oxley Act apply to the recipient.</w:t>
            </w:r>
          </w:p>
        </w:tc>
      </w:tr>
      <w:tr>
        <w:trPr/>
        <w:tc>
          <w:tcPr>
            <w:tcW w:w="2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tcBorders/>
            <w:tcMar>
              <w:top w:w="0" w:type="dxa"/>
              <w:left w:w="0" w:type="dxa"/>
              <w:bottom w:w="0" w:type="dxa"/>
              <w:right w:w="0" w:type="dxa"/>
            </w:tcMar>
            <w:vAlign w:val="center"/>
          </w:tcPr>
          <w:p>
            <w:pPr>
              <w:pStyle w:val="TableContents"/>
              <w:bidi w:val="0"/>
              <w:jc w:val="left"/>
              <w:rPr>
                <w:rFonts w:ascii="Arial" w:hAnsi="Arial"/>
                <w:b/>
                <w:color w:val="000000"/>
                <w:sz w:val="20"/>
              </w:rPr>
            </w:pPr>
            <w:r>
              <w:rPr>
                <w:rFonts w:ascii="Arial" w:hAnsi="Arial"/>
                <w:b/>
                <w:color w:val="000000"/>
                <w:sz w:val="20"/>
              </w:rPr>
              <w:t>Limit on Non-Employee Director Compensation</w:t>
            </w:r>
          </w:p>
          <w:p>
            <w:pPr>
              <w:pStyle w:val="TableContents"/>
              <w:bidi w:val="0"/>
              <w:spacing w:before="0" w:after="20"/>
              <w:jc w:val="left"/>
              <w:rPr>
                <w:rFonts w:ascii="Arial" w:hAnsi="Arial"/>
                <w:i/>
                <w:color w:val="000000"/>
                <w:sz w:val="20"/>
              </w:rPr>
            </w:pPr>
            <w:r>
              <w:rPr>
                <w:rFonts w:ascii="Arial" w:hAnsi="Arial"/>
                <w:i/>
                <w:color w:val="000000"/>
                <w:sz w:val="20"/>
              </w:rPr>
              <w:t>(Section 10.2 of the Amended Plan)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aggregate value of all compensation (both cash and equity) paid or granted, as applicable, to any non-employee director with respect to any calendar year shall not exceed $500,000 (subject to exceptions for extraordinary circumstances such as service on a special committee).</w:t>
            </w:r>
          </w:p>
        </w:tc>
      </w:tr>
      <w:tr>
        <w:trPr/>
        <w:tc>
          <w:tcPr>
            <w:tcW w:w="2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tcBorders/>
            <w:tcMar>
              <w:top w:w="0" w:type="dxa"/>
              <w:left w:w="0" w:type="dxa"/>
              <w:bottom w:w="0" w:type="dxa"/>
              <w:right w:w="0" w:type="dxa"/>
            </w:tcMar>
            <w:vAlign w:val="center"/>
          </w:tcPr>
          <w:p>
            <w:pPr>
              <w:pStyle w:val="TableContents"/>
              <w:bidi w:val="0"/>
              <w:jc w:val="left"/>
              <w:rPr>
                <w:rFonts w:ascii="Arial" w:hAnsi="Arial"/>
                <w:b/>
                <w:color w:val="000000"/>
                <w:sz w:val="20"/>
              </w:rPr>
            </w:pPr>
            <w:r>
              <w:rPr>
                <w:rFonts w:ascii="Arial" w:hAnsi="Arial"/>
                <w:b/>
                <w:color w:val="000000"/>
                <w:sz w:val="20"/>
              </w:rPr>
              <w:t>Limitations on Dividend Payments on Unvested Awards</w:t>
            </w:r>
          </w:p>
          <w:p>
            <w:pPr>
              <w:pStyle w:val="TableContents"/>
              <w:bidi w:val="0"/>
              <w:spacing w:before="0" w:after="20"/>
              <w:jc w:val="left"/>
              <w:rPr>
                <w:rFonts w:ascii="Arial" w:hAnsi="Arial"/>
                <w:i/>
                <w:color w:val="000000"/>
                <w:sz w:val="20"/>
              </w:rPr>
            </w:pPr>
            <w:r>
              <w:rPr>
                <w:rFonts w:ascii="Arial" w:hAnsi="Arial"/>
                <w:i/>
                <w:color w:val="000000"/>
                <w:sz w:val="20"/>
              </w:rPr>
              <w:t>(Section 15.2 of the Amended Plan)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Dividends and dividend equivalents may not be paid on awards subject to vesting conditions unless and until such vesting conditions are met. Dividend equivalents may not be paid on stock options or SARs.</w:t>
            </w:r>
          </w:p>
        </w:tc>
      </w:tr>
    </w:tbl>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In connection with the Amended Plan, no substantive changes have been made to the Plan with the exception of (i) replenishing the share reserve, (ii) revising the ratio at which full-value awards are debited from the share reserve, and (iii) clarifying that performance awards may be settled in cash, shares,</w:t>
        <w:br/>
        <w:t xml:space="preserve">or any combination thereof, as determined by the compensation committee in its sole discretion. </w:t>
      </w:r>
    </w:p>
    <w:p>
      <w:pPr>
        <w:pStyle w:val="TextBody"/>
        <w:bidi w:val="0"/>
        <w:spacing w:before="240" w:after="283"/>
        <w:jc w:val="left"/>
        <w:rPr>
          <w:rFonts w:ascii="Times New Roman" w:hAnsi="Times New Roman"/>
          <w:sz w:val="20"/>
        </w:rPr>
      </w:pPr>
      <w:r>
        <w:rPr>
          <w:rFonts w:ascii="Arial" w:hAnsi="Arial"/>
          <w:i/>
          <w:color w:val="000000"/>
          <w:sz w:val="20"/>
          <w:u w:val="single"/>
        </w:rPr>
        <w:t>Key Plan Data</w:t>
      </w:r>
      <w:r>
        <w:rPr>
          <w:rFonts w:ascii="Arial" w:hAnsi="Arial"/>
          <w:color w:val="000000"/>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following table shows certain information about the Plan, including outstanding awards, as of April 30, 2026:</w:t>
      </w:r>
      <w:r>
        <w:rPr>
          <w:rFonts w:ascii="Times New Roman" w:hAnsi="Times New Roman"/>
          <w:color w:val="000000"/>
          <w:sz w:val="20"/>
        </w:rPr>
        <w:t xml:space="preserve"> </w:t>
      </w:r>
    </w:p>
    <w:p>
      <w:pPr>
        <w:pStyle w:val="TextBody"/>
        <w:bidi w:val="0"/>
        <w:jc w:val="left"/>
        <w:rPr/>
      </w:pPr>
      <w:r>
        <w:rPr/>
        <w:t> </w:t>
      </w:r>
    </w:p>
    <w:tbl>
      <w:tblPr>
        <w:tblW w:w="9805" w:type="dxa"/>
        <w:jc w:val="left"/>
        <w:tblInd w:w="0" w:type="dxa"/>
        <w:tblLayout w:type="fixed"/>
        <w:tblCellMar>
          <w:top w:w="28" w:type="dxa"/>
          <w:left w:w="28" w:type="dxa"/>
          <w:bottom w:w="28" w:type="dxa"/>
          <w:right w:w="28" w:type="dxa"/>
        </w:tblCellMar>
      </w:tblPr>
      <w:tblGrid>
        <w:gridCol w:w="8461"/>
        <w:gridCol w:w="146"/>
        <w:gridCol w:w="211"/>
        <w:gridCol w:w="796"/>
        <w:gridCol w:w="191"/>
      </w:tblGrid>
      <w:tr>
        <w:trPr/>
        <w:tc>
          <w:tcPr>
            <w:tcW w:w="8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4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Number of shares that were remaining available for future grant under the Plan</w:t>
            </w:r>
            <w:r>
              <w:rPr>
                <w:rFonts w:ascii="Arial" w:hAnsi="Arial"/>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423,147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Number of full-value awards (restricted stock, RSUs and PSUs) outstanding as of April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868,424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6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Number of stock options outstanding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26,620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remaining term of outstanding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6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exercise price of outstanding options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41.41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jc w:val="left"/>
        <w:rPr>
          <w:rFonts w:ascii="Arial" w:hAnsi="Arial"/>
          <w:color w:val="000000"/>
          <w:sz w:val="20"/>
        </w:rPr>
      </w:pPr>
      <w:r>
        <w:rPr>
          <w:rFonts w:ascii="Arial" w:hAnsi="Arial"/>
          <w:color w:val="000000"/>
          <w:sz w:val="20"/>
        </w:rPr>
        <w:t xml:space="preserve">Grants of full-value awards count against the authorization at the full-value award debiting rate. As of the Effective Date, the authorization will be reduced by the number of shares granted under the Plan after April 30, 2026 and prior to the Effective Date adjusted by the applicable full-value award debiting rate. </w:t>
      </w:r>
    </w:p>
    <w:p>
      <w:pPr>
        <w:pStyle w:val="TextBody"/>
        <w:bidi w:val="0"/>
        <w:spacing w:before="240" w:after="283"/>
        <w:jc w:val="left"/>
        <w:rPr>
          <w:rFonts w:ascii="Times New Roman" w:hAnsi="Times New Roman"/>
          <w:sz w:val="20"/>
        </w:rPr>
      </w:pPr>
      <w:r>
        <w:rPr>
          <w:rFonts w:ascii="Arial" w:hAnsi="Arial"/>
          <w:i/>
          <w:color w:val="000000"/>
          <w:sz w:val="20"/>
          <w:u w:val="single"/>
        </w:rPr>
        <w:t>Burn Rate Information</w:t>
      </w:r>
      <w:r>
        <w:rPr>
          <w:rFonts w:ascii="Arial" w:hAnsi="Arial"/>
          <w:i/>
          <w:color w:val="000000"/>
          <w:sz w:val="20"/>
        </w:rPr>
        <w:t>.</w:t>
      </w:r>
      <w:r>
        <w:rPr>
          <w:rFonts w:ascii="Times New Roman" w:hAnsi="Times New Roman"/>
          <w:color w:val="000000"/>
          <w:sz w:val="20"/>
        </w:rPr>
        <w:t xml:space="preserve"> </w:t>
      </w:r>
      <w:r>
        <w:rPr>
          <w:rFonts w:ascii="Arial" w:hAnsi="Arial"/>
          <w:color w:val="000000"/>
          <w:sz w:val="20"/>
        </w:rPr>
        <w:t>We recognize that equity-based compensation programs dilute shareholder equity and need to be used judiciously. We manage our long-term dilution by considering the number of shares subject to equity-based awards that we grant annually, commonly expressed as a percentage of total shares outstanding and referred to as burn rate. Burn rate is a key measure of dilution that shows how rapidly a company is depleting its shares reserved for equity-based compensation plans, and differs from annual dilution because it does not take into account cancellations and other shares returned to the reserve. We believe our historical share utilization rate has been prudent and mindful of shareholder interests.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table below sets forth information regarding historical awards granted in Fiscal 2026, Fiscal 2025 and Fiscal 2024 and the corresponding Burn Rate (as such terms are defined below):</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90"/>
        <w:gridCol w:w="146"/>
        <w:gridCol w:w="146"/>
        <w:gridCol w:w="1066"/>
        <w:gridCol w:w="286"/>
        <w:gridCol w:w="146"/>
        <w:gridCol w:w="146"/>
        <w:gridCol w:w="146"/>
        <w:gridCol w:w="1066"/>
        <w:gridCol w:w="286"/>
        <w:gridCol w:w="146"/>
        <w:gridCol w:w="146"/>
        <w:gridCol w:w="146"/>
        <w:gridCol w:w="1066"/>
        <w:gridCol w:w="286"/>
        <w:gridCol w:w="391"/>
      </w:tblGrid>
      <w:tr>
        <w:trPr/>
        <w:tc>
          <w:tcPr>
            <w:tcW w:w="4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r>
      <w:tr>
        <w:trPr/>
        <w:tc>
          <w:tcPr>
            <w:tcW w:w="4590"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granted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Time-based full-value awards (restricted stock and RSUs) granted(1)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186,322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337,542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296,028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90"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Performance-based full-value awards (PSUs) earned(2)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138,697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20"/>
              </w:rPr>
            </w:pPr>
            <w:r>
              <w:rPr>
                <w:rFonts w:ascii="Arial" w:hAnsi="Arial"/>
                <w:color w:val="000000"/>
                <w:sz w:val="20"/>
              </w:rPr>
              <w:t>Total awards granted (or earned, as applicable)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186,322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476,239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296,028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90"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common shares outstanding(3)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10,366,000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10,836,000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11,243,000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Annual Burn Rate(4)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90"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Three Year Average Annual Burn Rate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 xml:space="preserve">Consists of time-based restricted stock awards granted to employees, officers and directors during the applicable fiscal year.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PSUs were first granted in Fiscal 2024. In Fiscal 2024, 96,866 PSUs were granted at target with a three-year performance period, none of which were earned. In Fiscal 2025, 153,602 PSUs were granted at target with a one-year performance period; 138,697 PSUs were earned based on Fiscal 2025 performance and remain subject to time-based vesting. In Fiscal 2026, 171,503 PSUs were granted at target with a three-year performance period, none of which have been earned or vested to date. </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 xml:space="preserve">For purposes of the calculation above, weighted-average common shares outstanding is calculated using the basic shares outstanding, as reported in the footnotes to our Annual Report on Form 10-K for the applicable year. </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pPr>
      <w:r>
        <w:rPr>
          <w:rFonts w:ascii="Arial" w:hAnsi="Arial"/>
          <w:color w:val="000000"/>
          <w:sz w:val="20"/>
        </w:rPr>
        <w:t>Burn Rate for an applicable fiscal year is equal to (i) the number of full-value awards granted (or in the case of performance-based awards, earned) during such year</w:t>
      </w:r>
      <w:r>
        <w:rPr>
          <w:color w:val="000000"/>
        </w:rPr>
        <w:t xml:space="preserve"> </w:t>
      </w:r>
      <w:r>
        <w:rPr>
          <w:rFonts w:ascii="Arial" w:hAnsi="Arial"/>
          <w:i/>
          <w:color w:val="000000"/>
          <w:sz w:val="20"/>
        </w:rPr>
        <w:t>divided by</w:t>
      </w:r>
      <w:r>
        <w:rPr>
          <w:color w:val="000000"/>
        </w:rPr>
        <w:t xml:space="preserve"> </w:t>
      </w:r>
      <w:r>
        <w:rPr>
          <w:rFonts w:ascii="Arial" w:hAnsi="Arial"/>
          <w:color w:val="000000"/>
          <w:sz w:val="20"/>
        </w:rPr>
        <w:t xml:space="preserve">(ii) the weighted-average common shares outstanding during such year. </w:t>
      </w:r>
    </w:p>
    <w:p>
      <w:pPr>
        <w:pStyle w:val="TextBody"/>
        <w:bidi w:val="0"/>
        <w:spacing w:before="240" w:after="283"/>
        <w:jc w:val="left"/>
        <w:rPr>
          <w:rFonts w:ascii="Times New Roman" w:hAnsi="Times New Roman"/>
          <w:sz w:val="20"/>
        </w:rPr>
      </w:pPr>
      <w:r>
        <w:rPr>
          <w:rFonts w:ascii="Arial" w:hAnsi="Arial"/>
          <w:color w:val="000000"/>
          <w:sz w:val="20"/>
        </w:rPr>
        <w:t>On June 12, 2026, the closing price of a share of common stock on the NYSE was $42.50 per share.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u w:val="single"/>
        </w:rPr>
        <w:t>Fully Diluted Overhang Information–Plan (as of April 30, 2026)</w:t>
      </w:r>
      <w:r>
        <w:rPr>
          <w:rFonts w:ascii="Arial" w:hAnsi="Arial"/>
          <w:i/>
          <w:color w:val="000000"/>
          <w:sz w:val="20"/>
        </w:rPr>
        <w:t>.</w:t>
      </w:r>
      <w:r>
        <w:rPr>
          <w:rFonts w:ascii="Times New Roman" w:hAnsi="Times New Roman"/>
          <w:color w:val="000000"/>
          <w:sz w:val="20"/>
        </w:rPr>
        <w:t xml:space="preserve"> </w:t>
      </w:r>
      <w:r>
        <w:rPr>
          <w:rFonts w:ascii="Arial" w:hAnsi="Arial"/>
          <w:color w:val="000000"/>
          <w:sz w:val="20"/>
        </w:rPr>
        <w:t>An additional metric that the Company uses to measure the cumulative impact of its equity incentive program is fully diluted overhang. The Company’s actual fully diluted overhang as of April 30, 2026 was 10.6%, which is calculated as (i) the sum of (A) all equity-based awards outstanding (26,620 stock options and 868,424 shares of restricted stock and PSUs) and (B) the total number of shares available to be granted under the Plan (423,147),</w:t>
      </w:r>
      <w:r>
        <w:rPr>
          <w:rFonts w:ascii="Times New Roman" w:hAnsi="Times New Roman"/>
          <w:color w:val="000000"/>
          <w:sz w:val="20"/>
        </w:rPr>
        <w:t xml:space="preserve"> </w:t>
      </w:r>
      <w:r>
        <w:rPr>
          <w:rFonts w:ascii="Arial" w:hAnsi="Arial"/>
          <w:i/>
          <w:color w:val="000000"/>
          <w:sz w:val="20"/>
        </w:rPr>
        <w:t>divided by</w:t>
      </w:r>
      <w:r>
        <w:rPr>
          <w:rFonts w:ascii="Times New Roman" w:hAnsi="Times New Roman"/>
          <w:color w:val="000000"/>
          <w:sz w:val="20"/>
        </w:rPr>
        <w:t xml:space="preserve"> </w:t>
      </w:r>
      <w:r>
        <w:rPr>
          <w:rFonts w:ascii="Arial" w:hAnsi="Arial"/>
          <w:color w:val="000000"/>
          <w:sz w:val="20"/>
        </w:rPr>
        <w:t>(ii) the sum of the total number of our common shares outstanding (11,103,175), plus (A) and (B).</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i/>
          <w:color w:val="000000"/>
          <w:sz w:val="20"/>
          <w:u w:val="single"/>
        </w:rPr>
        <w:t>Fully Diluted Overhang Information–Amended Plan (as of April 30, 2026)</w:t>
      </w:r>
      <w:r>
        <w:rPr>
          <w:rFonts w:ascii="Arial" w:hAnsi="Arial"/>
          <w:i/>
          <w:color w:val="000000"/>
          <w:sz w:val="20"/>
        </w:rPr>
        <w:t>.</w:t>
      </w:r>
      <w:r>
        <w:rPr>
          <w:rFonts w:ascii="Times New Roman" w:hAnsi="Times New Roman"/>
          <w:color w:val="000000"/>
          <w:sz w:val="20"/>
        </w:rPr>
        <w:t xml:space="preserve"> </w:t>
      </w:r>
      <w:r>
        <w:rPr>
          <w:rFonts w:ascii="Arial" w:hAnsi="Arial"/>
          <w:color w:val="000000"/>
          <w:sz w:val="20"/>
        </w:rPr>
        <w:t>As of April 30, 2026 (taking into account the impact of our adoption of the Amended Plan (assuming the Amended Plan is adopted by our shareholders at the Annual Meeting), the Company’s fully diluted overhang would have been 18.5%, which is calculated as (i) the sum of (A) all equity-based awards outstanding (26,620 stock options and 868,424 shares of restricted stock and PSUs) and (B) the total number of shares available to be granted under the Amended Plan, (1,623,147),</w:t>
      </w:r>
      <w:r>
        <w:rPr>
          <w:rFonts w:ascii="Times New Roman" w:hAnsi="Times New Roman"/>
          <w:color w:val="000000"/>
          <w:sz w:val="20"/>
        </w:rPr>
        <w:t xml:space="preserve"> </w:t>
      </w:r>
      <w:r>
        <w:rPr>
          <w:rFonts w:ascii="Arial" w:hAnsi="Arial"/>
          <w:i/>
          <w:color w:val="000000"/>
          <w:sz w:val="20"/>
        </w:rPr>
        <w:t>divided by</w:t>
      </w:r>
      <w:r>
        <w:rPr>
          <w:rFonts w:ascii="Times New Roman" w:hAnsi="Times New Roman"/>
          <w:color w:val="000000"/>
          <w:sz w:val="20"/>
        </w:rPr>
        <w:t xml:space="preserve"> </w:t>
      </w:r>
      <w:r>
        <w:rPr>
          <w:rFonts w:ascii="Arial" w:hAnsi="Arial"/>
          <w:color w:val="000000"/>
          <w:sz w:val="20"/>
        </w:rPr>
        <w:t>(ii) the sum of the total number of our common shares outstanding (11,103,175), plus (A) and (B).</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Company believes that the burn rate and overhang referenced above reflect the sound compensation practices of the Company and represent a judicious use of equity for compensation purposes.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determining to adopt the Amended Plan and recommend the Amended Plan to the Company’s shareholders, the compensation committee and the Board considered various factors, including the provisions included in the Amended Plan, the number and type of awards made by us in recent years under the Plan, our burn rate, and our fully diluted overhang (including our potential fully diluted overhang if the Amended Plan is approved by the Company’s shareholders).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Assuming that aggregate equity awards are granted at levels consistent with recent historical practices, then we generally expect that the share reserve under the Amended Plan should be sufficient to cover the Company’s projected stock grants for a period of approximately one to two years. As noted above, annual PSU grants for Fiscal 2027 had not been made as of April 30, 2026 and will need to come out of the Plan’s (or the Amended Plan’s, as applicable) share reserve. We cannot predict our future equity grant practices, the future price of our shares or future hiring activity with any degree of certainty at this time, and the share reserve under the Amended Plan could last for a shorter or longer time.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u w:val="single"/>
        </w:rPr>
        <w:t>Summary of the Amended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Aside from the amendments discussed in </w:t>
      </w:r>
      <w:r>
        <w:rPr>
          <w:rFonts w:ascii="Arial" w:hAnsi="Arial"/>
          <w:i/>
          <w:color w:val="000000"/>
          <w:sz w:val="20"/>
        </w:rPr>
        <w:t xml:space="preserve">Summary of Material Features of the Amended Plan </w:t>
      </w:r>
      <w:r>
        <w:rPr>
          <w:rFonts w:ascii="Arial" w:hAnsi="Arial"/>
          <w:color w:val="000000"/>
          <w:sz w:val="20"/>
        </w:rPr>
        <w:t xml:space="preserve">above, no substantive changes are proposed in connection with the Amended Plan that is being submitted to the shareholders. The following description of certain features of the Amended Plan is intended to be a summary only. The summary is qualified in its entirety by the full text of the Amended Plan, which is attached hereto as </w:t>
      </w:r>
      <w:r>
        <w:rPr>
          <w:rFonts w:ascii="Arial" w:hAnsi="Arial"/>
          <w:color w:val="000000"/>
          <w:sz w:val="20"/>
          <w:u w:val="single"/>
        </w:rPr>
        <w:t>Appendix A</w:t>
      </w:r>
      <w:r>
        <w:rPr>
          <w:rFonts w:ascii="Arial" w:hAnsi="Arial"/>
          <w:color w:val="000000"/>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purpose of the Amended Plan is to promote the interests of the Company and its shareholders by, among other things, (i) attracting and retaining key officers, employees and directors of, and consultants to the Company and its subsidiaries and affiliates, (ii) motivating those individuals by means of performance-related incentives to achieve long-range performance goals, (iii) enabling those individuals to participate in the long-term growth and financial success of the Company, (iv) encouraging ownership of stock in the Company by those individuals, and (v) linking the compensation of those individuals to the long-term interests of the Company and its shareholders.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u w:val="single"/>
        </w:rPr>
        <w:t>Shares Available for Awards under the Amended Plan</w:t>
      </w:r>
      <w:r>
        <w:rPr>
          <w:rFonts w:ascii="Arial" w:hAnsi="Arial"/>
          <w:i/>
          <w:color w:val="000000"/>
          <w:sz w:val="20"/>
        </w:rPr>
        <w:t>.</w:t>
      </w:r>
      <w:r>
        <w:rPr>
          <w:rFonts w:ascii="Times New Roman" w:hAnsi="Times New Roman"/>
          <w:color w:val="000000"/>
          <w:sz w:val="20"/>
        </w:rPr>
        <w:t xml:space="preserve"> </w:t>
      </w:r>
      <w:r>
        <w:rPr>
          <w:rFonts w:ascii="Arial" w:hAnsi="Arial"/>
          <w:color w:val="000000"/>
          <w:sz w:val="20"/>
        </w:rPr>
        <w:t>Under the Amended Plan, awards may be made in cash or in common stock of the Company in a number of shares not to exceed the Share Reserve. As of the Effective Date, the Amended Plan authorizes awards with respect to 1,623,147 shares, minus one share for every share granted after the Effective Date under the Plan (the “Share Reserve”). Any shares that are subject to options or SARs will be counted against this limit as one share for every one share granted, and any shares that are subject to full-value awards will be counted against this limit at the full-value award debiting rate. The number of shares with respect to which incentive stock options may be granted shall be no more than 1,623,147.</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Shares of common stock subject to awards under the Amended Plan that are canceled, forfeited, expire unexercised, settled in cash or otherwise terminated without a delivery of shares of common stock to the participant, will again become available for awards under the Amended Plan. If any award granted under the Prior Plan expires, terminates, is settled in cash (in whole or in part) or otherwise is forfeited or canceled for any reason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before it has vested or been exercised in full after February 1, 2020, the shares subject to such award will, to the extent of such expiration, cash, settlement, forfeiture, or termination, be available for awards under the Amended Plan. In the event that withholding tax liabilities arising from an award (i) other than an option or SAR under the Amended Plan or (ii) an award other than an option or SAR granted under the Prior Plan, are satisfied after February 1, 2020 by the tendering of shares (either actually or by attestation) or by the withholding of shares by the Company, each share so tendered or withheld shall increase the Share Reserve. The following shares underlying any award will not again become available for issuance under the Amended Plan: (i) shares tendered or withheld in payment of the exercise price of an option, (ii) shares tendered or withheld to satisfy any tax withholding obligation with respect to an option or SAR, (iii) shares repurchased by the Company with proceeds received from the exercise of an option, and (iv) shares subject to an SAR that are not issued in connection with the share settlement of that SAR upon its exercise.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Shares of common stock issued under the Amended Plan may be either newly issued shares or shares which have been reacquired by the Company. Any shares that again become available for grant will be added back as (i) one share if such shares were subject to an option or SAR, and (ii) at the full-value award debiting rate if such shares were subject to awards other than options or SARs. Shares issued by the Company as substitute awards granted solely in connection with the assumption of outstanding awards previously granted by a company acquired by the Company, or with which the Company combines (“Substitute Awards”), do not reduce the Share Reserve.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case of a dividend or other distribution, recapitalization, stock split, reverse stock split, reorganization, merger, consolidation, split-up, spin-off, combination, repurchase or exchange of common stock or other securities of the Company, issuance of warrants or other rights to purchase common stock or other securities of the Company, or other similar transaction, the Amended Plan provides that the compensation committee will in an equitable and proportionate manner consistent with the Code either: (i) adjust (1) the Share Reserve, (2) the number of shares or other securities of the Company subject to outstanding awards, and (3) the grant or exercise price with respect to any award; (ii) provide for an equivalent award in respect of securities of the surviving entity of any merger, consolidation or other transaction or event having a similar effect; or (iii) make provision for a cash payment to the holder of an outstanding award in exchange for the award’s cancellation.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u w:val="single"/>
        </w:rPr>
        <w:t>Eligibility and Administration</w:t>
      </w:r>
      <w:r>
        <w:rPr>
          <w:rFonts w:ascii="Arial" w:hAnsi="Arial"/>
          <w:i/>
          <w:color w:val="000000"/>
          <w:sz w:val="20"/>
        </w:rPr>
        <w:t>.</w:t>
      </w:r>
      <w:r>
        <w:rPr>
          <w:rFonts w:ascii="Times New Roman" w:hAnsi="Times New Roman"/>
          <w:color w:val="000000"/>
          <w:sz w:val="20"/>
        </w:rPr>
        <w:t xml:space="preserve"> </w:t>
      </w:r>
      <w:r>
        <w:rPr>
          <w:rFonts w:ascii="Arial" w:hAnsi="Arial"/>
          <w:color w:val="000000"/>
          <w:sz w:val="20"/>
        </w:rPr>
        <w:t>Current employees and consultants of the Company or its subsidiaries or affiliates and directors of the Company are eligible to be granted awards under the Amended Plan. As of April 30, 2026, approximately 170 individuals would have been eligible to participate in the Amended Plan had it been effective on such date, which includes seven executive officers, 155 employees who are not executive officers, and eight directors who are not executive officers. Consultants have not historically been granted equity awards under the Company’s equity plans and there is no current intention to change that practice. The compensation committee will administer the Amended Plan, except with respect to awards to non-employee directors, for which the Amended Plan will be administered by the Board. The compensation committee will be composed of not less than two non-employee directors, each of whom will be a “Non-Employee Director” for purposes of Section 16 of the Exchange Act and Rule 16b-3 thereunder and an independent director as defined by the listing standards of the New York Stock Exchange. Subject to the terms of the Amended Plan, the compensation committee is authorized (among other things) to select participants, determine the type and number of awards to be granted, determine and later amend (subject to certain limitations) the terms and conditions of any award, interpret and specify the rules and regulations relating to the Amended Plan, and make all other determinations which may be necessary or desirable for the administration of the Amended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u w:val="single"/>
        </w:rPr>
        <w:t>Minimum Vesting</w:t>
      </w:r>
      <w:r>
        <w:rPr>
          <w:rFonts w:ascii="Arial" w:hAnsi="Arial"/>
          <w:color w:val="000000"/>
          <w:sz w:val="20"/>
        </w:rPr>
        <w:t>. Equity-based awards granted under the Amended Plan will vest no earlier than the first anniversary of the date the award is granted (excluding, for this purpose, any (i) substitute awards, (ii) shares delivered in lieu of fully vested cash awards and (iii) awards to Non-Employee Directors that vest on the earlier of the one year anniversary of the date of grant or the next annual meeting of shareholders which is at least 50 weeks after the immediately preceding year’s annual meeting); provided, that, the compensation committee may grant equity-based awards without regard to the foregoing minimum vesting requirement with respect to a</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maximum of 5% of the Share Reserve (subject to adjustment for changes in capitalization); and, provided further, for the avoidance of doubt, that the foregoing restriction does not apply to the compensation committee’s discretion to provide for accelerated exercisability or vesting of any award, including in cases of retirement, death, disability or a change in control (subject to Section 13 of the Amended Plan), in the terms of the award or otherwise.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u w:val="single"/>
        </w:rPr>
        <w:t>Stock Options and Stock Appreciation Rights</w:t>
      </w:r>
      <w:r>
        <w:rPr>
          <w:rFonts w:ascii="Arial" w:hAnsi="Arial"/>
          <w:i/>
          <w:color w:val="000000"/>
          <w:sz w:val="20"/>
        </w:rPr>
        <w:t>.</w:t>
      </w:r>
      <w:r>
        <w:rPr>
          <w:rFonts w:ascii="Times New Roman" w:hAnsi="Times New Roman"/>
          <w:color w:val="000000"/>
          <w:sz w:val="20"/>
        </w:rPr>
        <w:t xml:space="preserve"> </w:t>
      </w:r>
      <w:r>
        <w:rPr>
          <w:rFonts w:ascii="Arial" w:hAnsi="Arial"/>
          <w:color w:val="000000"/>
          <w:sz w:val="20"/>
        </w:rPr>
        <w:t>The compensation committee is authorized to grant stock options, including both incentive stock options, which can result in potentially favorable tax treatment to the participant, and non-qualified stock options. The compensation committee may specify the terms of such grants subject to the terms of the Amended Plan. The compensation committee is also authorized to grant SARs, either with or without a related option. The exercise price per share subject to an option and the grant price of a SAR is determined by the compensation committee, but may not be less than the fair market value of a share of common stock on the date of the grant, except in the case of Substitute Awards. The maximum term of each option or SAR, the times at which each option or SAR will be exercisable, and the provisions requiring forfeiture of unexercised options at or following termination of employment generally are fixed by the compensation committee, except that no option or SAR may have a term exceeding ten years. Incentive stock options that are granted to holders of more than ten percent of the Company’s voting securities are subject to certain additional restrictions, including a five-year maximum term and a minimum exercise price of 110% of fair market value.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 stock option or SAR may be exercised in whole or in part at any time, with respect to whole shares only, within the period permitted thereunder for the exercise thereof. Stock options and SARs must be exercised by written notice of intent to exercise the stock option or SAR and, with respect to options, payment in full to the Company of the amount of the option price for the number of shares with respect to which the option is then being exercised.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Payment of the option price must be made (i) in cash or cash equivalents, (ii) at the discretion of the compensation committee, by transfer, either actually or by attestation, to the Company of shares that have been held by the participant for such period as may be determined by the compensation committee which have a fair market value on the date of exercise equal to the option price, together with any applicable withholding taxes, (iii) by a combination of such cash and shares, or (iv) by any other method approved or accepted by the compensation committee in its discretion, including, for example, a broker-assisted exercise that complies with applicable law or a net-exercise arrangement. Until the participant has been issued the shares subject to such exercise, he or she will possess no rights as a shareholder with respect to such shares.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No stock option or SAR granted under the Amended Plan is transferable or exercisable by anyone other than the participant, except for certain limited circumstances and for no consideration.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u w:val="single"/>
        </w:rPr>
        <w:t>Restricted Shares and Restricted Share Units</w:t>
      </w:r>
      <w:r>
        <w:rPr>
          <w:rFonts w:ascii="Arial" w:hAnsi="Arial"/>
          <w:i/>
          <w:color w:val="000000"/>
          <w:sz w:val="20"/>
        </w:rPr>
        <w:t>.</w:t>
      </w:r>
      <w:r>
        <w:rPr>
          <w:rFonts w:ascii="Times New Roman" w:hAnsi="Times New Roman"/>
          <w:color w:val="000000"/>
          <w:sz w:val="20"/>
        </w:rPr>
        <w:t xml:space="preserve"> </w:t>
      </w:r>
      <w:r>
        <w:rPr>
          <w:rFonts w:ascii="Arial" w:hAnsi="Arial"/>
          <w:color w:val="000000"/>
          <w:sz w:val="20"/>
        </w:rPr>
        <w:t>The compensation committee is authorized to grant restricted shares of common stock and restricted share units. Restricted shares are shares of common stock subject to transfer restrictions as well as forfeiture upon certain terminations of employment prior to the end of a restricted period or other conditions specified by the compensation committee in the award agreement. A participant granted restricted shares of common stock generally has most of the rights of a shareholder of the Company with respect to the restricted shares, including the right to vote such shares. A participant will not be entitled to receive dividends or to be credited with dividend equivalents on any restricted shares at the time of any payment of dividends to shareholders on shares of common stock unless and until such award has vested, although such dividends shall be accumulated and paid upon the vesting or settlement of the award unless otherwise determined by the compensation committee. Restricted shares may not be transferred, encumbered or disposed of during the restricted period or until after fulfillment of the restrictive conditions. A participant will forfeit their restricted shares, without further obligation or action by the Company, if the participant does not remain in continuous employment of the Company for the restricted period or if any other conditions relating to the restricted shares are not met.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Each restricted share unit is a right for the participant to receive the fair market value of a share, in cash or in shares, of common stock upon such terms and conditions and subject to such restrictions as set forth in the applicable award agreement. A participant will not be entitled to receive dividends or to be credited with dividend equivalents on any restricted share units at the time of any payment of dividends to shareholders on shares of common stock unless and until such award has vested, although such dividends may be accumulated and paid upon the vesting or settlement of the award as provided by the compensation committee. Except as determined otherwise by the compensation committee, restricted share units may not be transferred, encumbered or disposed of during the applicable restricted period, and a participant will forfeit their restricted share units, without further obligation or action by the Company, if the participant does not remain in continuous employment of the Company for the restricted period or if any other conditions relating to the restricted share units are not met.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u w:val="single"/>
        </w:rPr>
        <w:t>Performance Awards</w:t>
      </w:r>
      <w:r>
        <w:rPr>
          <w:rFonts w:ascii="Arial" w:hAnsi="Arial"/>
          <w:i/>
          <w:color w:val="000000"/>
          <w:sz w:val="20"/>
        </w:rPr>
        <w:t>.</w:t>
      </w:r>
      <w:r>
        <w:rPr>
          <w:rFonts w:ascii="Times New Roman" w:hAnsi="Times New Roman"/>
          <w:color w:val="000000"/>
          <w:sz w:val="20"/>
        </w:rPr>
        <w:t xml:space="preserve"> </w:t>
      </w:r>
      <w:r>
        <w:rPr>
          <w:rFonts w:ascii="Arial" w:hAnsi="Arial"/>
          <w:color w:val="000000"/>
          <w:sz w:val="20"/>
        </w:rPr>
        <w:t>A performance award is an award that is denominated in cash or shares of common stock, valued in accordance with the achievement of certain performance goals during certain performance periods as established by the compensation committee, and payable at such time and in such form (including in cash, shares of common stock, other securities, other property, or any combination thereof) as determined by the compensation committee. Performance awards may be settled in cash, shares of common stock, other securities, other property or any combination thereof, as determined by the compensation committee, and may be paid in a lump sum or in installments following the close of a performance period or on a deferred basis. Except as provided in the applicable award agreement, termination of employment prior to the end of any performance period will result in the forfeiture of the performance award. A participant’s rights to any performance award may not be transferred, encumbered or disposed of in any manner, except by will or the laws of descent and distribution, except as the compensation committee may determine. A participant will not be entitled to receive dividends or to be credited with dividend equivalents on any performance awards at the time of any payment of dividends to shareholders on shares of common stock unless and until such award has vested, although such dividends may be accumulated and paid upon the vesting or settlement of the award as provided by the compensation committee.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Performance awards generally are subject to the achievement of performance goals determined by the compensation committee. Performance goals selected by the compensation committee may include one or more of the following financial performance measures relating to the Company or any of its subsidiaries, operating units, business segments or divisions: (a) earnings before interest, taxes, depreciation and/or amortization; (b) operating income or profit; (c) operating efficiencies; (d) return on equity, assets, capital, capital employed or investment; (e) net income; (f) earnings per share; (g) utilization; (h) gross profit; (i) stock price or total stockholder return; (j) customer growth; (k) debt reduction; (l) strategic business objectives, consisting of one or more objectives based on meeting specified cost targets, business expansion goals and goals relating to acquisitions or divestitures; or (m) any combination thereof. Each goal may be expressed on an absolute and/or relative basis, may be expressed to take into account the Company’s or business segment’s cost of capital, may be based on or otherwise employ comparisons based on internal targets, the past performance of the Company or any subsidiary, operating unit, business segment or division of the Company and/or the past or current performance of other companies, and in the case of earnings-based measures, may use or employ comparisons relating to capital, shareholders’ equity and/or shares outstanding, or to assets or net assets. The compensation committee may adjust any evaluation of performance (including making adjustments to performance targets) under criteria set forth in the Amended Plan to exclude any of the following events that occur during a performance period: (i) asset write-downs, (ii) litigation or claim judgments or settlements, (iii) the effect of changes in tax law, accounting principles or other such laws or provisions affecting reported results, (iv) accruals for reorganization and restructuring programs, (v) any items that are unusual in nature or infrequently occurring within the meaning of generally accepted accounting principles or other extraordinary items that are included in management’s discussion and analysis of financial condition and results of operations appearing in the Company’s annual report to shareholders for the applicable year, or (vi) any event either not directly related to the operations of the Company or not within the reasonable control of the Company’s management.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i/>
          <w:color w:val="000000"/>
          <w:sz w:val="20"/>
          <w:u w:val="single"/>
        </w:rPr>
        <w:t>Other Stock-Based Awards</w:t>
      </w:r>
      <w:r>
        <w:rPr>
          <w:rFonts w:ascii="Arial" w:hAnsi="Arial"/>
          <w:i/>
          <w:color w:val="000000"/>
          <w:sz w:val="20"/>
        </w:rPr>
        <w:t>.</w:t>
      </w:r>
      <w:r>
        <w:rPr>
          <w:rFonts w:ascii="Times New Roman" w:hAnsi="Times New Roman"/>
          <w:color w:val="000000"/>
          <w:sz w:val="20"/>
        </w:rPr>
        <w:t xml:space="preserve"> </w:t>
      </w:r>
      <w:r>
        <w:rPr>
          <w:rFonts w:ascii="Arial" w:hAnsi="Arial"/>
          <w:color w:val="000000"/>
          <w:sz w:val="20"/>
        </w:rPr>
        <w:t>The compensation committee is authorized to grant any other type of award that is denominated or payable in, valued by reference to, or otherwise based on or related to shares of common stock. The compensation committee will determine the terms and conditions of such awards, consistent with the terms of the Amended Plan. A participant will not be entitled to receive dividends or to be credited with dividend equivalents on any other stock-based awards at the time of any payment of dividends to shareholders on shares of common stock unless and until such award has vested, although such dividends may be accumulated and paid upon the vesting or settlement of the award as provided by the compensation committee.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u w:val="single"/>
        </w:rPr>
        <w:t>Non-Employee Director Awards</w:t>
      </w:r>
      <w:r>
        <w:rPr>
          <w:rFonts w:ascii="Arial" w:hAnsi="Arial"/>
          <w:i/>
          <w:color w:val="000000"/>
          <w:sz w:val="20"/>
        </w:rPr>
        <w:t>.</w:t>
      </w:r>
      <w:r>
        <w:rPr>
          <w:rFonts w:ascii="Times New Roman" w:hAnsi="Times New Roman"/>
          <w:color w:val="000000"/>
          <w:sz w:val="20"/>
        </w:rPr>
        <w:t xml:space="preserve"> </w:t>
      </w:r>
      <w:r>
        <w:rPr>
          <w:rFonts w:ascii="Arial" w:hAnsi="Arial"/>
          <w:color w:val="000000"/>
          <w:sz w:val="20"/>
        </w:rPr>
        <w:t>The Board may provide that all or a portion of a non-employee director’s annual retainer, meeting fees and/or other awards or compensation as determined by the Board be payable in non-qualified stock options, restricted shares, restricted share units and/or other stock-based awards, including unrestricted shares (subject to the minimum vesting provisions described above), either automatically or at the option of the non-employee directors. The Board will determine the terms and conditions of any such awards, including those that apply upon the termination of a non-employee director’s service as a member of the Board. Notwithstanding anything in the Amended Plan to the contrary, the aggregate value of all compensation paid or granted, as applicable, to any individual for service as a non-employee director with respect to any calendar year, including equity awards granted and cash fees paid by the Company to such non-employee director, may not exceed five hundred thousand dollars ($500,000) in value, calculating the value of any equity awards granted during such calendar year based on the grant date fair value of such awards for financial reporting purposes. The Board may make exceptions to the applicable limit for individual non-employee directors in extraordinary circumstances, such as where any such individual non-employee directors are serving on a special litigation or transactions committee of the Board, as the Board may determine in its discretion, provided that the non-employee director receiving such additional compensation may not participate in the decision to award such compensation involving such non-employee director.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u w:val="single"/>
        </w:rPr>
        <w:t>Termination of Employment or Service</w:t>
      </w:r>
      <w:r>
        <w:rPr>
          <w:rFonts w:ascii="Arial" w:hAnsi="Arial"/>
          <w:i/>
          <w:color w:val="000000"/>
          <w:sz w:val="20"/>
        </w:rPr>
        <w:t>.</w:t>
      </w:r>
      <w:r>
        <w:rPr>
          <w:rFonts w:ascii="Times New Roman" w:hAnsi="Times New Roman"/>
          <w:color w:val="000000"/>
          <w:sz w:val="20"/>
        </w:rPr>
        <w:t xml:space="preserve"> </w:t>
      </w:r>
      <w:r>
        <w:rPr>
          <w:rFonts w:ascii="Arial" w:hAnsi="Arial"/>
          <w:color w:val="000000"/>
          <w:sz w:val="20"/>
        </w:rPr>
        <w:t>The compensation committee will determine the terms and conditions that apply to any award upon the termination of employment or service with the Company, its subsidiaries and affiliates, and provide such terms in the applicable award agreement or in its rules or regulations. Unless determined otherwise by the compensation committee, a transfer of a participant’s employment or other service-providing capacity (including board service) without an intervening period of separation of service from the Company and any affiliate or subsidiary will not be deemed a termination of employment or service. The compensation committee has discretion to determine that vesting of an award will continue while a participant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compensation committee otherwise so provides in writing. Such terms and conditions need not be the same with respect to all awards or participants.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u w:val="single"/>
        </w:rPr>
        <w:t>Change in Control</w:t>
      </w:r>
      <w:r>
        <w:rPr>
          <w:rFonts w:ascii="Arial" w:hAnsi="Arial"/>
          <w:i/>
          <w:color w:val="000000"/>
          <w:sz w:val="20"/>
        </w:rPr>
        <w:t>.</w:t>
      </w:r>
      <w:r>
        <w:rPr>
          <w:rFonts w:ascii="Times New Roman" w:hAnsi="Times New Roman"/>
          <w:color w:val="000000"/>
          <w:sz w:val="20"/>
        </w:rPr>
        <w:t xml:space="preserve"> </w:t>
      </w:r>
      <w:r>
        <w:rPr>
          <w:rFonts w:ascii="Arial" w:hAnsi="Arial"/>
          <w:color w:val="000000"/>
          <w:sz w:val="20"/>
        </w:rPr>
        <w:t>Except as otherwise provided by the compensation committee at or after grant, no cancellation, accelerated vesting, accelerated exercisability, cash settlement or other payment will occur if the compensation committee determines that an award will be honored, assumed or replaced by an award of equivalent value meeting certain specific criteria immediately upon a change in control; provided, that such assumed awards must, among other requirements, (a) provide a participant with rights and entitlements substantially equivalent to or better than the rights, terms and conditions applicable under the outstanding award, and (b) have terms and conditions which provide that in the event that within twenty-four months following the change in control, the participant’s employment is involuntarily terminated for any reason other than for cause, or if the participant terminates their employment for good reason, all of such participant’s awards shall be deemed immediately and fully exercisable and/or all restrictions shall lapse. If such awards are not assumed, then all outstanding awards will vest, become immediately exercisable or payable and have all restrictions lifted immediately upon a change in control. The compensation committee may provide prior to the occurrence of a change in control that upon its occurrence, an award may be canceled in exchange for a payment per share or unit in an amount based on the fair market value of the award with reference to the change in control. With respect to performance awards, unless otherwise provided in an award agreement or other documents governing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a performance award, in the event of a change in control, (x) any outstanding performance awards relating to performance periods ending prior to the change in control which have been earned but not paid will become immediately payable, (y) all then-in-progress performance periods for outstanding performance awards will end, and all participants will be deemed to have earned an award based on actual performance during the shortened performance period or a pro rata amount of the target award opportunity based on the number of months that have elapsed during the performance period in question, and (z) if the award is assumed, such performance award shall convert into a time-based vesting award for such earned portion.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u w:val="single"/>
        </w:rPr>
        <w:t>Amendment and Termination</w:t>
      </w:r>
      <w:r>
        <w:rPr>
          <w:rFonts w:ascii="Arial" w:hAnsi="Arial"/>
          <w:i/>
          <w:color w:val="000000"/>
          <w:sz w:val="20"/>
        </w:rPr>
        <w:t>.</w:t>
      </w:r>
      <w:r>
        <w:rPr>
          <w:rFonts w:ascii="Times New Roman" w:hAnsi="Times New Roman"/>
          <w:color w:val="000000"/>
          <w:sz w:val="20"/>
        </w:rPr>
        <w:t xml:space="preserve"> </w:t>
      </w:r>
      <w:r>
        <w:rPr>
          <w:rFonts w:ascii="Arial" w:hAnsi="Arial"/>
          <w:color w:val="000000"/>
          <w:sz w:val="20"/>
        </w:rPr>
        <w:t>The Board may amend, alter, suspend, discontinue or terminate the Amended Plan or any portion of the Amended Plan at any time, except that shareholder approval must be obtained for any such action if such approval is necessary to comply with any tax or regulatory requirement with which the Board deems it desirable or necessary to comply. The compensation committee may waive any conditions or rights under, amend any terms of, or alter, suspend, discontinue, cancel or terminate any award, either prospectively or retroactively. However, without the approval of the Company’s shareholders, the compensation committee does not have the power to (a) amend the terms of previously granted stock options to reduce the exercise price per share of outstanding stock options or grant price of outstanding SARs, (b) cancel such options or SARs in exchange for cash or a grant of either substitute options or SARs with a lower exercise price per share or grant price, as applicable, than the cancelled award, or any other award, or (c) take any other action with respect to a stock option or SAR that would be treated as a repricing under the rules and regulations of the NYSE or such other principal securities exchange on which shares of the Company’s common stock is traded. The compensation committee also may not amend, alter or suspend a previously granted award in a manner that would materially and adversely affect the rights of a participant without the participant’s consent.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u w:val="single"/>
        </w:rPr>
        <w:t>Cancellation and Rescission of Shares</w:t>
      </w:r>
      <w:r>
        <w:rPr>
          <w:rFonts w:ascii="Arial" w:hAnsi="Arial"/>
          <w:i/>
          <w:color w:val="000000"/>
          <w:sz w:val="20"/>
        </w:rPr>
        <w:t>.</w:t>
      </w:r>
      <w:r>
        <w:rPr>
          <w:rFonts w:ascii="Times New Roman" w:hAnsi="Times New Roman"/>
          <w:color w:val="000000"/>
          <w:sz w:val="20"/>
        </w:rPr>
        <w:t xml:space="preserve"> </w:t>
      </w:r>
      <w:r>
        <w:rPr>
          <w:rFonts w:ascii="Arial" w:hAnsi="Arial"/>
          <w:color w:val="000000"/>
          <w:sz w:val="20"/>
        </w:rPr>
        <w:t>The Board or the compensation committee may cancel, rescind, suspend, withhold or otherwise limit or restrict any unexpired, unpaid, or deferred award made to an officer under the Amended Plan if (a) the Board or a Board committee has determined that any fraud, negligence, or intentional misconduct was a significant contributing factor to the Company having to restate all or a portion of its financial statement(s), (b) the officer engaged in any fraud or misconduct that caused or contributed to the need for the restatement, and (c) the amount of compensation that would have been paid or payable to the officer pursuant to the award had the financial results been properly reported would have been lower than the amount actually paid or payable. An officer will be liable to the Company for the reimbursement of any bonus or incentive compensation paid to the officer, and for gains realized on the exercise of stock options or SARs under the circumstances described in this paragraph. In addition, any award granted under the Amended Plan will be subject to mandatory repayment by the participant to the Company (i) to the extent set forth in any award agreement, (ii) to the extent such participant is, or in the future becomes, subject to (1) any “clawback” or recoupment policy adopted by the Company or any affiliate thereof to comply with the requirements of any applicable laws, rules or regulations, including pursuant to final rules adopted by the SEC pursuant to the Dodd-Frank Wall Street Reform and Consumer Protection Act, or otherwise, or (2) any applicable laws which impose mandatory recoupment, under circumstances set forth in such applicable laws, including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u w:val="single"/>
        </w:rPr>
        <w:t>Other Terms of Awards</w:t>
      </w:r>
      <w:r>
        <w:rPr>
          <w:rFonts w:ascii="Arial" w:hAnsi="Arial"/>
          <w:i/>
          <w:color w:val="000000"/>
          <w:sz w:val="20"/>
        </w:rPr>
        <w:t>.</w:t>
      </w:r>
      <w:r>
        <w:rPr>
          <w:rFonts w:ascii="Times New Roman" w:hAnsi="Times New Roman"/>
          <w:color w:val="000000"/>
          <w:sz w:val="20"/>
        </w:rPr>
        <w:t xml:space="preserve"> </w:t>
      </w:r>
      <w:r>
        <w:rPr>
          <w:rFonts w:ascii="Arial" w:hAnsi="Arial"/>
          <w:color w:val="000000"/>
          <w:sz w:val="20"/>
        </w:rPr>
        <w:t>The Company may take action, including the withholding of amounts from any award made under the Amended Plan, to satisfy withholding and other tax obligations. Except as permitted by the applicable award agreement, awards granted under the Amended Plan generally may not be pledged or otherwise encumbered and are not transferable except by will or by the laws of descent and distribution, or as permitted by the compensation committee in its discretion.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u w:val="single"/>
        </w:rPr>
        <w:t>Certain U.S. Federal Income Tax Consequences</w:t>
      </w:r>
      <w:r>
        <w:rPr>
          <w:rFonts w:ascii="Arial" w:hAnsi="Arial"/>
          <w:i/>
          <w:color w:val="000000"/>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The following is a brief summary of certain U.S. federal income tax aspects of awards under the Amended Plan based upon the U.S. federal income tax laws in effect on the date hereof. This summary is not intended to be exhaustive and the exact tax consequences to any participant will depend upon his or her particular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i/>
          <w:color w:val="000000"/>
          <w:sz w:val="20"/>
        </w:rPr>
        <w:t>circumstances and other factors. Participants may also be subject to certain other U.S. federal, state, local or non-U.S. taxes that are not described herein. Participants in the Amended Plan are encouraged to consult their own tax advisors with respect to any state, local or non-U.S. tax considerations or particular U.S. federal tax implications of awards granted under the Amended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u w:val="single"/>
        </w:rPr>
        <w:t>Non-qualified Stock Options</w:t>
      </w:r>
      <w:r>
        <w:rPr>
          <w:rFonts w:ascii="Arial" w:hAnsi="Arial"/>
          <w:color w:val="000000"/>
          <w:sz w:val="20"/>
        </w:rPr>
        <w:t>. No income is generally recognized by an optionee at the time a non-qualified stock option is granted. Generally (i) upon the exercise of a non-qualified stock option, the optionee recognizes ordinary income in an amount equal to the difference between the aggregate option price paid and the aggregate fair market value of the shares received on the date of exercise, and the Company receives an income tax deduction for the same amount, and (ii) upon the disposition shares received upon the exercise of a non-qualified stock option, appreciation or depreciation of the shares after the date of exercise is treated as either short-term or long-term capital gain or loss depending on how long the shares have been held. Special rules will apply where all or a portion of the exercise price of the non-qualified stock option is paid by tendering shares of common stock. Upon exercise of a nonqualified stock option, the optionee will also be subject to employment taxes on the excess of the fair market value of the shares received over the exercise price of the option.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u w:val="single"/>
        </w:rPr>
        <w:t>Incentive Stock Options</w:t>
      </w:r>
      <w:r>
        <w:rPr>
          <w:rFonts w:ascii="Arial" w:hAnsi="Arial"/>
          <w:color w:val="000000"/>
          <w:sz w:val="20"/>
        </w:rPr>
        <w:t>. No income is generally recognized by an optionee upon the grant or exercise of an incentive stock option (although the alternative minimum tax may apply to the exercise thereof). If shares of common stock issued to the optionee pursuant to the exercise of an incentive stock option are sold or transferred after two years from the date of grant and after one year from the date of exercise, then upon sale of such shares, (i) any amount realized in excess of the option price paid for the shares will be taxed to the optionee as a long-term capital gain, and any loss sustained will be treated as a long-term capital loss to the optionee, and (ii) the Company will not be entitled to any deduction for federal income tax purposes.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If shares acquired upon the exercise of an incentive stock option are disposed of prior to the expiration of the two-year and one-year holding periods described above, generally (i) the optionee will recognize ordinary income in the year of disposition in an amount equal to the excess (if any) of the fair market value of the shares received upon exercise (or, if less, the amount realized on the sale of such shares ) over the option price thereof, and (ii) the Company will be entitled to deduct such amount. Special rules will apply where all or a portion of the exercise price of the incentive stock option is paid by tendering shares of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If an incentive stock option is exercised at a time when it no longer qualifies for the tax treatment described above, the option is treated as a non-qualified stock option. Generally, an incentive stock option will not be eligible for the tax treatment described above if it is exercised more than three months following termination of employment (or one year in the case of a termination by reason of disability) under circumstances other than the death of the optionee.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u w:val="single"/>
        </w:rPr>
        <w:t>Stock Appreciation Rights</w:t>
      </w:r>
      <w:r>
        <w:rPr>
          <w:rFonts w:ascii="Arial" w:hAnsi="Arial"/>
          <w:i/>
          <w:color w:val="000000"/>
          <w:sz w:val="20"/>
        </w:rPr>
        <w:t>.</w:t>
      </w:r>
      <w:r>
        <w:rPr>
          <w:rFonts w:ascii="Times New Roman" w:hAnsi="Times New Roman"/>
          <w:color w:val="000000"/>
          <w:sz w:val="20"/>
        </w:rPr>
        <w:t xml:space="preserve"> </w:t>
      </w:r>
      <w:r>
        <w:rPr>
          <w:rFonts w:ascii="Arial" w:hAnsi="Arial"/>
          <w:color w:val="000000"/>
          <w:sz w:val="20"/>
        </w:rPr>
        <w:t>The grant of a SAR with an exercise price equal to the fair market value of a share on the date of grant is not generally a taxable event to the participant or the Company. The exercise of a SAR will result in the participant recognizing ordinary income on the value of the SAR at the time of exercise. The Company will be allowed an income tax deduction for the amount of ordinary income recognized by a participant with respect to the exercise of a SAR. A participant also will recognize capital gain or loss on the subsequent sale of any common stock acquired through the exercise of a SAR. For this purpose, the participant’s basis in the common stock is its fair market value at the time the SAR is exercised.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u w:val="single"/>
        </w:rPr>
        <w:t>Restricted Shares</w:t>
      </w:r>
      <w:r>
        <w:rPr>
          <w:rFonts w:ascii="Arial" w:hAnsi="Arial"/>
          <w:color w:val="000000"/>
          <w:sz w:val="20"/>
        </w:rPr>
        <w:t>. A participant who has been granted a restricted share award generally will not recognize taxable income at the time the award is granted. Upon the vesting of shares subject to a restricted share award, the participant generally will recognize ordinary income in an amount equal to the then fair market value of those shares in excess of the amount paid, if any, for such shares, and the Company will be entitled to a corresponding income tax deduction. Gains or losses subsequently recognized by the participant upon disposition of such shares generally will be treated as capital gains or losses, with the basis in such shares equal to the fair market value of the shares at the time of vesting plus the amount, if any, paid for such shares.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i/>
          <w:color w:val="000000"/>
          <w:sz w:val="20"/>
          <w:u w:val="single"/>
        </w:rPr>
        <w:t>Restricted Share Units</w:t>
      </w:r>
      <w:r>
        <w:rPr>
          <w:rFonts w:ascii="Arial" w:hAnsi="Arial"/>
          <w:color w:val="000000"/>
          <w:sz w:val="20"/>
        </w:rPr>
        <w:t>. A participant who has been granted an award of restricted share units generally will not recognize taxable income at the time the award is granted. The participant generally will recognize ordinary income in an amount equal to the cash or the then fair market value of any shares received upon settlement of the restricted share units when such cash or shares are made available to the participant, and the Company generally will be entitled to an income tax deduction at that time. Gains or losses recognized by the participant upon disposition of any shares received upon settlement of a restricted share unit award generally will be treated as capital gains or losses, with the basis in such shares equal to the fair market value of the shares at the time they were made available to the participant.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u w:val="single"/>
        </w:rPr>
        <w:t>Other Stock-Based Awards</w:t>
      </w:r>
      <w:r>
        <w:rPr>
          <w:rFonts w:ascii="Arial" w:hAnsi="Arial"/>
          <w:i/>
          <w:color w:val="000000"/>
          <w:sz w:val="20"/>
        </w:rPr>
        <w:t>.</w:t>
      </w:r>
      <w:r>
        <w:rPr>
          <w:rFonts w:ascii="Times New Roman" w:hAnsi="Times New Roman"/>
          <w:color w:val="000000"/>
          <w:sz w:val="20"/>
        </w:rPr>
        <w:t xml:space="preserve"> </w:t>
      </w:r>
      <w:r>
        <w:rPr>
          <w:rFonts w:ascii="Arial" w:hAnsi="Arial"/>
          <w:color w:val="000000"/>
          <w:sz w:val="20"/>
        </w:rPr>
        <w:t>A participant who is granted any other stock-based award that is not subject to any vesting or forfeiture restrictions will generally recognize, in the year of grant (or, if later, payment in case of stock units and similar awards), ordinary income equal to the fair market value of any cash or other property received. If such other stock-based award is subject to restrictions that do not allow for the delivery of shares or cash until a vesting condition has been satisfied, the participant would not generally recognize ordinary income until the date the vesting condition is satisfied and the shares or cash have been made available to the participant. The Company generally is entitled to an income tax deduction for the amount of ordinary income recognized by the participant with respect to the other stock-based award in the same year as the ordinary income is recognized by the participant.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u w:val="single"/>
        </w:rPr>
        <w:t>Performance Awards</w:t>
      </w:r>
      <w:r>
        <w:rPr>
          <w:rFonts w:ascii="Arial" w:hAnsi="Arial"/>
          <w:i/>
          <w:color w:val="000000"/>
          <w:sz w:val="20"/>
        </w:rPr>
        <w:t>.</w:t>
      </w:r>
      <w:r>
        <w:rPr>
          <w:rFonts w:ascii="Times New Roman" w:hAnsi="Times New Roman"/>
          <w:color w:val="000000"/>
          <w:sz w:val="20"/>
        </w:rPr>
        <w:t xml:space="preserve"> </w:t>
      </w:r>
      <w:r>
        <w:rPr>
          <w:rFonts w:ascii="Arial" w:hAnsi="Arial"/>
          <w:color w:val="000000"/>
          <w:sz w:val="20"/>
        </w:rPr>
        <w:t>Payments made under performance awards are taxable as ordinary income at the time an individual attains the performance goals and the payments in cash or shares are made available to, and are transferable by, the participant. Participants receiving performance awards settled in shares of common stock will recognize ordinary income equal to the fair market value of the shares received as the performance goals are met and such shares vest, less any amount paid by the participant for the shares. The participant will also recognize capital gain or loss on the subsequent sale of any shares received by the participant in connection with a performance award. Such participant’s tax basis in the stock generally is its fair market value at the time the shares become vested and are made available to the participant.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Amended Plan is not intended to be qualified under Section 401(a) of the Code.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New Plan Benefits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Because awards granted under the Amended Plan will be made at the discretion of the compensation committee, the benefits that will be awarded under the Amended Plan are not currently determinable as it is not currently possible to determine the benefits or amounts that will be received by any individual or groups pursuant to the Amended Plan in the future, or the benefits or amounts that would have been received by or allocated to any individual or groups for Fiscal 2027 if the Amended Plan had been in effect. Information regarding the Company’s recent practices with respect to equity-based compensation is presented elsewhere in this proxy statement.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Equity Compensation Plan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following table sets forth certain information concerning the Plan, previously approved by shareholders, and the Prior Plan. There are no equity compensation plans not approved by shareholders. For additional information concerning the Company’s equity compensation plans, see the discussion in the Notes to Consolidated Financial Statements in Note 1 – Summary of Significant Accounting Policies – Share-Based Compensation, and Note 14 – Share-Based Compensation Plans, included in the Company’s Annual Report on Form 10-K for the Fiscal Year ended January 31, 2026.</w:t>
      </w:r>
      <w:r>
        <w:rPr>
          <w:rFonts w:ascii="Times New Roman" w:hAnsi="Times New Roman"/>
          <w:color w:val="000000"/>
          <w:sz w:val="20"/>
        </w:rPr>
        <w:t xml:space="preserve"> </w:t>
      </w:r>
    </w:p>
    <w:p>
      <w:pPr>
        <w:pStyle w:val="TextBody"/>
        <w:bidi w:val="0"/>
        <w:jc w:val="left"/>
        <w:rPr/>
      </w:pPr>
      <w:r>
        <w:rPr/>
        <w:t> </w:t>
      </w:r>
    </w:p>
    <w:tbl>
      <w:tblPr>
        <w:tblW w:w="10023" w:type="dxa"/>
        <w:jc w:val="left"/>
        <w:tblInd w:w="0" w:type="dxa"/>
        <w:tblLayout w:type="fixed"/>
        <w:tblCellMar>
          <w:top w:w="28" w:type="dxa"/>
          <w:left w:w="28" w:type="dxa"/>
          <w:bottom w:w="28" w:type="dxa"/>
          <w:right w:w="28" w:type="dxa"/>
        </w:tblCellMar>
      </w:tblPr>
      <w:tblGrid>
        <w:gridCol w:w="5371"/>
        <w:gridCol w:w="146"/>
        <w:gridCol w:w="226"/>
        <w:gridCol w:w="654"/>
        <w:gridCol w:w="226"/>
        <w:gridCol w:w="229"/>
        <w:gridCol w:w="146"/>
        <w:gridCol w:w="350"/>
        <w:gridCol w:w="574"/>
        <w:gridCol w:w="242"/>
        <w:gridCol w:w="243"/>
        <w:gridCol w:w="146"/>
        <w:gridCol w:w="167"/>
        <w:gridCol w:w="915"/>
        <w:gridCol w:w="167"/>
        <w:gridCol w:w="221"/>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w:t>
              <w:br/>
              <w:t>Number of</w:t>
              <w:br/>
              <w:t>Securities to be</w:t>
              <w:br/>
              <w:t>Issued Upon</w:t>
              <w:br/>
              <w:t>Exercise of</w:t>
              <w:br/>
              <w:t>Outstanding</w:t>
              <w:br/>
              <w:t>Options,</w:t>
              <w:br/>
              <w:t>Warrants and</w:t>
              <w:br/>
              <w:t>Rights(1)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w:t>
              <w:br/>
              <w:t>Weighted-</w:t>
              <w:br/>
              <w:t>average</w:t>
              <w:br/>
              <w:t>Exercise Price of</w:t>
              <w:br/>
              <w:t>Outstanding</w:t>
              <w:br/>
              <w:t>Options,</w:t>
              <w:br/>
              <w:t>Warrants and</w:t>
              <w:br/>
              <w:t>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w:t>
              <w:br/>
              <w:t>Number of</w:t>
              <w:br/>
              <w:t>Securities</w:t>
              <w:br/>
              <w:t>Remaining</w:t>
              <w:br/>
              <w:t>Available for</w:t>
              <w:br/>
              <w:t>Future Issuance</w:t>
              <w:br/>
              <w:t>Under Equity</w:t>
              <w:br/>
              <w:t>Compensation</w:t>
              <w:br/>
              <w:t>Plans (excluding</w:t>
              <w:br/>
              <w:t>Securities</w:t>
              <w:br/>
              <w:t>Reflected in</w:t>
              <w:br/>
              <w:t>Column</w:t>
              <w:br/>
              <w:t>(a))(2)</w:t>
            </w:r>
          </w:p>
        </w:tc>
      </w:tr>
      <w:tr>
        <w:trPr/>
        <w:tc>
          <w:tcPr>
            <w:tcW w:w="537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compensation plans approved by security holders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766,794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compensation plans not approved by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7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920</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7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766,794</w:t>
            </w:r>
          </w:p>
        </w:tc>
        <w:tc>
          <w:tcPr>
            <w:tcW w:w="1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 xml:space="preserve">Restricted stock units issued to certain employees at no cost.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Such shares may be issued as restricted shares or other forms of stock-based compensation pursuant to the Plan and Prior Plan. Represents the 766,794 shares of the Company’s common stock reserved for issuance under the Plan and Prior Plan, as reported in Note 10 to the Company’s consolidated financial statements included in Part II, Item 8 of the Company’s Annual Report on Form 10-K as filed with the SEC on March 25, 2026. </w:t>
      </w:r>
    </w:p>
    <w:p>
      <w:pPr>
        <w:pStyle w:val="TextBody"/>
        <w:bidi w:val="0"/>
        <w:spacing w:before="240" w:after="283"/>
        <w:jc w:val="left"/>
        <w:rPr>
          <w:rFonts w:ascii="Times New Roman" w:hAnsi="Times New Roman"/>
          <w:sz w:val="20"/>
        </w:rPr>
      </w:pPr>
      <w:r>
        <w:rPr>
          <w:rFonts w:ascii="Arial" w:hAnsi="Arial"/>
          <w:b/>
          <w:color w:val="000000"/>
          <w:sz w:val="20"/>
        </w:rPr>
        <w:t>The Board recommends a vote FOR the proposal to approve the Genesco Inc. Fourth Amended and Restated 2020 Equity Incentive Plan. Proxies solicited by the Board will be so voted unless shareholders otherwise specify in their proxies.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6" w:name="audit_matters"/>
      <w:bookmarkEnd w:id="46"/>
      <w:r>
        <w:rPr>
          <w:rFonts w:ascii="Arial" w:hAnsi="Arial"/>
          <w:b/>
          <w:color w:val="000000"/>
          <w:sz w:val="20"/>
        </w:rPr>
        <w:t>AUDIT MATTERS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47" w:name="proposal_4"/>
      <w:bookmarkEnd w:id="47"/>
      <w:r>
        <w:rPr>
          <w:rFonts w:ascii="Arial" w:hAnsi="Arial"/>
          <w:b/>
          <w:color w:val="000000"/>
          <w:sz w:val="20"/>
        </w:rPr>
        <w:t>PROPOSAL 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RATIFICATION OF INDEPENDENT REGISTERED PUBLIC ACCOUNTING FIRM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audit committee is responsible for the appointment, compensation, and oversight of the independent registered public accounting firm retained to audit the Company’s consolidated financial statements and its process of internal control over financial reporting. The audit committee conducts an annual evaluation of the independent registered public accounting firm’s qualifications, performance, and independence. On April 29, 2026, the audit committee approved the appointment of Deloitte &amp; Touche LLP (“Deloitte”) to serve as the Company’s independent registered public accounting firm for the fiscal year ending January 30, 2027.</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audit committee exercises sole authority to approve all fees and terms associated with the retention of Deloitte. In addition to ensuring the regular rotation of the lead audit partner as required by law, the audit committee is involved in the selection of, and reviews and evaluates, the lead audit partner. The audit committee and the Board believe that the retention of Deloitte to serve as the Company’s independent registered public accounting firm is in the best interest of the Company and its shareholders, and are submitting the appointment for shareholder ratification at the Annual Meeting. If shareholders do not ratify the firm’s appointment, the audit committee will reconsider the appointment. Even if the appointment is ratified, the audit committee may in its discretion choose a different independent registered public accounting firm at any time during the fiscal year if it determines that such an action would be in the best interest of the Company and its shareholders. Representatives of the firm are expected to be present at the Annual Meeting, will have the opportunity to make a statement if they desire to do so, and will be available to respond to appropriate questions.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The Board unanimously recommends a vote FOR ratification of this appointment and your proxy will be so voted unless you specify otherwise.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Audit Committee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The audit committee is composed of three independent directors as defined under the current rules of the NYSE and applicable SEC regulations. The audit committee oversees the Company’s financial reporting process on behalf of the Board. The audit committee’s charter is available on the Company’s website, </w:t>
      </w:r>
      <w:r>
        <w:rPr>
          <w:rFonts w:ascii="Arial" w:hAnsi="Arial"/>
          <w:color w:val="000000"/>
          <w:sz w:val="20"/>
          <w:u w:val="single"/>
        </w:rPr>
        <w:t>www.genesco.com.</w:t>
      </w:r>
      <w:r>
        <w:rPr>
          <w:rFonts w:ascii="Times New Roman" w:hAnsi="Times New Roman"/>
          <w:color w:val="000000"/>
          <w:sz w:val="20"/>
        </w:rPr>
        <w:t xml:space="preserve"> </w:t>
      </w:r>
      <w:r>
        <w:rPr>
          <w:rFonts w:ascii="Arial" w:hAnsi="Arial"/>
          <w:color w:val="000000"/>
          <w:sz w:val="20"/>
        </w:rPr>
        <w:t>It is not the duty of the audit committee to prepare the Company’s consolidated financial statements, to plan or conduct audits of such financial statements, or to determine that the financial statements are complete and accurate and in accordance with generally accepted accounting principles. Management has the primary responsibility for the consolidated financial statements and the financial reporting process, including the Company’s internal control over financial reporting and its disclosure controls and procedures. Ernst &amp; Young LLP ("Ernst &amp; Young"), the Company’s independent registered public accounting firm for Fiscal 2025, was responsible for auditing the Company’s (i) consolidated financial statements and expressing an opinion as to whether they fairly present, in all material respects, the financial position, results of operations, and cash flows of the Company in conformity with generally accepted accounting principles in the United States, and (ii) internal control over financial reporting and expressing an opinion as to its effectiveness.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Fiscal 2026, the audit committee met 15 times. Agendas are established by the chairman of the audit committee in consultation with management. Each meeting included participation by members of the Company’s corporate and financial management team, generally including the chief executive officer, the chief financial officer, the general counsel, and representatives of the internal audit department, and by representatives of the Company’s independent registered public accounting firm for Fiscal 2026, Deloitte. In connection with each of the quarterly audit committee meetings, the audit committee met in separate private sessions with management, representatives of internal audit, and representatives of Deloitte.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In addition to reviewing and discussing with management and Deloitte, the Company’s interim and annual consolidated financial statements filed on Forms 10-Q and 10-K, the audit committee also:</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Reviewed and approved the internal audit plan for the fiscal year and regularly received updates on the status of the plan;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Reviewed with representatives of Deloitte the overall scope and strategy for their annual audits of the Company’s consolidated financial statements and internal control over financial reporting;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Reviewed and discussed with management the Company’s quarterly earnings press releases, including the earnings guidance estimates for the full fiscal year and the non-GAAP measures used by the Company;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Regularly discussed with Deloitte the matters required to be discussed under the standards of the Public Company Accounting Oversight Board (the “PCAOB”);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Regularly received updates on management’s processes to assess the effectiveness of the Company’s internal control over financial reporting and discussed these processes with representatives of internal audit and Deloitte;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Received periodic updates from the Company’s chief information security and privacy officer and its senior vice president-strategy and shared services on the Company’s cybersecurity processes and initiatives;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Received regular updates from the Company’s general counsel on the status of litigation and legal compliance matters affecting the Company;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Received regular updates from the Company’s chief financial officer and treasurer on matters including the Company’s credit facilities, cash flow, and capital expenditures and on certain employee benefit plans; and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Received overviews and status reports from management, legal counsel and Deloitte on accounting and financial reporting matters, insurable risk and SEC and PCAOB developments.</w:t>
      </w:r>
    </w:p>
    <w:p>
      <w:pPr>
        <w:pStyle w:val="TextBody"/>
        <w:bidi w:val="0"/>
        <w:spacing w:before="240" w:after="283"/>
        <w:jc w:val="left"/>
        <w:rPr>
          <w:rFonts w:ascii="Times New Roman" w:hAnsi="Times New Roman"/>
          <w:sz w:val="20"/>
        </w:rPr>
      </w:pPr>
      <w:r>
        <w:rPr>
          <w:rFonts w:ascii="Arial" w:hAnsi="Arial"/>
          <w:color w:val="000000"/>
          <w:sz w:val="20"/>
        </w:rPr>
        <w:t>The audit committee has discussed with Deloitte the factors which might be deemed to bear upon the firm’s independence from the Company and its management, including the matters in the written disclosures and the applicable requirements of the PCAOB regarding the firm’s communications with the audit committee concerning independence, which were reviewed by the audit committee. The audit committee considered, among other factors, the distribution of fees paid to the firm among those for audit services, those for audit-related services, those for tax services and all other fees, as described below under the caption “Fee Information,” and considered whether the provision of services other than the audit and audit-related services is compatible with Deloitte’s independence.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reliance on the reviews and discussions described in this report, the audit committee recommended to the Board, and the Board approved, inclusion of the audited consolidated financial statements in the Company’s Annual Report on Form 10-K for the fiscal year ended January 31, 2026, filed with the SEC on March 25, 2026.</w:t>
      </w:r>
      <w:r>
        <w:rPr>
          <w:rFonts w:ascii="Times New Roman" w:hAnsi="Times New Roman"/>
          <w:color w:val="000000"/>
          <w:sz w:val="20"/>
        </w:rPr>
        <w:t xml:space="preserve"> </w:t>
      </w:r>
    </w:p>
    <w:p>
      <w:pPr>
        <w:pStyle w:val="TextBody"/>
        <w:bidi w:val="0"/>
        <w:jc w:val="left"/>
        <w:rPr/>
      </w:pPr>
      <w:r>
        <w:rPr/>
        <w:t> </w:t>
      </w:r>
    </w:p>
    <w:tbl>
      <w:tblPr>
        <w:tblW w:w="3477" w:type="dxa"/>
        <w:jc w:val="left"/>
        <w:tblInd w:w="0" w:type="dxa"/>
        <w:tblLayout w:type="fixed"/>
        <w:tblCellMar>
          <w:top w:w="28" w:type="dxa"/>
          <w:left w:w="28" w:type="dxa"/>
          <w:bottom w:w="28" w:type="dxa"/>
          <w:right w:w="28" w:type="dxa"/>
        </w:tblCellMar>
      </w:tblPr>
      <w:tblGrid>
        <w:gridCol w:w="161"/>
        <w:gridCol w:w="3316"/>
      </w:tblGrid>
      <w:tr>
        <w:trPr/>
        <w:tc>
          <w:tcPr>
            <w:tcW w:w="161"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i/>
                <w:color w:val="000000"/>
                <w:sz w:val="20"/>
              </w:rPr>
              <w:t>By the Audit Committee:</w:t>
            </w:r>
            <w:r>
              <w:rPr>
                <w:rFonts w:ascii="Times New Roman" w:hAnsi="Times New Roman"/>
                <w:color w:val="000000"/>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Arial" w:hAnsi="Arial"/>
                <w:color w:val="000000"/>
                <w:sz w:val="20"/>
              </w:rPr>
              <w:t>Mary E. Meixelsperger, Chairperson</w:t>
            </w:r>
            <w:r>
              <w:rPr>
                <w:rFonts w:ascii="Times New Roman" w:hAnsi="Times New Roman"/>
                <w:color w:val="000000"/>
                <w:sz w:val="20"/>
              </w:rPr>
              <w:t xml:space="preserve"> </w:t>
            </w:r>
          </w:p>
          <w:p>
            <w:pPr>
              <w:pStyle w:val="TableContents"/>
              <w:bidi w:val="0"/>
              <w:jc w:val="left"/>
              <w:rPr>
                <w:rFonts w:ascii="Times New Roman" w:hAnsi="Times New Roman"/>
                <w:sz w:val="20"/>
              </w:rPr>
            </w:pPr>
            <w:r>
              <w:rPr>
                <w:rFonts w:ascii="Arial" w:hAnsi="Arial"/>
                <w:color w:val="000000"/>
                <w:sz w:val="20"/>
              </w:rPr>
              <w:t>Matthew M. Bilunas</w:t>
            </w:r>
            <w:r>
              <w:rPr>
                <w:rFonts w:ascii="Times New Roman" w:hAnsi="Times New Roman"/>
                <w:color w:val="000000"/>
                <w:sz w:val="20"/>
              </w:rPr>
              <w:t xml:space="preserve"> </w:t>
            </w:r>
          </w:p>
          <w:p>
            <w:pPr>
              <w:pStyle w:val="TableContents"/>
              <w:bidi w:val="0"/>
              <w:spacing w:before="0" w:after="283"/>
              <w:jc w:val="left"/>
              <w:rPr>
                <w:rFonts w:ascii="Times New Roman" w:hAnsi="Times New Roman"/>
                <w:sz w:val="20"/>
              </w:rPr>
            </w:pPr>
            <w:r>
              <w:rPr>
                <w:rFonts w:ascii="Arial" w:hAnsi="Arial"/>
                <w:color w:val="000000"/>
                <w:sz w:val="20"/>
              </w:rPr>
              <w:t>Gregory A. Sandfort</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foregoing report of the audit committee shall not be deemed incorporated by reference by any general statement incorporating by reference this proxy statement into any filing under the Securities Act or the Exchange Act, except to the extent that the Company specifically incorporates this information by reference, and shall not otherwise be deemed filed under such acts.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Fee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following table sets forth summary information regarding fees for services by the Company’s independent registered public accounting firm during Fiscal 2026, Deloitte, and Fiscal 2025, Ernst &amp; Young.</w:t>
      </w:r>
      <w:r>
        <w:rPr>
          <w:rFonts w:ascii="Times New Roman" w:hAnsi="Times New Roman"/>
          <w:color w:val="000000"/>
          <w:sz w:val="20"/>
        </w:rPr>
        <w:t xml:space="preserve"> </w:t>
      </w:r>
    </w:p>
    <w:p>
      <w:pPr>
        <w:pStyle w:val="TextBody"/>
        <w:bidi w:val="0"/>
        <w:jc w:val="left"/>
        <w:rPr/>
      </w:pPr>
      <w:r>
        <w:rPr/>
        <w:t> </w:t>
      </w:r>
    </w:p>
    <w:tbl>
      <w:tblPr>
        <w:tblW w:w="5051" w:type="dxa"/>
        <w:jc w:val="left"/>
        <w:tblInd w:w="0" w:type="dxa"/>
        <w:tblLayout w:type="fixed"/>
        <w:tblCellMar>
          <w:top w:w="28" w:type="dxa"/>
          <w:left w:w="28" w:type="dxa"/>
          <w:bottom w:w="28" w:type="dxa"/>
          <w:right w:w="28" w:type="dxa"/>
        </w:tblCellMar>
      </w:tblPr>
      <w:tblGrid>
        <w:gridCol w:w="1786"/>
        <w:gridCol w:w="146"/>
        <w:gridCol w:w="211"/>
        <w:gridCol w:w="961"/>
        <w:gridCol w:w="146"/>
        <w:gridCol w:w="146"/>
        <w:gridCol w:w="146"/>
        <w:gridCol w:w="211"/>
        <w:gridCol w:w="961"/>
        <w:gridCol w:w="146"/>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r>
      <w:tr>
        <w:trPr/>
        <w:tc>
          <w:tcPr>
            <w:tcW w:w="178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Audit Fees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1,648,998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Tax Fees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521,795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330,740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rFonts w:ascii="Times New Roman" w:hAnsi="Times New Roman"/>
          <w:sz w:val="20"/>
        </w:rPr>
      </w:pPr>
      <w:r>
        <w:rPr>
          <w:rFonts w:ascii="Arial" w:hAnsi="Arial"/>
          <w:b/>
          <w:color w:val="000000"/>
          <w:sz w:val="20"/>
        </w:rPr>
        <w:t>Audit Fees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Audit fees include fees paid by the Company to Deloitte in connection with annual audits of the Company’s consolidated financial statements, internal controls over financial reporting, and their review of the Company’s interim financial statements. Audit fees also include fees for services performed by the independent registered public accounting firm that are closely related to the audit and in many cases could be provided only by the Company’s independent registered public accounting firm.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Audit-Related Fees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Audit-related fees for Fiscal 2026 include fees for the performance of agreed-upon procedures for EPA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Tax Fees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Tax fees include fees paid by the Company primarily for compliance services and also for planning and advice for Fiscal 2026 and Fiscal 2025.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Pre-Approval Policy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audit committee has adopted a policy pursuant to which it pre-approves all services to be provided by the Company’s independent registered public accounting firm and a maximum fee for such services. As permitted by the policy, the audit committee has delegated authority to its chairman to pre-approve services the fees for which do not exceed $100,000, subject to the requirement that the chairman report any such pre-approval to the audit committee at its next meeting.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All fees paid to the Company’s independent registered public accounting firm in Fiscal 2026, Deloitte, were pre-approved in accordance with the policy.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8" w:name="proposals_for_the_2026_annual_meeting"/>
      <w:bookmarkEnd w:id="48"/>
      <w:r>
        <w:rPr>
          <w:rFonts w:ascii="Arial" w:hAnsi="Arial"/>
          <w:b/>
          <w:color w:val="000000"/>
          <w:sz w:val="20"/>
        </w:rPr>
        <w:t>PROPOSALS FOR THE 2027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Rule 14a-8 Shareholder Proposals: Proposals of shareholders intended for inclusion in the Company’s proxy materials for the 2027 annual meeting of shareholders under Exchange Act Rule 14a-8 must be received at the Company’s offices at 535 Marriott Drive, Nashville, Tennessee 37214, attention of the Corporate Secretary, no later than February 15, 2027. In order to be eligible for inclusion in the proxy materials for such meeting, any such proposal must (i) meet the informational and other requirements set forth in the SEC’s rules and regulations and (ii) be submitted by eligible shareholders.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Nomination of Director Candidates and Non-Rule 14a-8 Shareholder Proposals: The Company’s Bylaws contain an advance notice provision requiring that, if a shareholder’s nomination or proposal is to be brought before, and considered at, the next annual meeting of shareholders, such shareholder must provide timely written notice thereof to the Secretary of the Company. In the case of an annual meeting to be held on the fourth Thursday in the month of June or within thirty days thereafter, in order to be timely, the notice must be delivered to or mailed to the Corporate Secretary of the Company and received at the principal executive offices of the Company not less than sixty days nor more than ninety days prior to the fourth Thursday in the month of June, i.e., no earlier than March 26, 2027 nor later than April 25, 2027 (or, if less than seventy days’ notice or prior public disclosure of the date of the meeting is given or made to shareholders, notice must be so received not later than the close of business on the tenth day following the day on which such notice of the date of the annual meeting was mailed or such public disclosure was made). In the event the annual meeting is being held on a date other than the fourth Thursday in the month of June, or within thirty days thereafter, or in the case of any special meeting of shareholders, the notice must be sent within ten days after the earlier of (i) the date on which notice of the meeting is first mailed to shareholders or (ii) the date on which public disclosure is first made of the date of such shareholders’ meeting, whichever occurs first. The written notice must include the information required by our Bylaws. The Company reserves the right to disregard any shareholder nomination of a candidate for election to our Board or shareholder proposal of other business that does not comply with the requirements of our Bylaws or any applicable laws or regulations.</w:t>
      </w:r>
    </w:p>
    <w:p>
      <w:pPr>
        <w:pStyle w:val="TextBody"/>
        <w:bidi w:val="0"/>
        <w:spacing w:before="240" w:after="283"/>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9" w:name="financial_statements_available"/>
      <w:bookmarkEnd w:id="49"/>
      <w:r>
        <w:rPr>
          <w:rFonts w:ascii="Arial" w:hAnsi="Arial"/>
          <w:b/>
          <w:color w:val="000000"/>
          <w:sz w:val="20"/>
        </w:rPr>
        <w:t>FINANCIAL STATEMENTS AVAILABLE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 copy of the Company’s annual report to shareholders containing audited financial statements accompanies this proxy statement. The annual report does not constitute a part of the proxy solicitation material.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A copy of the Company’s Annual Report on Form 10-K for the fiscal year ended January 31, 2026, excluding certain of the exhibits thereto, may be obtained, without charge, by any shareholder, upon written request to Corporate Secretary, Genesco Inc., 535 Marriott Drive, Nashville, Tennessee 37214.</w:t>
      </w:r>
      <w:r>
        <w:rPr>
          <w:rFonts w:ascii="Times New Roman" w:hAnsi="Times New Roman"/>
          <w:color w:val="000000"/>
          <w:sz w:val="20"/>
        </w:rPr>
        <w:t xml:space="preserve"> </w:t>
      </w:r>
    </w:p>
    <w:p>
      <w:pPr>
        <w:pStyle w:val="TextBody"/>
        <w:bidi w:val="0"/>
        <w:spacing w:before="240" w:after="283"/>
        <w:jc w:val="center"/>
        <w:rPr/>
      </w:pPr>
      <w:r>
        <w:rPr/>
        <w:t> </w:t>
      </w:r>
    </w:p>
    <w:p>
      <w:pPr>
        <w:pStyle w:val="TextBody"/>
        <w:bidi w:val="0"/>
        <w:jc w:val="left"/>
        <w:rPr>
          <w:rFonts w:ascii="Arial" w:hAnsi="Arial"/>
          <w:color w:val="000000"/>
          <w:sz w:val="20"/>
        </w:rPr>
      </w:pPr>
      <w:r>
        <w:rPr>
          <w:rFonts w:ascii="Arial" w:hAnsi="Arial"/>
          <w:color w:val="000000"/>
          <w:sz w:val="20"/>
        </w:rPr>
      </w:r>
    </w:p>
    <w:p>
      <w:pPr>
        <w:pStyle w:val="TextBody"/>
        <w:bidi w:val="0"/>
        <w:spacing w:before="240" w:after="283"/>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bookmarkStart w:id="50" w:name="cost_of_solicitation"/>
      <w:bookmarkEnd w:id="50"/>
      <w:r>
        <w:rPr>
          <w:rFonts w:ascii="Arial" w:hAnsi="Arial"/>
          <w:b/>
          <w:color w:val="000000"/>
          <w:sz w:val="20"/>
        </w:rPr>
        <w:t>COST OF</w:t>
      </w:r>
      <w:r>
        <w:rPr>
          <w:rFonts w:ascii="Times New Roman" w:hAnsi="Times New Roman"/>
          <w:color w:val="000000"/>
          <w:sz w:val="20"/>
        </w:rPr>
        <w:t xml:space="preserve"> </w:t>
      </w:r>
      <w:r>
        <w:rPr>
          <w:rFonts w:ascii="Arial" w:hAnsi="Arial"/>
          <w:b/>
          <w:color w:val="000000"/>
          <w:sz w:val="20"/>
        </w:rPr>
        <w:t>SOLICITATION</w:t>
      </w:r>
    </w:p>
    <w:p>
      <w:pPr>
        <w:pStyle w:val="TextBody"/>
        <w:bidi w:val="0"/>
        <w:spacing w:before="240" w:after="283"/>
        <w:jc w:val="left"/>
        <w:rPr>
          <w:rFonts w:ascii="Arial" w:hAnsi="Arial"/>
          <w:color w:val="000000"/>
          <w:sz w:val="20"/>
        </w:rPr>
      </w:pPr>
      <w:r>
        <w:rPr>
          <w:rFonts w:ascii="Arial" w:hAnsi="Arial"/>
          <w:color w:val="000000"/>
          <w:sz w:val="20"/>
        </w:rPr>
        <w:t>The Company will pay the full cost of the proxy solicitation. The Company has retained Innisfree to assist in the proxy solicitation. Proxies may be solicited by mail, in person, by telephone and via the Internet. The Company will pay Innisfree a proxy solicitation fee of $600,000 and reimburse its expenses. In addition to approximately 50 employees of Innisfree, directors, officers and other employees of the Company may also solicit proxies personally, by mail, telephone, email or other electronic means, but will receive no extra compensation for any solicitation activities. The Company will request brokers, nominees, fiduciaries and other custodians to forward soliciting material to the beneficial owners of shares and will reimburse the expenses they incur in doing so.</w:t>
      </w:r>
    </w:p>
    <w:p>
      <w:pPr>
        <w:pStyle w:val="TextBody"/>
        <w:bidi w:val="0"/>
        <w:spacing w:before="240" w:after="283"/>
        <w:jc w:val="left"/>
        <w:rPr>
          <w:rFonts w:ascii="Arial" w:hAnsi="Arial"/>
          <w:color w:val="000000"/>
          <w:sz w:val="20"/>
        </w:rPr>
      </w:pPr>
      <w:r>
        <w:rPr>
          <w:rFonts w:ascii="Arial" w:hAnsi="Arial"/>
          <w:color w:val="000000"/>
          <w:sz w:val="20"/>
        </w:rPr>
        <w:t>The Company's aggregate expenses, including those of Innisfree related to our solicitation of proxies in excess of those normally spent for an Annual Meeting as a result of the proxy contest initiated by Mr. Radoff, and excluding salaries and wages of our regular employees and officers, are expected to be approximately $6 million, of which the Company estimates it has incurred approximately $2 million to date. Appendix B sets forth information relating to our director nominees as well as certain of our directors, officers and employees who are considered “participants” in our solicitation under the rules of the SEC by reason of their position as directors or director nominees of the Company or because they may be soliciting proxies on our behalf.</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right"/>
        <w:rPr>
          <w:rFonts w:ascii="Times New Roman" w:hAnsi="Times New Roman"/>
          <w:sz w:val="20"/>
        </w:rPr>
      </w:pPr>
      <w:bookmarkStart w:id="51" w:name="appendix_a"/>
      <w:bookmarkEnd w:id="51"/>
      <w:r>
        <w:rPr>
          <w:rFonts w:ascii="Arial" w:hAnsi="Arial"/>
          <w:b/>
          <w:color w:val="000000"/>
          <w:sz w:val="20"/>
        </w:rPr>
        <w:t>APPENDIX A</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aps/>
          <w:color w:val="000000"/>
          <w:sz w:val="20"/>
        </w:rPr>
        <w:t>GENESCO INC.</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Arial" w:hAnsi="Arial"/>
          <w:b/>
          <w:caps/>
          <w:color w:val="000000"/>
          <w:sz w:val="20"/>
        </w:rPr>
        <w:t>FOURTH Amended and restated</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Arial" w:hAnsi="Arial"/>
          <w:b/>
          <w:color w:val="000000"/>
          <w:sz w:val="20"/>
        </w:rPr>
        <w:t>2020 EQUITY INCENTIVE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Section 1. Purpose.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This plan shall be known as the “Genesco Inc. Fourth Amended and Restated 2020 Equity Incentive Plan” (the “Plan”). The purpose of the Plan is to promote the interests of Genesco Inc., a Tennessee corporation (the “Company”), its Subsidiaries and its stockholders by (i) attracting and retaining key officers, employees, and directors of, and consultants to, the Company and its Subsidiaries and Affiliates; (ii) motivating such individuals by means of performance-related incentives to achieve long-range performance goals; (iii) enabling such individuals to participate in the long-term growth and financial success of the Company; (iv) encouraging ownership of stock in the Company by such individuals; and (v) linking their compensation to the long-term interests of the Company and its stockholders.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Section 2. Definitions.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As used in the Plan, the following terms shall have the meanings set forth below: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(a) </w:t>
      </w:r>
      <w:r>
        <w:rPr>
          <w:rFonts w:ascii="Times New Roman" w:hAnsi="Times New Roman"/>
          <w:color w:val="000000"/>
          <w:sz w:val="20"/>
        </w:rPr>
        <w:t>“</w:t>
      </w:r>
      <w:r>
        <w:rPr>
          <w:rFonts w:ascii="Arial" w:hAnsi="Arial"/>
          <w:b/>
          <w:color w:val="000000"/>
          <w:sz w:val="20"/>
        </w:rPr>
        <w:t>Affiliate”</w:t>
      </w:r>
      <w:r>
        <w:rPr>
          <w:rFonts w:ascii="Times New Roman" w:hAnsi="Times New Roman"/>
          <w:color w:val="000000"/>
          <w:sz w:val="20"/>
        </w:rPr>
        <w:t xml:space="preserve"> </w:t>
      </w:r>
      <w:r>
        <w:rPr>
          <w:rFonts w:ascii="Arial" w:hAnsi="Arial"/>
          <w:color w:val="000000"/>
          <w:sz w:val="20"/>
        </w:rPr>
        <w:t>shall mean (i) any entity that, directly or indirectly, is controlled by the Company, (ii) any entity in which the Company has a significant equity interest, (iii) an affiliate of the Company, as defined in Rule 12b-2 promulgated under Section 12 of the Exchange Act, and (iv) any entity in which the Company has at least twenty percent (20%) of the combined voting power of the entity’s outstanding voting securities, in each case as designated by the Board as being a participating employer in the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(b) </w:t>
      </w:r>
      <w:r>
        <w:rPr>
          <w:rFonts w:ascii="Times New Roman" w:hAnsi="Times New Roman"/>
          <w:color w:val="000000"/>
          <w:sz w:val="20"/>
        </w:rPr>
        <w:t>“</w:t>
      </w:r>
      <w:r>
        <w:rPr>
          <w:rFonts w:ascii="Arial" w:hAnsi="Arial"/>
          <w:b/>
          <w:color w:val="000000"/>
          <w:sz w:val="20"/>
        </w:rPr>
        <w:t>Alternative Award”</w:t>
      </w:r>
      <w:r>
        <w:rPr>
          <w:rFonts w:ascii="Times New Roman" w:hAnsi="Times New Roman"/>
          <w:color w:val="000000"/>
          <w:sz w:val="20"/>
        </w:rPr>
        <w:t xml:space="preserve"> </w:t>
      </w:r>
      <w:r>
        <w:rPr>
          <w:rFonts w:ascii="Arial" w:hAnsi="Arial"/>
          <w:color w:val="000000"/>
          <w:sz w:val="20"/>
        </w:rPr>
        <w:t xml:space="preserve">has the meaning set forth in </w:t>
      </w:r>
      <w:r>
        <w:rPr>
          <w:rFonts w:ascii="Arial" w:hAnsi="Arial"/>
          <w:color w:val="000000"/>
          <w:sz w:val="20"/>
          <w:u w:val="single"/>
        </w:rPr>
        <w:t>Section 13.3</w:t>
      </w:r>
      <w:r>
        <w:rPr>
          <w:rFonts w:ascii="Times New Roman" w:hAnsi="Times New Roman"/>
          <w:color w:val="000000"/>
          <w:sz w:val="20"/>
        </w:rPr>
        <w:t xml:space="preserve"> </w:t>
      </w:r>
      <w:r>
        <w:rPr>
          <w:rFonts w:ascii="Arial" w:hAnsi="Arial"/>
          <w:color w:val="000000"/>
          <w:sz w:val="20"/>
        </w:rPr>
        <w:t>hereof.</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(c) </w:t>
      </w:r>
      <w:r>
        <w:rPr>
          <w:rFonts w:ascii="Times New Roman" w:hAnsi="Times New Roman"/>
          <w:color w:val="000000"/>
          <w:sz w:val="20"/>
        </w:rPr>
        <w:t>“</w:t>
      </w:r>
      <w:r>
        <w:rPr>
          <w:rFonts w:ascii="Arial" w:hAnsi="Arial"/>
          <w:b/>
          <w:color w:val="000000"/>
          <w:sz w:val="20"/>
        </w:rPr>
        <w:t>Award”</w:t>
      </w:r>
      <w:r>
        <w:rPr>
          <w:rFonts w:ascii="Times New Roman" w:hAnsi="Times New Roman"/>
          <w:color w:val="000000"/>
          <w:sz w:val="20"/>
        </w:rPr>
        <w:t xml:space="preserve"> </w:t>
      </w:r>
      <w:r>
        <w:rPr>
          <w:rFonts w:ascii="Arial" w:hAnsi="Arial"/>
          <w:color w:val="000000"/>
          <w:sz w:val="20"/>
        </w:rPr>
        <w:t>shall mean any Option, Stock Appreciation Right, Restricted Share Award, Restricted Share Unit, Performance Award, Other Stock-Based Award or other award (whether cash or Share-based) granted under the Plan, whether singly, in combination or in tandem, to a Participant by the Committee pursuant to such terms, conditions, restrictions and/or limitations, if any, as the Committee may establish or which are required by applicable legal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(d) </w:t>
      </w:r>
      <w:r>
        <w:rPr>
          <w:rFonts w:ascii="Times New Roman" w:hAnsi="Times New Roman"/>
          <w:color w:val="000000"/>
          <w:sz w:val="20"/>
        </w:rPr>
        <w:t>“</w:t>
      </w:r>
      <w:r>
        <w:rPr>
          <w:rFonts w:ascii="Arial" w:hAnsi="Arial"/>
          <w:b/>
          <w:color w:val="000000"/>
          <w:sz w:val="20"/>
        </w:rPr>
        <w:t>Award Agreement”</w:t>
      </w:r>
      <w:r>
        <w:rPr>
          <w:rFonts w:ascii="Times New Roman" w:hAnsi="Times New Roman"/>
          <w:color w:val="000000"/>
          <w:sz w:val="20"/>
        </w:rPr>
        <w:t xml:space="preserve"> </w:t>
      </w:r>
      <w:r>
        <w:rPr>
          <w:rFonts w:ascii="Arial" w:hAnsi="Arial"/>
          <w:color w:val="000000"/>
          <w:sz w:val="20"/>
        </w:rPr>
        <w:t>shall mean any written agreement (including electronically written), contract or other instrument or document evidencing any Award, which may, but need not, be executed or acknowledged by a Participant.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(e) </w:t>
      </w:r>
      <w:r>
        <w:rPr>
          <w:rFonts w:ascii="Times New Roman" w:hAnsi="Times New Roman"/>
          <w:color w:val="000000"/>
          <w:sz w:val="20"/>
        </w:rPr>
        <w:t>“</w:t>
      </w:r>
      <w:r>
        <w:rPr>
          <w:rFonts w:ascii="Arial" w:hAnsi="Arial"/>
          <w:b/>
          <w:color w:val="000000"/>
          <w:sz w:val="20"/>
        </w:rPr>
        <w:t>Beneficial Ownership”</w:t>
      </w:r>
      <w:r>
        <w:rPr>
          <w:rFonts w:ascii="Times New Roman" w:hAnsi="Times New Roman"/>
          <w:color w:val="000000"/>
          <w:sz w:val="20"/>
        </w:rPr>
        <w:t xml:space="preserve"> </w:t>
      </w:r>
      <w:r>
        <w:rPr>
          <w:rFonts w:ascii="Arial" w:hAnsi="Arial"/>
          <w:color w:val="000000"/>
          <w:sz w:val="20"/>
        </w:rPr>
        <w:t>(including correlative terms) shall have the meaning given such term in Rule 13d-3 promulgated under the Exchange Act.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(f) </w:t>
      </w:r>
      <w:r>
        <w:rPr>
          <w:rFonts w:ascii="Times New Roman" w:hAnsi="Times New Roman"/>
          <w:color w:val="000000"/>
          <w:sz w:val="20"/>
        </w:rPr>
        <w:t>“</w:t>
      </w:r>
      <w:r>
        <w:rPr>
          <w:rFonts w:ascii="Arial" w:hAnsi="Arial"/>
          <w:b/>
          <w:color w:val="000000"/>
          <w:sz w:val="20"/>
        </w:rPr>
        <w:t>Board”</w:t>
      </w:r>
      <w:r>
        <w:rPr>
          <w:rFonts w:ascii="Times New Roman" w:hAnsi="Times New Roman"/>
          <w:color w:val="000000"/>
          <w:sz w:val="20"/>
        </w:rPr>
        <w:t xml:space="preserve"> </w:t>
      </w:r>
      <w:r>
        <w:rPr>
          <w:rFonts w:ascii="Arial" w:hAnsi="Arial"/>
          <w:color w:val="000000"/>
          <w:sz w:val="20"/>
        </w:rPr>
        <w:t>shall mean the Board of Directors of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(g) </w:t>
      </w:r>
      <w:r>
        <w:rPr>
          <w:rFonts w:ascii="Times New Roman" w:hAnsi="Times New Roman"/>
          <w:color w:val="000000"/>
          <w:sz w:val="20"/>
        </w:rPr>
        <w:t>“</w:t>
      </w:r>
      <w:r>
        <w:rPr>
          <w:rFonts w:ascii="Arial" w:hAnsi="Arial"/>
          <w:b/>
          <w:color w:val="000000"/>
          <w:sz w:val="20"/>
        </w:rPr>
        <w:t>Cause”</w:t>
      </w:r>
      <w:r>
        <w:rPr>
          <w:rFonts w:ascii="Times New Roman" w:hAnsi="Times New Roman"/>
          <w:color w:val="000000"/>
          <w:sz w:val="20"/>
        </w:rPr>
        <w:t xml:space="preserve"> </w:t>
      </w:r>
      <w:r>
        <w:rPr>
          <w:rFonts w:ascii="Arial" w:hAnsi="Arial"/>
          <w:color w:val="000000"/>
          <w:sz w:val="20"/>
        </w:rPr>
        <w:t>shall mean, unless otherwise defined in the applicable Award Agreement, (i) the engaging by the Participant in willful misconduct that is injurious (financially, reputationally or otherwise) to the Company or its Subsidiaries or Affiliates, (ii) the embezzlement or misappropriation of funds or property of the Company or its Subsidiaries or Affiliates by the Participant, (iii) the Participant’s having been convicted of, or entered a plea of guilty or nolo contendere to, a crime that constitutes a felony, or a crime that constitutes a misdemeanor involving moral turpitude, (iv) the material breach by the Participant of any written covenant or agreement with the Company not to disclose any information pertaining to the Company and/or its Affiliates, or (v) the material breach by the Participant of the Company’s code of conduct, or any material provision of the any written Company policies, whether currently in effect or later adopted. For purposes of this paragraph, no act, or failure to act, 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A-1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the Participant’s part shall be considered “willful” unless done, or omitted to be done, by the Participant not in good faith and without reasonable belief that the Participant’s action or omission was in the best interest of the Company. Any determination of Cause for purposes of the Plan or any Award shall be made by the Committee in its sole discretion. Any such determination shall be final and binding on a Participant.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(h) </w:t>
      </w:r>
      <w:r>
        <w:rPr>
          <w:rFonts w:ascii="Times New Roman" w:hAnsi="Times New Roman"/>
          <w:color w:val="000000"/>
          <w:sz w:val="20"/>
        </w:rPr>
        <w:t>“</w:t>
      </w:r>
      <w:r>
        <w:rPr>
          <w:rFonts w:ascii="Arial" w:hAnsi="Arial"/>
          <w:b/>
          <w:color w:val="000000"/>
          <w:sz w:val="20"/>
        </w:rPr>
        <w:t>Change in Control”</w:t>
      </w:r>
      <w:r>
        <w:rPr>
          <w:rFonts w:ascii="Times New Roman" w:hAnsi="Times New Roman"/>
          <w:color w:val="000000"/>
          <w:sz w:val="20"/>
        </w:rPr>
        <w:t xml:space="preserve"> </w:t>
      </w:r>
      <w:r>
        <w:rPr>
          <w:rFonts w:ascii="Arial" w:hAnsi="Arial"/>
          <w:color w:val="000000"/>
          <w:sz w:val="20"/>
        </w:rPr>
        <w:t>unless otherwise defined in an Award Agreement, shall mean any of the following events: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(i) any person or entity, including a “group” as defined in Section 13(d)(3) of the Exchange Act, other than the Company or a wholly-owned subsidiary thereof or any employee benefit plan of the Company or any of its Subsidiaries, acquired Beneficial Ownership of the Company’s securities having 25% or more of the combined voting power of the then outstanding securities of the Company that may be cast for the election of directors of the Company unless such acquisition is approved by a majority of the directors of the Company in office immediately preceding such acquisition;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(ii) as the result of, or in connection with, any cash tender or exchange offer, merger or other business combination, contested election or any combination of the foregoing transactions, less than a majority of the combined voting power of the then outstanding securities of the Company or any successor company or entity entitled to vote generally in the election of the directors of the Company or such other corporation or entity after such transaction is held in the aggregate by the holders of the Company’s securities entitled to vote generally in the election of directors of the Company immediately prior to such transaction;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(iii) during any period of two (2) consecutive years, individuals who at the beginning of any such period constitute the Board cease for any reason to constitute at least a majority thereof, unless the election, or the nomination for election by the Company’s shareholders, of each Director of the Company first elected during such period was approved by a vote of at least two-thirds (2/3rds) of the Directors of the Company then still in office who were (i) Directors of the Company at the beginning of any such period, and (ii) not initially (a) appointed or elected to office as result of either an actual or threatened election and/or proxy contest by or on behalf of a Person other than the Board, or (b) designated by a Person who has entered into an agreement with the Company to effect a transaction described in (i) or (ii) above or (iv) or (v) below;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(iv) a complete liquidation or dissolution of the Company; or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(v) the sale or other disposition of all or substantially all of the assets of the Company to any Person (other than a transfer to a Subsidiary).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Notwithstanding the foregoing, (I) a Change in Control shall not be deemed to occur solely because any Person (the “Subject Person”) acquired Beneficial Ownership of more than fifty percent (50%) of the combined voting power of the then outstanding voting securities of the Company as a result of the acquisition of voting securities of the Company by the Company which, by reducing the number of voting securities of the Company then outstanding, increases the proportional number of shares Beneficially Owned by the Subject Persons, </w:t>
      </w:r>
      <w:r>
        <w:rPr>
          <w:rFonts w:ascii="Arial" w:hAnsi="Arial"/>
          <w:i/>
          <w:color w:val="000000"/>
          <w:sz w:val="20"/>
        </w:rPr>
        <w:t>provided</w:t>
      </w:r>
      <w:r>
        <w:rPr>
          <w:rFonts w:ascii="Times New Roman" w:hAnsi="Times New Roman"/>
          <w:color w:val="000000"/>
          <w:sz w:val="20"/>
        </w:rPr>
        <w:t xml:space="preserve"> </w:t>
      </w:r>
      <w:r>
        <w:rPr>
          <w:rFonts w:ascii="Arial" w:hAnsi="Arial"/>
          <w:color w:val="000000"/>
          <w:sz w:val="20"/>
        </w:rPr>
        <w:t>that if the Subject Person becomes the Beneficial Owner of any new or additional voting securities of the Company in a related transaction or after such share acquisition by the Company the Subject Person becomes the Beneficial Owner of any new or additional voting securities of the Company which in either case increases the percentage of the then outstanding voting securities of the Company Beneficially Owned by the Subject Person, then a Change in Control shall be deemed to occur; and (II) in no event shall a Change in Control be defined in such a manner that a Change in Control would be deemed to occur prior to the actual consummation of the event or transaction that results in a Change in Control of the Company (e.g., upon the announcement, commencement, or stockholder approval of any event or transaction that, if completed, would result in a Change in Control of the Company).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A-2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Solely for the purpose of determining the timing of any payments pursuant to any Awards constituting a “deferral of compensation” subject to Section 409A of the Code, a Change in Control shall be limited to a “change in the ownership of the Company,” a “change in the effective control of the Company,” or a “change in the ownership of a substantial portion of the assets of the Company” as such terms are defined in Section 1.409A-3(i)(5) of the U.S. Treasury Regulations.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(i) </w:t>
      </w:r>
      <w:r>
        <w:rPr>
          <w:rFonts w:ascii="Times New Roman" w:hAnsi="Times New Roman"/>
          <w:color w:val="000000"/>
          <w:sz w:val="20"/>
        </w:rPr>
        <w:t>“</w:t>
      </w:r>
      <w:r>
        <w:rPr>
          <w:rFonts w:ascii="Arial" w:hAnsi="Arial"/>
          <w:b/>
          <w:color w:val="000000"/>
          <w:sz w:val="20"/>
        </w:rPr>
        <w:t>Code”</w:t>
      </w:r>
      <w:r>
        <w:rPr>
          <w:rFonts w:ascii="Times New Roman" w:hAnsi="Times New Roman"/>
          <w:color w:val="000000"/>
          <w:sz w:val="20"/>
        </w:rPr>
        <w:t xml:space="preserve"> </w:t>
      </w:r>
      <w:r>
        <w:rPr>
          <w:rFonts w:ascii="Arial" w:hAnsi="Arial"/>
          <w:color w:val="000000"/>
          <w:sz w:val="20"/>
        </w:rPr>
        <w:t>shall mean the Internal Revenue Code of 1986, as amended from time to time.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(j) </w:t>
      </w:r>
      <w:r>
        <w:rPr>
          <w:rFonts w:ascii="Times New Roman" w:hAnsi="Times New Roman"/>
          <w:color w:val="000000"/>
          <w:sz w:val="20"/>
        </w:rPr>
        <w:t>“</w:t>
      </w:r>
      <w:r>
        <w:rPr>
          <w:rFonts w:ascii="Arial" w:hAnsi="Arial"/>
          <w:b/>
          <w:color w:val="000000"/>
          <w:sz w:val="20"/>
        </w:rPr>
        <w:t>Committee”</w:t>
      </w:r>
      <w:r>
        <w:rPr>
          <w:rFonts w:ascii="Times New Roman" w:hAnsi="Times New Roman"/>
          <w:color w:val="000000"/>
          <w:sz w:val="20"/>
        </w:rPr>
        <w:t xml:space="preserve"> </w:t>
      </w:r>
      <w:r>
        <w:rPr>
          <w:rFonts w:ascii="Arial" w:hAnsi="Arial"/>
          <w:color w:val="000000"/>
          <w:sz w:val="20"/>
        </w:rPr>
        <w:t>shall mean the Compensation Committee of the Board or a subcommittee thereof, or such other committee designated by the Board to administer the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(k) </w:t>
      </w:r>
      <w:r>
        <w:rPr>
          <w:rFonts w:ascii="Times New Roman" w:hAnsi="Times New Roman"/>
          <w:color w:val="000000"/>
          <w:sz w:val="20"/>
        </w:rPr>
        <w:t>“</w:t>
      </w:r>
      <w:r>
        <w:rPr>
          <w:rFonts w:ascii="Arial" w:hAnsi="Arial"/>
          <w:b/>
          <w:color w:val="000000"/>
          <w:sz w:val="20"/>
        </w:rPr>
        <w:t>Consultant”</w:t>
      </w:r>
      <w:r>
        <w:rPr>
          <w:rFonts w:ascii="Times New Roman" w:hAnsi="Times New Roman"/>
          <w:color w:val="000000"/>
          <w:sz w:val="20"/>
        </w:rPr>
        <w:t xml:space="preserve"> </w:t>
      </w:r>
      <w:r>
        <w:rPr>
          <w:rFonts w:ascii="Arial" w:hAnsi="Arial"/>
          <w:color w:val="000000"/>
          <w:sz w:val="20"/>
        </w:rPr>
        <w:t>shall mean any consultant to the Company or its Subsidiaries or Affiliates who is a natural person.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(l) </w:t>
      </w:r>
      <w:r>
        <w:rPr>
          <w:rFonts w:ascii="Times New Roman" w:hAnsi="Times New Roman"/>
          <w:color w:val="000000"/>
          <w:sz w:val="20"/>
        </w:rPr>
        <w:t>“</w:t>
      </w:r>
      <w:r>
        <w:rPr>
          <w:rFonts w:ascii="Arial" w:hAnsi="Arial"/>
          <w:b/>
          <w:color w:val="000000"/>
          <w:sz w:val="20"/>
        </w:rPr>
        <w:t>Director”</w:t>
      </w:r>
      <w:r>
        <w:rPr>
          <w:rFonts w:ascii="Times New Roman" w:hAnsi="Times New Roman"/>
          <w:color w:val="000000"/>
          <w:sz w:val="20"/>
        </w:rPr>
        <w:t xml:space="preserve"> </w:t>
      </w:r>
      <w:r>
        <w:rPr>
          <w:rFonts w:ascii="Arial" w:hAnsi="Arial"/>
          <w:color w:val="000000"/>
          <w:sz w:val="20"/>
        </w:rPr>
        <w:t>shall mean a member of the Board.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(m) </w:t>
      </w:r>
      <w:r>
        <w:rPr>
          <w:rFonts w:ascii="Times New Roman" w:hAnsi="Times New Roman"/>
          <w:color w:val="000000"/>
          <w:sz w:val="20"/>
        </w:rPr>
        <w:t>“</w:t>
      </w:r>
      <w:r>
        <w:rPr>
          <w:rFonts w:ascii="Arial" w:hAnsi="Arial"/>
          <w:b/>
          <w:color w:val="000000"/>
          <w:sz w:val="20"/>
        </w:rPr>
        <w:t>Disability”</w:t>
      </w:r>
      <w:r>
        <w:rPr>
          <w:rFonts w:ascii="Times New Roman" w:hAnsi="Times New Roman"/>
          <w:color w:val="000000"/>
          <w:sz w:val="20"/>
        </w:rPr>
        <w:t xml:space="preserve"> </w:t>
      </w:r>
      <w:r>
        <w:rPr>
          <w:rFonts w:ascii="Arial" w:hAnsi="Arial"/>
          <w:color w:val="000000"/>
          <w:sz w:val="20"/>
        </w:rPr>
        <w:t>shall mean, unless otherwise defined in the applicable Award Agreement, a disability that would qualify as a total and permanent disability under the Company’s then current long-term disability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(n) </w:t>
      </w:r>
      <w:r>
        <w:rPr>
          <w:rFonts w:ascii="Times New Roman" w:hAnsi="Times New Roman"/>
          <w:color w:val="000000"/>
          <w:sz w:val="20"/>
        </w:rPr>
        <w:t>“</w:t>
      </w:r>
      <w:r>
        <w:rPr>
          <w:rFonts w:ascii="Arial" w:hAnsi="Arial"/>
          <w:b/>
          <w:color w:val="000000"/>
          <w:sz w:val="20"/>
        </w:rPr>
        <w:t>Employee”</w:t>
      </w:r>
      <w:r>
        <w:rPr>
          <w:rFonts w:ascii="Times New Roman" w:hAnsi="Times New Roman"/>
          <w:color w:val="000000"/>
          <w:sz w:val="20"/>
        </w:rPr>
        <w:t xml:space="preserve"> </w:t>
      </w:r>
      <w:r>
        <w:rPr>
          <w:rFonts w:ascii="Arial" w:hAnsi="Arial"/>
          <w:color w:val="000000"/>
          <w:sz w:val="20"/>
        </w:rPr>
        <w:t>shall mean a Person who is an employee of the Company or of any Subsidiary or Affiliate.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(o) </w:t>
      </w:r>
      <w:r>
        <w:rPr>
          <w:rFonts w:ascii="Times New Roman" w:hAnsi="Times New Roman"/>
          <w:color w:val="000000"/>
          <w:sz w:val="20"/>
        </w:rPr>
        <w:t>“</w:t>
      </w:r>
      <w:r>
        <w:rPr>
          <w:rFonts w:ascii="Arial" w:hAnsi="Arial"/>
          <w:b/>
          <w:color w:val="000000"/>
          <w:sz w:val="20"/>
        </w:rPr>
        <w:t>Exchange Act”</w:t>
      </w:r>
      <w:r>
        <w:rPr>
          <w:rFonts w:ascii="Times New Roman" w:hAnsi="Times New Roman"/>
          <w:color w:val="000000"/>
          <w:sz w:val="20"/>
        </w:rPr>
        <w:t xml:space="preserve"> </w:t>
      </w:r>
      <w:r>
        <w:rPr>
          <w:rFonts w:ascii="Arial" w:hAnsi="Arial"/>
          <w:color w:val="000000"/>
          <w:sz w:val="20"/>
        </w:rPr>
        <w:t>shall mean the Securities Exchange Act of 1934, as amended from time to time.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(p) “</w:t>
      </w:r>
      <w:r>
        <w:rPr>
          <w:rFonts w:ascii="Arial" w:hAnsi="Arial"/>
          <w:b/>
          <w:color w:val="000000"/>
          <w:sz w:val="20"/>
        </w:rPr>
        <w:t>Fair Market Value</w:t>
      </w:r>
      <w:r>
        <w:rPr>
          <w:rFonts w:ascii="Times New Roman" w:hAnsi="Times New Roman"/>
          <w:color w:val="000000"/>
          <w:sz w:val="20"/>
        </w:rPr>
        <w:t xml:space="preserve">” </w:t>
      </w:r>
      <w:r>
        <w:rPr>
          <w:rFonts w:ascii="Arial" w:hAnsi="Arial"/>
          <w:color w:val="000000"/>
          <w:sz w:val="20"/>
        </w:rPr>
        <w:t>with respect to the Shares, shall mean, for purposes of a grant of an Award as of any date, (i) the closing sales price of the Shares on the New York Stock Exchange, or any other such exchange or market as is the principal trading market for the Shares, on such date, or in the absence of reported sales on such date, the closing sales price on the immediately preceding date on which sales were reported (or in either case, such other price based on actual trading on the applicable date that the Committee determines is appropriate), or (ii) in the event there is no public market for the Shares on such date, the fair market value as determined, in good faith and by the reasonable application of a reasonable valuation method by the Committee in its sole discretion, and for purposes of a sale of a Share as of any date, the actual sales price on that date.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(q) “</w:t>
      </w:r>
      <w:r>
        <w:rPr>
          <w:rFonts w:ascii="Arial" w:hAnsi="Arial"/>
          <w:b/>
          <w:color w:val="000000"/>
          <w:sz w:val="20"/>
        </w:rPr>
        <w:t>Full-Value Award</w:t>
      </w:r>
      <w:r>
        <w:rPr>
          <w:rFonts w:ascii="Times New Roman" w:hAnsi="Times New Roman"/>
          <w:color w:val="000000"/>
          <w:sz w:val="20"/>
        </w:rPr>
        <w:t xml:space="preserve">” </w:t>
      </w:r>
      <w:r>
        <w:rPr>
          <w:rFonts w:ascii="Arial" w:hAnsi="Arial"/>
          <w:color w:val="000000"/>
          <w:sz w:val="20"/>
        </w:rPr>
        <w:t>means an Award other than an Option or Stock Appreciation Right made under the Plan, or any comparable award made under the Prior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(r) “</w:t>
      </w:r>
      <w:r>
        <w:rPr>
          <w:rFonts w:ascii="Arial" w:hAnsi="Arial"/>
          <w:b/>
          <w:color w:val="000000"/>
          <w:sz w:val="20"/>
        </w:rPr>
        <w:t>Full-Value Award Debiting Rate</w:t>
      </w:r>
      <w:r>
        <w:rPr>
          <w:rFonts w:ascii="Times New Roman" w:hAnsi="Times New Roman"/>
          <w:color w:val="000000"/>
          <w:sz w:val="20"/>
        </w:rPr>
        <w:t xml:space="preserve">” </w:t>
      </w:r>
      <w:r>
        <w:rPr>
          <w:rFonts w:ascii="Arial" w:hAnsi="Arial"/>
          <w:color w:val="000000"/>
          <w:sz w:val="20"/>
        </w:rPr>
        <w:t>shall have the meaning given to such term in Section 4.1(a).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(s) </w:t>
      </w:r>
      <w:r>
        <w:rPr>
          <w:rFonts w:ascii="Times New Roman" w:hAnsi="Times New Roman"/>
          <w:color w:val="000000"/>
          <w:sz w:val="20"/>
        </w:rPr>
        <w:t>“</w:t>
      </w:r>
      <w:r>
        <w:rPr>
          <w:rFonts w:ascii="Arial" w:hAnsi="Arial"/>
          <w:b/>
          <w:color w:val="000000"/>
          <w:sz w:val="20"/>
        </w:rPr>
        <w:t>Good Reason”</w:t>
      </w:r>
      <w:r>
        <w:rPr>
          <w:rFonts w:ascii="Times New Roman" w:hAnsi="Times New Roman"/>
          <w:color w:val="000000"/>
          <w:sz w:val="20"/>
        </w:rPr>
        <w:t xml:space="preserve"> </w:t>
      </w:r>
      <w:r>
        <w:rPr>
          <w:rFonts w:ascii="Arial" w:hAnsi="Arial"/>
          <w:color w:val="000000"/>
          <w:sz w:val="20"/>
        </w:rPr>
        <w:t>shall have the definition given such term in a Participant’s Award Agreement, or in the absence of such definition, as determined in good faith by the Committee, and with respect to any award constituting a deferral of compensation within the meaning of Section 409A of the Code, consistent with the provisions thereof.</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(t) </w:t>
      </w:r>
      <w:r>
        <w:rPr>
          <w:rFonts w:ascii="Times New Roman" w:hAnsi="Times New Roman"/>
          <w:color w:val="000000"/>
          <w:sz w:val="20"/>
        </w:rPr>
        <w:t>“</w:t>
      </w:r>
      <w:r>
        <w:rPr>
          <w:rFonts w:ascii="Arial" w:hAnsi="Arial"/>
          <w:b/>
          <w:color w:val="000000"/>
          <w:sz w:val="20"/>
        </w:rPr>
        <w:t>Grant Price”</w:t>
      </w:r>
      <w:r>
        <w:rPr>
          <w:rFonts w:ascii="Times New Roman" w:hAnsi="Times New Roman"/>
          <w:color w:val="000000"/>
          <w:sz w:val="20"/>
        </w:rPr>
        <w:t xml:space="preserve"> </w:t>
      </w:r>
      <w:r>
        <w:rPr>
          <w:rFonts w:ascii="Arial" w:hAnsi="Arial"/>
          <w:color w:val="000000"/>
          <w:sz w:val="20"/>
        </w:rPr>
        <w:t xml:space="preserve">means the price established at the time of grant of a SAR pursuant to </w:t>
      </w:r>
      <w:r>
        <w:rPr>
          <w:rFonts w:ascii="Arial" w:hAnsi="Arial"/>
          <w:color w:val="000000"/>
          <w:sz w:val="20"/>
          <w:u w:val="single"/>
        </w:rPr>
        <w:t>Section 6</w:t>
      </w:r>
      <w:r>
        <w:rPr>
          <w:rFonts w:ascii="Times New Roman" w:hAnsi="Times New Roman"/>
          <w:color w:val="000000"/>
          <w:sz w:val="20"/>
        </w:rPr>
        <w:t xml:space="preserve"> </w:t>
      </w:r>
      <w:r>
        <w:rPr>
          <w:rFonts w:ascii="Arial" w:hAnsi="Arial"/>
          <w:color w:val="000000"/>
          <w:sz w:val="20"/>
        </w:rPr>
        <w:t>used to determine whether there is any payment due upon exercise of the SAR.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(u) </w:t>
      </w:r>
      <w:r>
        <w:rPr>
          <w:rFonts w:ascii="Times New Roman" w:hAnsi="Times New Roman"/>
          <w:color w:val="000000"/>
          <w:sz w:val="20"/>
        </w:rPr>
        <w:t>“</w:t>
      </w:r>
      <w:r>
        <w:rPr>
          <w:rFonts w:ascii="Arial" w:hAnsi="Arial"/>
          <w:b/>
          <w:color w:val="000000"/>
          <w:sz w:val="20"/>
        </w:rPr>
        <w:t>Incentive Stock Option”</w:t>
      </w:r>
      <w:r>
        <w:rPr>
          <w:rFonts w:ascii="Times New Roman" w:hAnsi="Times New Roman"/>
          <w:color w:val="000000"/>
          <w:sz w:val="20"/>
        </w:rPr>
        <w:t xml:space="preserve"> </w:t>
      </w:r>
      <w:r>
        <w:rPr>
          <w:rFonts w:ascii="Arial" w:hAnsi="Arial"/>
          <w:color w:val="000000"/>
          <w:sz w:val="20"/>
        </w:rPr>
        <w:t>shall mean an option to purchase Shares from the Company that is granted under the Plan and that is intended to meet the requirements of Section 422 of the Code or any successor provision thereto.</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(v) </w:t>
      </w:r>
      <w:r>
        <w:rPr>
          <w:rFonts w:ascii="Times New Roman" w:hAnsi="Times New Roman"/>
          <w:color w:val="000000"/>
          <w:sz w:val="20"/>
        </w:rPr>
        <w:t>“</w:t>
      </w:r>
      <w:r>
        <w:rPr>
          <w:rFonts w:ascii="Arial" w:hAnsi="Arial"/>
          <w:b/>
          <w:color w:val="000000"/>
          <w:sz w:val="20"/>
        </w:rPr>
        <w:t>Non-Qualified Stock Option”</w:t>
      </w:r>
      <w:r>
        <w:rPr>
          <w:rFonts w:ascii="Times New Roman" w:hAnsi="Times New Roman"/>
          <w:color w:val="000000"/>
          <w:sz w:val="20"/>
        </w:rPr>
        <w:t xml:space="preserve"> </w:t>
      </w:r>
      <w:r>
        <w:rPr>
          <w:rFonts w:ascii="Arial" w:hAnsi="Arial"/>
          <w:color w:val="000000"/>
          <w:sz w:val="20"/>
        </w:rPr>
        <w:t>shall mean an option to purchase Shares from the Company that is granted under the Plan and is not an Incentive Stock Option.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A-3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(w) </w:t>
      </w:r>
      <w:r>
        <w:rPr>
          <w:rFonts w:ascii="Times New Roman" w:hAnsi="Times New Roman"/>
          <w:color w:val="000000"/>
          <w:sz w:val="20"/>
        </w:rPr>
        <w:t>“</w:t>
      </w:r>
      <w:r>
        <w:rPr>
          <w:rFonts w:ascii="Arial" w:hAnsi="Arial"/>
          <w:b/>
          <w:color w:val="000000"/>
          <w:sz w:val="20"/>
        </w:rPr>
        <w:t>Non-Employee Director”</w:t>
      </w:r>
      <w:r>
        <w:rPr>
          <w:rFonts w:ascii="Times New Roman" w:hAnsi="Times New Roman"/>
          <w:color w:val="000000"/>
          <w:sz w:val="20"/>
        </w:rPr>
        <w:t xml:space="preserve"> </w:t>
      </w:r>
      <w:r>
        <w:rPr>
          <w:rFonts w:ascii="Arial" w:hAnsi="Arial"/>
          <w:color w:val="000000"/>
          <w:sz w:val="20"/>
        </w:rPr>
        <w:t>shall mean a member of the Board who is not an officer or employee of the Company or any Subsidiary of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(x) </w:t>
      </w:r>
      <w:r>
        <w:rPr>
          <w:rFonts w:ascii="Times New Roman" w:hAnsi="Times New Roman"/>
          <w:color w:val="000000"/>
          <w:sz w:val="20"/>
        </w:rPr>
        <w:t>“</w:t>
      </w:r>
      <w:r>
        <w:rPr>
          <w:rFonts w:ascii="Arial" w:hAnsi="Arial"/>
          <w:b/>
          <w:color w:val="000000"/>
          <w:sz w:val="20"/>
        </w:rPr>
        <w:t>Option”</w:t>
      </w:r>
      <w:r>
        <w:rPr>
          <w:rFonts w:ascii="Times New Roman" w:hAnsi="Times New Roman"/>
          <w:color w:val="000000"/>
          <w:sz w:val="20"/>
        </w:rPr>
        <w:t xml:space="preserve"> </w:t>
      </w:r>
      <w:r>
        <w:rPr>
          <w:rFonts w:ascii="Arial" w:hAnsi="Arial"/>
          <w:color w:val="000000"/>
          <w:sz w:val="20"/>
        </w:rPr>
        <w:t>shall mean an Incentive Stock Option or a Non-Qualified Stock Option.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(y) </w:t>
      </w:r>
      <w:r>
        <w:rPr>
          <w:rFonts w:ascii="Times New Roman" w:hAnsi="Times New Roman"/>
          <w:color w:val="000000"/>
          <w:sz w:val="20"/>
        </w:rPr>
        <w:t>“</w:t>
      </w:r>
      <w:r>
        <w:rPr>
          <w:rFonts w:ascii="Arial" w:hAnsi="Arial"/>
          <w:b/>
          <w:color w:val="000000"/>
          <w:sz w:val="20"/>
        </w:rPr>
        <w:t>Option Price”</w:t>
      </w:r>
      <w:r>
        <w:rPr>
          <w:rFonts w:ascii="Times New Roman" w:hAnsi="Times New Roman"/>
          <w:color w:val="000000"/>
          <w:sz w:val="20"/>
        </w:rPr>
        <w:t xml:space="preserve"> </w:t>
      </w:r>
      <w:r>
        <w:rPr>
          <w:rFonts w:ascii="Arial" w:hAnsi="Arial"/>
          <w:color w:val="000000"/>
          <w:sz w:val="20"/>
        </w:rPr>
        <w:t>shall mean the purchase price payable to purchase one Share upon the exercise of an Option.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(z) “</w:t>
      </w:r>
      <w:r>
        <w:rPr>
          <w:rFonts w:ascii="Arial" w:hAnsi="Arial"/>
          <w:b/>
          <w:color w:val="000000"/>
          <w:sz w:val="20"/>
        </w:rPr>
        <w:t>Original</w:t>
      </w:r>
      <w:r>
        <w:rPr>
          <w:rFonts w:ascii="Times New Roman" w:hAnsi="Times New Roman"/>
          <w:color w:val="000000"/>
          <w:sz w:val="20"/>
        </w:rPr>
        <w:t xml:space="preserve"> </w:t>
      </w:r>
      <w:r>
        <w:rPr>
          <w:rFonts w:ascii="Arial" w:hAnsi="Arial"/>
          <w:b/>
          <w:color w:val="000000"/>
          <w:sz w:val="20"/>
        </w:rPr>
        <w:t>Effective Date</w:t>
      </w:r>
      <w:r>
        <w:rPr>
          <w:rFonts w:ascii="Times New Roman" w:hAnsi="Times New Roman"/>
          <w:color w:val="000000"/>
          <w:sz w:val="20"/>
        </w:rPr>
        <w:t xml:space="preserve">” </w:t>
      </w:r>
      <w:r>
        <w:rPr>
          <w:rFonts w:ascii="Arial" w:hAnsi="Arial"/>
          <w:color w:val="000000"/>
          <w:sz w:val="20"/>
        </w:rPr>
        <w:t xml:space="preserve">shall have the meaning provided in </w:t>
      </w:r>
      <w:r>
        <w:rPr>
          <w:rFonts w:ascii="Arial" w:hAnsi="Arial"/>
          <w:color w:val="000000"/>
          <w:sz w:val="20"/>
          <w:u w:val="single"/>
        </w:rPr>
        <w:t>Section 16.1</w:t>
      </w:r>
      <w:r>
        <w:rPr>
          <w:rFonts w:ascii="Times New Roman" w:hAnsi="Times New Roman"/>
          <w:color w:val="000000"/>
          <w:sz w:val="20"/>
        </w:rPr>
        <w:t xml:space="preserve"> </w:t>
      </w:r>
      <w:r>
        <w:rPr>
          <w:rFonts w:ascii="Arial" w:hAnsi="Arial"/>
          <w:color w:val="000000"/>
          <w:sz w:val="20"/>
        </w:rPr>
        <w:t>of the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(aa) </w:t>
      </w:r>
      <w:r>
        <w:rPr>
          <w:rFonts w:ascii="Times New Roman" w:hAnsi="Times New Roman"/>
          <w:color w:val="000000"/>
          <w:sz w:val="20"/>
        </w:rPr>
        <w:t>“</w:t>
      </w:r>
      <w:r>
        <w:rPr>
          <w:rFonts w:ascii="Arial" w:hAnsi="Arial"/>
          <w:b/>
          <w:color w:val="000000"/>
          <w:sz w:val="20"/>
        </w:rPr>
        <w:t>Other Stock-Based Award”</w:t>
      </w:r>
      <w:r>
        <w:rPr>
          <w:rFonts w:ascii="Times New Roman" w:hAnsi="Times New Roman"/>
          <w:color w:val="000000"/>
          <w:sz w:val="20"/>
        </w:rPr>
        <w:t xml:space="preserve"> </w:t>
      </w:r>
      <w:r>
        <w:rPr>
          <w:rFonts w:ascii="Arial" w:hAnsi="Arial"/>
          <w:color w:val="000000"/>
          <w:sz w:val="20"/>
        </w:rPr>
        <w:t xml:space="preserve">shall mean any Award granted under </w:t>
      </w:r>
      <w:r>
        <w:rPr>
          <w:rFonts w:ascii="Arial" w:hAnsi="Arial"/>
          <w:color w:val="000000"/>
          <w:sz w:val="20"/>
          <w:u w:val="single"/>
        </w:rPr>
        <w:t>Sections 9</w:t>
      </w:r>
      <w:r>
        <w:rPr>
          <w:rFonts w:ascii="Times New Roman" w:hAnsi="Times New Roman"/>
          <w:color w:val="000000"/>
          <w:sz w:val="20"/>
        </w:rPr>
        <w:t xml:space="preserve"> </w:t>
      </w:r>
      <w:r>
        <w:rPr>
          <w:rFonts w:ascii="Arial" w:hAnsi="Arial"/>
          <w:color w:val="000000"/>
          <w:sz w:val="20"/>
        </w:rPr>
        <w:t xml:space="preserve">or </w:t>
      </w:r>
      <w:r>
        <w:rPr>
          <w:rFonts w:ascii="Arial" w:hAnsi="Arial"/>
          <w:color w:val="000000"/>
          <w:sz w:val="20"/>
          <w:u w:val="single"/>
        </w:rPr>
        <w:t>10</w:t>
      </w:r>
      <w:r>
        <w:rPr>
          <w:rFonts w:ascii="Times New Roman" w:hAnsi="Times New Roman"/>
          <w:color w:val="000000"/>
          <w:sz w:val="20"/>
        </w:rPr>
        <w:t xml:space="preserve"> </w:t>
      </w:r>
      <w:r>
        <w:rPr>
          <w:rFonts w:ascii="Arial" w:hAnsi="Arial"/>
          <w:color w:val="000000"/>
          <w:sz w:val="20"/>
        </w:rPr>
        <w:t xml:space="preserve">of the Plan. For purposes of the share counting provisions of </w:t>
      </w:r>
      <w:r>
        <w:rPr>
          <w:rFonts w:ascii="Arial" w:hAnsi="Arial"/>
          <w:color w:val="000000"/>
          <w:sz w:val="20"/>
          <w:u w:val="single"/>
        </w:rPr>
        <w:t>Section 4.1</w:t>
      </w:r>
      <w:r>
        <w:rPr>
          <w:rFonts w:ascii="Times New Roman" w:hAnsi="Times New Roman"/>
          <w:color w:val="000000"/>
          <w:sz w:val="20"/>
        </w:rPr>
        <w:t xml:space="preserve"> </w:t>
      </w:r>
      <w:r>
        <w:rPr>
          <w:rFonts w:ascii="Arial" w:hAnsi="Arial"/>
          <w:color w:val="000000"/>
          <w:sz w:val="20"/>
        </w:rPr>
        <w:t>hereof, an Other Stock-Based Award that is not settled in cash shall be treated as (i) an Option Award if the amounts payable thereunder will be determined by reference to the appreciation of a Share, and (ii) a Restricted Share Award if the amounts payable thereunder will be determined by reference to the full value of a Share.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(bb) </w:t>
      </w:r>
      <w:r>
        <w:rPr>
          <w:rFonts w:ascii="Times New Roman" w:hAnsi="Times New Roman"/>
          <w:color w:val="000000"/>
          <w:sz w:val="20"/>
        </w:rPr>
        <w:t>“</w:t>
      </w:r>
      <w:r>
        <w:rPr>
          <w:rFonts w:ascii="Arial" w:hAnsi="Arial"/>
          <w:b/>
          <w:color w:val="000000"/>
          <w:sz w:val="20"/>
        </w:rPr>
        <w:t>Participant”</w:t>
      </w:r>
      <w:r>
        <w:rPr>
          <w:rFonts w:ascii="Times New Roman" w:hAnsi="Times New Roman"/>
          <w:color w:val="000000"/>
          <w:sz w:val="20"/>
        </w:rPr>
        <w:t xml:space="preserve"> </w:t>
      </w:r>
      <w:r>
        <w:rPr>
          <w:rFonts w:ascii="Arial" w:hAnsi="Arial"/>
          <w:color w:val="000000"/>
          <w:sz w:val="20"/>
        </w:rPr>
        <w:t>shall mean any Employee, Director, Consultant or other person who receives an Award under the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(cc) </w:t>
      </w:r>
      <w:r>
        <w:rPr>
          <w:rFonts w:ascii="Times New Roman" w:hAnsi="Times New Roman"/>
          <w:color w:val="000000"/>
          <w:sz w:val="20"/>
        </w:rPr>
        <w:t>“</w:t>
      </w:r>
      <w:r>
        <w:rPr>
          <w:rFonts w:ascii="Arial" w:hAnsi="Arial"/>
          <w:b/>
          <w:color w:val="000000"/>
          <w:sz w:val="20"/>
        </w:rPr>
        <w:t>Performance Award”</w:t>
      </w:r>
      <w:r>
        <w:rPr>
          <w:rFonts w:ascii="Times New Roman" w:hAnsi="Times New Roman"/>
          <w:color w:val="000000"/>
          <w:sz w:val="20"/>
        </w:rPr>
        <w:t xml:space="preserve"> </w:t>
      </w:r>
      <w:r>
        <w:rPr>
          <w:rFonts w:ascii="Arial" w:hAnsi="Arial"/>
          <w:color w:val="000000"/>
          <w:sz w:val="20"/>
        </w:rPr>
        <w:t xml:space="preserve">shall mean any Award granted under </w:t>
      </w:r>
      <w:r>
        <w:rPr>
          <w:rFonts w:ascii="Arial" w:hAnsi="Arial"/>
          <w:color w:val="000000"/>
          <w:sz w:val="20"/>
          <w:u w:val="single"/>
        </w:rPr>
        <w:t>Section 8</w:t>
      </w:r>
      <w:r>
        <w:rPr>
          <w:rFonts w:ascii="Times New Roman" w:hAnsi="Times New Roman"/>
          <w:color w:val="000000"/>
          <w:sz w:val="20"/>
        </w:rPr>
        <w:t xml:space="preserve"> </w:t>
      </w:r>
      <w:r>
        <w:rPr>
          <w:rFonts w:ascii="Arial" w:hAnsi="Arial"/>
          <w:color w:val="000000"/>
          <w:sz w:val="20"/>
        </w:rPr>
        <w:t xml:space="preserve">of the Plan. For purposes of the share counting provisions of </w:t>
      </w:r>
      <w:r>
        <w:rPr>
          <w:rFonts w:ascii="Arial" w:hAnsi="Arial"/>
          <w:color w:val="000000"/>
          <w:sz w:val="20"/>
          <w:u w:val="single"/>
        </w:rPr>
        <w:t>Section 4.1</w:t>
      </w:r>
      <w:r>
        <w:rPr>
          <w:rFonts w:ascii="Times New Roman" w:hAnsi="Times New Roman"/>
          <w:color w:val="000000"/>
          <w:sz w:val="20"/>
        </w:rPr>
        <w:t xml:space="preserve"> </w:t>
      </w:r>
      <w:r>
        <w:rPr>
          <w:rFonts w:ascii="Arial" w:hAnsi="Arial"/>
          <w:color w:val="000000"/>
          <w:sz w:val="20"/>
        </w:rPr>
        <w:t>hereof, a Performance Award that is not settled in cash shall be treated as (i) an Option Award if the amounts payable thereunder will be determined by reference to the appreciation of a Share, and (ii) a Restricted Share Award if the amounts payable thereunder will be determined by reference to the full value of a Share.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(dd) </w:t>
      </w:r>
      <w:r>
        <w:rPr>
          <w:rFonts w:ascii="Times New Roman" w:hAnsi="Times New Roman"/>
          <w:color w:val="000000"/>
          <w:sz w:val="20"/>
        </w:rPr>
        <w:t>“</w:t>
      </w:r>
      <w:r>
        <w:rPr>
          <w:rFonts w:ascii="Arial" w:hAnsi="Arial"/>
          <w:b/>
          <w:color w:val="000000"/>
          <w:sz w:val="20"/>
        </w:rPr>
        <w:t>Performance Period”</w:t>
      </w:r>
      <w:r>
        <w:rPr>
          <w:rFonts w:ascii="Times New Roman" w:hAnsi="Times New Roman"/>
          <w:color w:val="000000"/>
          <w:sz w:val="20"/>
        </w:rPr>
        <w:t xml:space="preserve"> </w:t>
      </w:r>
      <w:r>
        <w:rPr>
          <w:rFonts w:ascii="Arial" w:hAnsi="Arial"/>
          <w:color w:val="000000"/>
          <w:sz w:val="20"/>
        </w:rPr>
        <w:t>means the period over which a performance goal underlying a Performance Award shall be evaluated.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(ee) </w:t>
      </w:r>
      <w:r>
        <w:rPr>
          <w:rFonts w:ascii="Times New Roman" w:hAnsi="Times New Roman"/>
          <w:color w:val="000000"/>
          <w:sz w:val="20"/>
        </w:rPr>
        <w:t>“</w:t>
      </w:r>
      <w:r>
        <w:rPr>
          <w:rFonts w:ascii="Arial" w:hAnsi="Arial"/>
          <w:b/>
          <w:color w:val="000000"/>
          <w:sz w:val="20"/>
        </w:rPr>
        <w:t>Person”</w:t>
      </w:r>
      <w:r>
        <w:rPr>
          <w:rFonts w:ascii="Times New Roman" w:hAnsi="Times New Roman"/>
          <w:color w:val="000000"/>
          <w:sz w:val="20"/>
        </w:rPr>
        <w:t xml:space="preserve"> </w:t>
      </w:r>
      <w:r>
        <w:rPr>
          <w:rFonts w:ascii="Arial" w:hAnsi="Arial"/>
          <w:color w:val="000000"/>
          <w:sz w:val="20"/>
        </w:rPr>
        <w:t>shall mean any individual, corporation, partnership, limited liability company, association, joint-stock company, trust, unincorporated organization, government or political subdivision thereof or other entity.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(ff) “</w:t>
      </w:r>
      <w:r>
        <w:rPr>
          <w:rFonts w:ascii="Arial" w:hAnsi="Arial"/>
          <w:b/>
          <w:color w:val="000000"/>
          <w:sz w:val="20"/>
        </w:rPr>
        <w:t>Prior Plan</w:t>
      </w:r>
      <w:r>
        <w:rPr>
          <w:rFonts w:ascii="Times New Roman" w:hAnsi="Times New Roman"/>
          <w:color w:val="000000"/>
          <w:sz w:val="20"/>
        </w:rPr>
        <w:t xml:space="preserve">” </w:t>
      </w:r>
      <w:r>
        <w:rPr>
          <w:rFonts w:ascii="Arial" w:hAnsi="Arial"/>
          <w:color w:val="000000"/>
          <w:sz w:val="20"/>
        </w:rPr>
        <w:t>shall mean the Second Amended and Restated Genesco Inc. 2009 Equity Incentive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(gg) “</w:t>
      </w:r>
      <w:r>
        <w:rPr>
          <w:rFonts w:ascii="Arial" w:hAnsi="Arial"/>
          <w:b/>
          <w:color w:val="000000"/>
          <w:sz w:val="20"/>
        </w:rPr>
        <w:t>Restatement</w:t>
      </w:r>
      <w:r>
        <w:rPr>
          <w:rFonts w:ascii="Times New Roman" w:hAnsi="Times New Roman"/>
          <w:color w:val="000000"/>
          <w:sz w:val="20"/>
        </w:rPr>
        <w:t xml:space="preserve"> </w:t>
      </w:r>
      <w:r>
        <w:rPr>
          <w:rFonts w:ascii="Arial" w:hAnsi="Arial"/>
          <w:b/>
          <w:color w:val="000000"/>
          <w:sz w:val="20"/>
        </w:rPr>
        <w:t>Effective Date</w:t>
      </w:r>
      <w:r>
        <w:rPr>
          <w:rFonts w:ascii="Times New Roman" w:hAnsi="Times New Roman"/>
          <w:color w:val="000000"/>
          <w:sz w:val="20"/>
        </w:rPr>
        <w:t xml:space="preserve">” </w:t>
      </w:r>
      <w:r>
        <w:rPr>
          <w:rFonts w:ascii="Arial" w:hAnsi="Arial"/>
          <w:color w:val="000000"/>
          <w:sz w:val="20"/>
        </w:rPr>
        <w:t>means July 21, 2026.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(hh) </w:t>
      </w:r>
      <w:r>
        <w:rPr>
          <w:rFonts w:ascii="Times New Roman" w:hAnsi="Times New Roman"/>
          <w:color w:val="000000"/>
          <w:sz w:val="20"/>
        </w:rPr>
        <w:t>“</w:t>
      </w:r>
      <w:r>
        <w:rPr>
          <w:rFonts w:ascii="Arial" w:hAnsi="Arial"/>
          <w:b/>
          <w:color w:val="000000"/>
          <w:sz w:val="20"/>
        </w:rPr>
        <w:t>Restricted Period”</w:t>
      </w:r>
      <w:r>
        <w:rPr>
          <w:rFonts w:ascii="Times New Roman" w:hAnsi="Times New Roman"/>
          <w:color w:val="000000"/>
          <w:sz w:val="20"/>
        </w:rPr>
        <w:t xml:space="preserve"> </w:t>
      </w:r>
      <w:r>
        <w:rPr>
          <w:rFonts w:ascii="Arial" w:hAnsi="Arial"/>
          <w:color w:val="000000"/>
          <w:sz w:val="20"/>
        </w:rPr>
        <w:t>shall mean the period over which a Restricted Share, Restricted Share Unit or Performance Award shall vest.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(ii) </w:t>
      </w:r>
      <w:r>
        <w:rPr>
          <w:rFonts w:ascii="Times New Roman" w:hAnsi="Times New Roman"/>
          <w:color w:val="000000"/>
          <w:sz w:val="20"/>
        </w:rPr>
        <w:t>“</w:t>
      </w:r>
      <w:r>
        <w:rPr>
          <w:rFonts w:ascii="Arial" w:hAnsi="Arial"/>
          <w:b/>
          <w:color w:val="000000"/>
          <w:sz w:val="20"/>
        </w:rPr>
        <w:t>Restricted Share”</w:t>
      </w:r>
      <w:r>
        <w:rPr>
          <w:rFonts w:ascii="Times New Roman" w:hAnsi="Times New Roman"/>
          <w:color w:val="000000"/>
          <w:sz w:val="20"/>
        </w:rPr>
        <w:t xml:space="preserve"> </w:t>
      </w:r>
      <w:r>
        <w:rPr>
          <w:rFonts w:ascii="Arial" w:hAnsi="Arial"/>
          <w:color w:val="000000"/>
          <w:sz w:val="20"/>
        </w:rPr>
        <w:t xml:space="preserve">shall mean any Share granted under </w:t>
      </w:r>
      <w:r>
        <w:rPr>
          <w:rFonts w:ascii="Arial" w:hAnsi="Arial"/>
          <w:color w:val="000000"/>
          <w:sz w:val="20"/>
          <w:u w:val="single"/>
        </w:rPr>
        <w:t>Sections 7</w:t>
      </w:r>
      <w:r>
        <w:rPr>
          <w:rFonts w:ascii="Times New Roman" w:hAnsi="Times New Roman"/>
          <w:color w:val="000000"/>
          <w:sz w:val="20"/>
        </w:rPr>
        <w:t xml:space="preserve"> </w:t>
      </w:r>
      <w:r>
        <w:rPr>
          <w:rFonts w:ascii="Arial" w:hAnsi="Arial"/>
          <w:color w:val="000000"/>
          <w:sz w:val="20"/>
        </w:rPr>
        <w:t xml:space="preserve">or </w:t>
      </w:r>
      <w:r>
        <w:rPr>
          <w:rFonts w:ascii="Arial" w:hAnsi="Arial"/>
          <w:color w:val="000000"/>
          <w:sz w:val="20"/>
          <w:u w:val="single"/>
        </w:rPr>
        <w:t>10</w:t>
      </w:r>
      <w:r>
        <w:rPr>
          <w:rFonts w:ascii="Times New Roman" w:hAnsi="Times New Roman"/>
          <w:color w:val="000000"/>
          <w:sz w:val="20"/>
        </w:rPr>
        <w:t xml:space="preserve"> </w:t>
      </w:r>
      <w:r>
        <w:rPr>
          <w:rFonts w:ascii="Arial" w:hAnsi="Arial"/>
          <w:color w:val="000000"/>
          <w:sz w:val="20"/>
        </w:rPr>
        <w:t>of the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(jj) </w:t>
      </w:r>
      <w:r>
        <w:rPr>
          <w:rFonts w:ascii="Times New Roman" w:hAnsi="Times New Roman"/>
          <w:color w:val="000000"/>
          <w:sz w:val="20"/>
        </w:rPr>
        <w:t>“</w:t>
      </w:r>
      <w:r>
        <w:rPr>
          <w:rFonts w:ascii="Arial" w:hAnsi="Arial"/>
          <w:b/>
          <w:color w:val="000000"/>
          <w:sz w:val="20"/>
        </w:rPr>
        <w:t>Restricted Share Unit”</w:t>
      </w:r>
      <w:r>
        <w:rPr>
          <w:rFonts w:ascii="Times New Roman" w:hAnsi="Times New Roman"/>
          <w:color w:val="000000"/>
          <w:sz w:val="20"/>
        </w:rPr>
        <w:t xml:space="preserve"> </w:t>
      </w:r>
      <w:r>
        <w:rPr>
          <w:rFonts w:ascii="Arial" w:hAnsi="Arial"/>
          <w:color w:val="000000"/>
          <w:sz w:val="20"/>
        </w:rPr>
        <w:t xml:space="preserve">shall mean any unit granted under </w:t>
      </w:r>
      <w:r>
        <w:rPr>
          <w:rFonts w:ascii="Arial" w:hAnsi="Arial"/>
          <w:color w:val="000000"/>
          <w:sz w:val="20"/>
          <w:u w:val="single"/>
        </w:rPr>
        <w:t>Sections 7</w:t>
      </w:r>
      <w:r>
        <w:rPr>
          <w:rFonts w:ascii="Times New Roman" w:hAnsi="Times New Roman"/>
          <w:color w:val="000000"/>
          <w:sz w:val="20"/>
        </w:rPr>
        <w:t xml:space="preserve"> </w:t>
      </w:r>
      <w:r>
        <w:rPr>
          <w:rFonts w:ascii="Arial" w:hAnsi="Arial"/>
          <w:color w:val="000000"/>
          <w:sz w:val="20"/>
        </w:rPr>
        <w:t xml:space="preserve">or </w:t>
      </w:r>
      <w:r>
        <w:rPr>
          <w:rFonts w:ascii="Arial" w:hAnsi="Arial"/>
          <w:color w:val="000000"/>
          <w:sz w:val="20"/>
          <w:u w:val="single"/>
        </w:rPr>
        <w:t>10</w:t>
      </w:r>
      <w:r>
        <w:rPr>
          <w:rFonts w:ascii="Times New Roman" w:hAnsi="Times New Roman"/>
          <w:color w:val="000000"/>
          <w:sz w:val="20"/>
        </w:rPr>
        <w:t xml:space="preserve"> </w:t>
      </w:r>
      <w:r>
        <w:rPr>
          <w:rFonts w:ascii="Arial" w:hAnsi="Arial"/>
          <w:color w:val="000000"/>
          <w:sz w:val="20"/>
        </w:rPr>
        <w:t>of the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(kk) </w:t>
      </w:r>
      <w:r>
        <w:rPr>
          <w:rFonts w:ascii="Times New Roman" w:hAnsi="Times New Roman"/>
          <w:color w:val="000000"/>
          <w:sz w:val="20"/>
        </w:rPr>
        <w:t>“</w:t>
      </w:r>
      <w:r>
        <w:rPr>
          <w:rFonts w:ascii="Arial" w:hAnsi="Arial"/>
          <w:b/>
          <w:color w:val="000000"/>
          <w:sz w:val="20"/>
        </w:rPr>
        <w:t>Retirement”</w:t>
      </w:r>
      <w:r>
        <w:rPr>
          <w:rFonts w:ascii="Times New Roman" w:hAnsi="Times New Roman"/>
          <w:color w:val="000000"/>
          <w:sz w:val="20"/>
        </w:rPr>
        <w:t xml:space="preserve"> </w:t>
      </w:r>
      <w:r>
        <w:rPr>
          <w:rFonts w:ascii="Arial" w:hAnsi="Arial"/>
          <w:color w:val="000000"/>
          <w:sz w:val="20"/>
        </w:rPr>
        <w:t>shall mean, unless otherwise defined in the applicable Award Agreement, retirement of a Participant from the employ or service of the Company or any of its Subsidiaries or Affiliates in accordance with the terms of the applicable Company retirement plan or, if a Participant is not covered by any such plan, the Participant’s voluntary termination of employment on or after such Participant’s 65th birthday.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(ll) </w:t>
      </w:r>
      <w:r>
        <w:rPr>
          <w:rFonts w:ascii="Times New Roman" w:hAnsi="Times New Roman"/>
          <w:color w:val="000000"/>
          <w:sz w:val="20"/>
        </w:rPr>
        <w:t>“</w:t>
      </w:r>
      <w:r>
        <w:rPr>
          <w:rFonts w:ascii="Arial" w:hAnsi="Arial"/>
          <w:b/>
          <w:color w:val="000000"/>
          <w:sz w:val="20"/>
        </w:rPr>
        <w:t>SEC”</w:t>
      </w:r>
      <w:r>
        <w:rPr>
          <w:rFonts w:ascii="Times New Roman" w:hAnsi="Times New Roman"/>
          <w:color w:val="000000"/>
          <w:sz w:val="20"/>
        </w:rPr>
        <w:t xml:space="preserve"> </w:t>
      </w:r>
      <w:r>
        <w:rPr>
          <w:rFonts w:ascii="Arial" w:hAnsi="Arial"/>
          <w:color w:val="000000"/>
          <w:sz w:val="20"/>
        </w:rPr>
        <w:t>shall mean the Securities and Exchange Commission or any successor thereto.</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(mm) </w:t>
      </w:r>
      <w:r>
        <w:rPr>
          <w:rFonts w:ascii="Times New Roman" w:hAnsi="Times New Roman"/>
          <w:color w:val="000000"/>
          <w:sz w:val="20"/>
        </w:rPr>
        <w:t>“</w:t>
      </w:r>
      <w:r>
        <w:rPr>
          <w:rFonts w:ascii="Arial" w:hAnsi="Arial"/>
          <w:b/>
          <w:color w:val="000000"/>
          <w:sz w:val="20"/>
        </w:rPr>
        <w:t>Section 16”</w:t>
      </w:r>
      <w:r>
        <w:rPr>
          <w:rFonts w:ascii="Times New Roman" w:hAnsi="Times New Roman"/>
          <w:color w:val="000000"/>
          <w:sz w:val="20"/>
        </w:rPr>
        <w:t xml:space="preserve"> </w:t>
      </w:r>
      <w:r>
        <w:rPr>
          <w:rFonts w:ascii="Arial" w:hAnsi="Arial"/>
          <w:color w:val="000000"/>
          <w:sz w:val="20"/>
        </w:rPr>
        <w:t>shall mean Section 16 of the Exchange Act and the rules promulgated thereunder and any successor provision thereto as in effect from time to time.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A-4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(nn) </w:t>
      </w:r>
      <w:r>
        <w:rPr>
          <w:rFonts w:ascii="Times New Roman" w:hAnsi="Times New Roman"/>
          <w:color w:val="000000"/>
          <w:sz w:val="20"/>
        </w:rPr>
        <w:t>“</w:t>
      </w:r>
      <w:r>
        <w:rPr>
          <w:rFonts w:ascii="Arial" w:hAnsi="Arial"/>
          <w:b/>
          <w:color w:val="000000"/>
          <w:sz w:val="20"/>
        </w:rPr>
        <w:t>Shares”</w:t>
      </w:r>
      <w:r>
        <w:rPr>
          <w:rFonts w:ascii="Times New Roman" w:hAnsi="Times New Roman"/>
          <w:color w:val="000000"/>
          <w:sz w:val="20"/>
        </w:rPr>
        <w:t xml:space="preserve"> </w:t>
      </w:r>
      <w:r>
        <w:rPr>
          <w:rFonts w:ascii="Arial" w:hAnsi="Arial"/>
          <w:color w:val="000000"/>
          <w:sz w:val="20"/>
        </w:rPr>
        <w:t>shall mean shares of the common stock, $1.00 par value, of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(oo) </w:t>
      </w:r>
      <w:r>
        <w:rPr>
          <w:rFonts w:ascii="Times New Roman" w:hAnsi="Times New Roman"/>
          <w:color w:val="000000"/>
          <w:sz w:val="20"/>
        </w:rPr>
        <w:t>“</w:t>
      </w:r>
      <w:r>
        <w:rPr>
          <w:rFonts w:ascii="Arial" w:hAnsi="Arial"/>
          <w:b/>
          <w:color w:val="000000"/>
          <w:sz w:val="20"/>
        </w:rPr>
        <w:t>Share Reserve”</w:t>
      </w:r>
      <w:r>
        <w:rPr>
          <w:rFonts w:ascii="Times New Roman" w:hAnsi="Times New Roman"/>
          <w:color w:val="000000"/>
          <w:sz w:val="20"/>
        </w:rPr>
        <w:t xml:space="preserve"> </w:t>
      </w:r>
      <w:r>
        <w:rPr>
          <w:rFonts w:ascii="Arial" w:hAnsi="Arial"/>
          <w:color w:val="000000"/>
          <w:sz w:val="20"/>
        </w:rPr>
        <w:t xml:space="preserve">has the meaning set forth in </w:t>
      </w:r>
      <w:r>
        <w:rPr>
          <w:rFonts w:ascii="Arial" w:hAnsi="Arial"/>
          <w:color w:val="000000"/>
          <w:sz w:val="20"/>
          <w:u w:val="single"/>
        </w:rPr>
        <w:t>Section 4.1</w:t>
      </w:r>
      <w:r>
        <w:rPr>
          <w:rFonts w:ascii="Times New Roman" w:hAnsi="Times New Roman"/>
          <w:color w:val="000000"/>
          <w:sz w:val="20"/>
        </w:rPr>
        <w:t xml:space="preserve"> </w:t>
      </w:r>
      <w:r>
        <w:rPr>
          <w:rFonts w:ascii="Arial" w:hAnsi="Arial"/>
          <w:color w:val="000000"/>
          <w:sz w:val="20"/>
        </w:rPr>
        <w:t>of the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(pp) </w:t>
      </w:r>
      <w:r>
        <w:rPr>
          <w:rFonts w:ascii="Times New Roman" w:hAnsi="Times New Roman"/>
          <w:color w:val="000000"/>
          <w:sz w:val="20"/>
        </w:rPr>
        <w:t>“</w:t>
      </w:r>
      <w:r>
        <w:rPr>
          <w:rFonts w:ascii="Arial" w:hAnsi="Arial"/>
          <w:b/>
          <w:color w:val="000000"/>
          <w:sz w:val="20"/>
        </w:rPr>
        <w:t xml:space="preserve">Stock Appreciation Right” </w:t>
      </w:r>
      <w:r>
        <w:rPr>
          <w:rFonts w:ascii="Arial" w:hAnsi="Arial"/>
          <w:color w:val="000000"/>
          <w:sz w:val="20"/>
        </w:rPr>
        <w:t xml:space="preserve">or </w:t>
      </w:r>
      <w:r>
        <w:rPr>
          <w:rFonts w:ascii="Times New Roman" w:hAnsi="Times New Roman"/>
          <w:color w:val="000000"/>
          <w:sz w:val="20"/>
        </w:rPr>
        <w:t>“</w:t>
      </w:r>
      <w:r>
        <w:rPr>
          <w:rFonts w:ascii="Arial" w:hAnsi="Arial"/>
          <w:b/>
          <w:color w:val="000000"/>
          <w:sz w:val="20"/>
        </w:rPr>
        <w:t>SAR”</w:t>
      </w:r>
      <w:r>
        <w:rPr>
          <w:rFonts w:ascii="Times New Roman" w:hAnsi="Times New Roman"/>
          <w:color w:val="000000"/>
          <w:sz w:val="20"/>
        </w:rPr>
        <w:t xml:space="preserve"> </w:t>
      </w:r>
      <w:r>
        <w:rPr>
          <w:rFonts w:ascii="Arial" w:hAnsi="Arial"/>
          <w:color w:val="000000"/>
          <w:sz w:val="20"/>
        </w:rPr>
        <w:t>shall mean a stock appreciation right granted under the Plan that entitles the holder to receive, with respect to each Share encompassed by the exercise of such SAR, the amount determined by the Committee and specified in an Award Agreement. In the absence of such a determination, the holder shall be entitled to receive, with respect to each Share encompassed by the exercise of such SAR, the excess of the Fair Market Value of such Share on the date of exercise over the Grant Price applicable to such SAR.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(qq) </w:t>
      </w:r>
      <w:r>
        <w:rPr>
          <w:rFonts w:ascii="Times New Roman" w:hAnsi="Times New Roman"/>
          <w:color w:val="000000"/>
          <w:sz w:val="20"/>
        </w:rPr>
        <w:t>“</w:t>
      </w:r>
      <w:r>
        <w:rPr>
          <w:rFonts w:ascii="Arial" w:hAnsi="Arial"/>
          <w:b/>
          <w:color w:val="000000"/>
          <w:sz w:val="20"/>
        </w:rPr>
        <w:t>Subsidiary”</w:t>
      </w:r>
      <w:r>
        <w:rPr>
          <w:rFonts w:ascii="Times New Roman" w:hAnsi="Times New Roman"/>
          <w:color w:val="000000"/>
          <w:sz w:val="20"/>
        </w:rPr>
        <w:t xml:space="preserve"> </w:t>
      </w:r>
      <w:r>
        <w:rPr>
          <w:rFonts w:ascii="Arial" w:hAnsi="Arial"/>
          <w:color w:val="000000"/>
          <w:sz w:val="20"/>
        </w:rPr>
        <w:t>shall mean any Person (other than the Company) of which a majority of its voting power or its equity securities or equity interest is owned directly or indirectly by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(rr) </w:t>
      </w:r>
      <w:r>
        <w:rPr>
          <w:rFonts w:ascii="Times New Roman" w:hAnsi="Times New Roman"/>
          <w:color w:val="000000"/>
          <w:sz w:val="20"/>
        </w:rPr>
        <w:t>“</w:t>
      </w:r>
      <w:r>
        <w:rPr>
          <w:rFonts w:ascii="Arial" w:hAnsi="Arial"/>
          <w:b/>
          <w:color w:val="000000"/>
          <w:sz w:val="20"/>
        </w:rPr>
        <w:t>Substitute Awards”</w:t>
      </w:r>
      <w:r>
        <w:rPr>
          <w:rFonts w:ascii="Times New Roman" w:hAnsi="Times New Roman"/>
          <w:color w:val="000000"/>
          <w:sz w:val="20"/>
        </w:rPr>
        <w:t xml:space="preserve"> </w:t>
      </w:r>
      <w:r>
        <w:rPr>
          <w:rFonts w:ascii="Arial" w:hAnsi="Arial"/>
          <w:color w:val="000000"/>
          <w:sz w:val="20"/>
        </w:rPr>
        <w:t>shall mean Awards granted solely in assumption of, or in substitution for, outstanding awards previously granted by a company acquired by the Company or with which the Company combines.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(ss) </w:t>
      </w:r>
      <w:r>
        <w:rPr>
          <w:rFonts w:ascii="Times New Roman" w:hAnsi="Times New Roman"/>
          <w:color w:val="000000"/>
          <w:sz w:val="20"/>
        </w:rPr>
        <w:t>“</w:t>
      </w:r>
      <w:r>
        <w:rPr>
          <w:rFonts w:ascii="Arial" w:hAnsi="Arial"/>
          <w:b/>
          <w:color w:val="000000"/>
          <w:sz w:val="20"/>
        </w:rPr>
        <w:t>Vesting Period”</w:t>
      </w:r>
      <w:r>
        <w:rPr>
          <w:rFonts w:ascii="Times New Roman" w:hAnsi="Times New Roman"/>
          <w:color w:val="000000"/>
          <w:sz w:val="20"/>
        </w:rPr>
        <w:t xml:space="preserve"> </w:t>
      </w:r>
      <w:r>
        <w:rPr>
          <w:rFonts w:ascii="Arial" w:hAnsi="Arial"/>
          <w:color w:val="000000"/>
          <w:sz w:val="20"/>
        </w:rPr>
        <w:t>means the period of time specified by the Committee during which vesting restrictions for an Award are applicable.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Section 3. Administration.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3.1 </w:t>
      </w:r>
      <w:r>
        <w:rPr>
          <w:rFonts w:ascii="Arial" w:hAnsi="Arial"/>
          <w:i/>
          <w:color w:val="000000"/>
          <w:sz w:val="20"/>
        </w:rPr>
        <w:t xml:space="preserve">Authority of Committee. </w:t>
      </w:r>
      <w:r>
        <w:rPr>
          <w:rFonts w:ascii="Arial" w:hAnsi="Arial"/>
          <w:color w:val="000000"/>
          <w:sz w:val="20"/>
        </w:rPr>
        <w:t>The Plan shall be administered, construed and interpreted by the Committee, which shall be appointed by and serve at the pleasure of the Board;</w:t>
      </w:r>
      <w:r>
        <w:rPr>
          <w:rFonts w:ascii="Times New Roman" w:hAnsi="Times New Roman"/>
          <w:color w:val="000000"/>
          <w:sz w:val="20"/>
        </w:rPr>
        <w:t xml:space="preserve"> </w:t>
      </w:r>
      <w:r>
        <w:rPr>
          <w:rFonts w:ascii="Arial" w:hAnsi="Arial"/>
          <w:i/>
          <w:color w:val="000000"/>
          <w:sz w:val="20"/>
        </w:rPr>
        <w:t>provided</w:t>
      </w:r>
      <w:r>
        <w:rPr>
          <w:rFonts w:ascii="Arial" w:hAnsi="Arial"/>
          <w:color w:val="000000"/>
          <w:sz w:val="20"/>
        </w:rPr>
        <w:t xml:space="preserve">, however, that the Board may, in its sole discretion, take any action designated to the Committee under this Plan as it may deem necessary; </w:t>
      </w:r>
      <w:r>
        <w:rPr>
          <w:rFonts w:ascii="Arial" w:hAnsi="Arial"/>
          <w:i/>
          <w:color w:val="000000"/>
          <w:sz w:val="20"/>
        </w:rPr>
        <w:t>provided</w:t>
      </w:r>
      <w:r>
        <w:rPr>
          <w:rFonts w:ascii="Times New Roman" w:hAnsi="Times New Roman"/>
          <w:color w:val="000000"/>
          <w:sz w:val="20"/>
        </w:rPr>
        <w:t xml:space="preserve"> </w:t>
      </w:r>
      <w:r>
        <w:rPr>
          <w:rFonts w:ascii="Arial" w:hAnsi="Arial"/>
          <w:i/>
          <w:color w:val="000000"/>
          <w:sz w:val="20"/>
        </w:rPr>
        <w:t>further</w:t>
      </w:r>
      <w:r>
        <w:rPr>
          <w:rFonts w:ascii="Arial" w:hAnsi="Arial"/>
          <w:color w:val="000000"/>
          <w:sz w:val="20"/>
        </w:rPr>
        <w:t>, with respect to Awards to Non-Employee Directors, all references in the Plan to the Committee shall be deemed to be references to the Board. Subject to the terms of the Plan and applicable law, and in addition to other express powers and authorizations conferred on the Committee by the Plan, the Committee shall have full power and authority in its discretion to:</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(i) designate Participants, determine eligibility for participation in the Plan and decide all questions concerning eligibility for and the amount of Awards under the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(ii) determine the type or types of Awards to be granted to a Participant;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(iii) determine the number of Shares to be covered by, or with respect to which payments, rights or other matters are to be calculated in connection with Awards;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(iv) determine the timing, terms, and conditions of any Award;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(v) accelerate the time at which all or any part of an Award may be settled or exercised;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(vi) determine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(vii) determine whether, to what extent, and under what circumstances cash, Shares, other securities, other Awards, other property, and other amounts payable with respect to an Award shall be deferred either automatically or at the election of the holder thereof or of the Committee;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A-5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(viii) grant Awards as an alternative to, or as the form of payment for grants or rights earned or payable under, other bonus or compensation plans, arrangements or policies of the Company or a Subsidiary or Affiliate;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(ix) grant Substitute Awards on such terms and conditions as the Committee may prescribe, subject to compliance with the Incentive Stock Option rules under Section 422 of the Code and the nonqualified deferred compensation rules under Section 409A of the Code, where applicable;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(x) make all determinations under the Plan concerning the termination of any Participant’s employment or service with the Company or a Subsidiary or Affiliate, including whether such termination occurs by reason of Cause, Good Reason, Disability, Retirement, or in connection with a Change in Control and whether a leave constitutes a termination of employment;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(xi) interpret and administer the Plan and any instrument or agreement relating to, or Award made under, the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(xii) except to the extent prohibited by </w:t>
      </w:r>
      <w:r>
        <w:rPr>
          <w:rFonts w:ascii="Arial" w:hAnsi="Arial"/>
          <w:color w:val="000000"/>
          <w:sz w:val="20"/>
          <w:u w:val="single"/>
        </w:rPr>
        <w:t>Section 6.2</w:t>
      </w:r>
      <w:r>
        <w:rPr>
          <w:rFonts w:ascii="Arial" w:hAnsi="Arial"/>
          <w:color w:val="000000"/>
          <w:sz w:val="20"/>
        </w:rPr>
        <w:t>, amend or modify the terms of any Award at or after grant with the consent of the holder of the Award;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(xiii) establish, amend, suspend or waive such rules and regulations and appoint such agents as it shall deem appropriate for the proper administration of the Plan; and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(xiv) make any other determination and take any other action that the Committee deems necessary or desirable for the administration of the Plan, subject to the exclusive authority of the Board under </w:t>
      </w:r>
      <w:r>
        <w:rPr>
          <w:rFonts w:ascii="Arial" w:hAnsi="Arial"/>
          <w:color w:val="000000"/>
          <w:sz w:val="20"/>
          <w:u w:val="single"/>
        </w:rPr>
        <w:t>Section 14</w:t>
      </w:r>
      <w:r>
        <w:rPr>
          <w:rFonts w:ascii="Times New Roman" w:hAnsi="Times New Roman"/>
          <w:color w:val="000000"/>
          <w:sz w:val="20"/>
        </w:rPr>
        <w:t xml:space="preserve"> </w:t>
      </w:r>
      <w:r>
        <w:rPr>
          <w:rFonts w:ascii="Arial" w:hAnsi="Arial"/>
          <w:color w:val="000000"/>
          <w:sz w:val="20"/>
        </w:rPr>
        <w:t>hereunder to amend or terminate the Plan. The exercise of an Option or receipt of an Award shall be effective only if an Award Agreement shall have been duly executed and delivered on behalf of the Company following the grant of the Award.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3.2 </w:t>
      </w:r>
      <w:r>
        <w:rPr>
          <w:rFonts w:ascii="Arial" w:hAnsi="Arial"/>
          <w:i/>
          <w:color w:val="000000"/>
          <w:sz w:val="20"/>
        </w:rPr>
        <w:t xml:space="preserve">Committee Discretion Binding. </w:t>
      </w:r>
      <w:r>
        <w:rPr>
          <w:rFonts w:ascii="Arial" w:hAnsi="Arial"/>
          <w:color w:val="000000"/>
          <w:sz w:val="20"/>
        </w:rPr>
        <w:t>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the Company, any Subsidiary or Affiliate, any Participant and any holder or beneficiary of any Award. A Participant or other holder of an Award may contest a decision or action by the Committee with respect to such person or Award only on the grounds that such decision or action was arbitrary or capricious or was unlawful, and any review of such decision or action shall be limited to determining whether the Committee’s decision or action was arbitrary or capricious or was unlawful.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3.3 </w:t>
      </w:r>
      <w:r>
        <w:rPr>
          <w:rFonts w:ascii="Arial" w:hAnsi="Arial"/>
          <w:i/>
          <w:color w:val="000000"/>
          <w:sz w:val="20"/>
        </w:rPr>
        <w:t xml:space="preserve">Delegation. </w:t>
      </w:r>
      <w:r>
        <w:rPr>
          <w:rFonts w:ascii="Arial" w:hAnsi="Arial"/>
          <w:color w:val="000000"/>
          <w:sz w:val="20"/>
        </w:rPr>
        <w:t xml:space="preserve">Subject to the terms of the Plan, the Committee’s charter and applicable law, the Committee may delegate to one or more officers or managers of the Company or of any Subsidiary or Affiliate, or to a Committee of such officers or managers, the authority, subject to such terms and limitations as the Committee shall determine, to grant Awards to or to cancel, modify or waive rights with respect to, or to alter, discontinue, suspend or terminate Awards held by Participants who are not officers or directors of the Company for purposes of Section 16 or who are otherwise not subject to such Section; </w:t>
      </w:r>
      <w:r>
        <w:rPr>
          <w:rFonts w:ascii="Arial" w:hAnsi="Arial"/>
          <w:i/>
          <w:color w:val="000000"/>
          <w:sz w:val="20"/>
        </w:rPr>
        <w:t>provided</w:t>
      </w:r>
      <w:r>
        <w:rPr>
          <w:rFonts w:ascii="Arial" w:hAnsi="Arial"/>
          <w:color w:val="000000"/>
          <w:sz w:val="20"/>
        </w:rPr>
        <w:t>, however, that the resolution authorizing any executive officer to grant Awards to pursuant to the preceding sentence shall specify the total number of Shares subject to Awards that such executive officer may so grant. The Committee delegates the authority for ministerial administration of the Plan and awards made under the Plan to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3.4 </w:t>
      </w:r>
      <w:r>
        <w:rPr>
          <w:rFonts w:ascii="Arial" w:hAnsi="Arial"/>
          <w:i/>
          <w:color w:val="000000"/>
          <w:sz w:val="20"/>
        </w:rPr>
        <w:t>No Liability</w:t>
      </w:r>
      <w:r>
        <w:rPr>
          <w:rFonts w:ascii="Arial" w:hAnsi="Arial"/>
          <w:color w:val="000000"/>
          <w:sz w:val="20"/>
        </w:rPr>
        <w:t>. The Board or the Committee may employ counsel, consultants, accountants, appraisers, brokers or other persons. The Board, the Committee, the Company, and the officers and directors of the Company shall be entitled to rely upon the advice, opinions or valuations of any such persons. No member of the Committee or Board, nor any employee or representative of the Company shall be personally liable for any action, determination or interpretation made in good faith with respect to the Plan or the Awards, and all such members of the Committee and the Board, employees and representatives shall be fully protected and indemnified to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A-6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greatest extent permitted by applicable law by the Company with respect to any such action, determination or interpretation.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Section 4. Shares Available For Awards.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4.1 </w:t>
      </w:r>
      <w:r>
        <w:rPr>
          <w:rFonts w:ascii="Arial" w:hAnsi="Arial"/>
          <w:i/>
          <w:color w:val="000000"/>
          <w:sz w:val="20"/>
        </w:rPr>
        <w:t>Shares Available.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(a) Subject to the provisions of </w:t>
      </w:r>
      <w:r>
        <w:rPr>
          <w:rFonts w:ascii="Arial" w:hAnsi="Arial"/>
          <w:color w:val="000000"/>
          <w:sz w:val="20"/>
          <w:u w:val="single"/>
        </w:rPr>
        <w:t>Section 4.2</w:t>
      </w:r>
      <w:r>
        <w:rPr>
          <w:rFonts w:ascii="Times New Roman" w:hAnsi="Times New Roman"/>
          <w:color w:val="000000"/>
          <w:sz w:val="20"/>
        </w:rPr>
        <w:t xml:space="preserve"> </w:t>
      </w:r>
      <w:r>
        <w:rPr>
          <w:rFonts w:ascii="Arial" w:hAnsi="Arial"/>
          <w:color w:val="000000"/>
          <w:sz w:val="20"/>
        </w:rPr>
        <w:t xml:space="preserve">below and the share counting provisions in this </w:t>
      </w:r>
      <w:r>
        <w:rPr>
          <w:rFonts w:ascii="Arial" w:hAnsi="Arial"/>
          <w:color w:val="000000"/>
          <w:sz w:val="20"/>
          <w:u w:val="single"/>
        </w:rPr>
        <w:t>Section 4.1</w:t>
      </w:r>
      <w:r>
        <w:rPr>
          <w:rFonts w:ascii="Arial" w:hAnsi="Arial"/>
          <w:color w:val="000000"/>
          <w:sz w:val="20"/>
        </w:rPr>
        <w:t>, as of the Restatement Effective Date, the maximum aggregate number of Shares authorized for Awards granted under the Plan is one million six hundred twenty-three thousand one hundred forty-seven (1,623,147) Shares</w:t>
      </w:r>
      <w:r>
        <w:rPr>
          <w:rFonts w:ascii="Arial" w:hAnsi="Arial"/>
          <w:color w:val="000000"/>
          <w:sz w:val="10"/>
        </w:rPr>
        <w:t>1</w:t>
      </w:r>
      <w:r>
        <w:rPr>
          <w:rFonts w:ascii="Arial" w:hAnsi="Arial"/>
          <w:color w:val="000000"/>
          <w:sz w:val="20"/>
        </w:rPr>
        <w:t>, less one (1) Share for every one (1) Share that was subject to an Option, Stock Appreciation Right or Full-Value Award granted after the Restatement Date under the Plan (the “</w:t>
      </w:r>
      <w:r>
        <w:rPr>
          <w:rFonts w:ascii="Arial" w:hAnsi="Arial"/>
          <w:color w:val="000000"/>
          <w:sz w:val="20"/>
          <w:u w:val="single"/>
        </w:rPr>
        <w:t>Share Reserve</w:t>
      </w:r>
      <w:r>
        <w:rPr>
          <w:rFonts w:ascii="Times New Roman" w:hAnsi="Times New Roman"/>
          <w:color w:val="000000"/>
          <w:sz w:val="20"/>
        </w:rPr>
        <w:t>”</w:t>
      </w:r>
      <w:r>
        <w:rPr>
          <w:rFonts w:ascii="Arial" w:hAnsi="Arial"/>
          <w:color w:val="000000"/>
          <w:sz w:val="20"/>
        </w:rPr>
        <w:t>). Any Shares that are subject to Options or Stock Appreciation Rights shall be counted against this limit as one (1) Share for every one (1) Share granted, and any Shares that are subject to Full-Value Awards shall be counted against this limit at the Full-Value Award Debiting Rate. The “</w:t>
      </w:r>
      <w:r>
        <w:rPr>
          <w:rFonts w:ascii="Arial" w:hAnsi="Arial"/>
          <w:color w:val="000000"/>
          <w:sz w:val="20"/>
          <w:u w:val="single"/>
        </w:rPr>
        <w:t>Full-Value Award Debiting Rate</w:t>
      </w:r>
      <w:r>
        <w:rPr>
          <w:rFonts w:ascii="Times New Roman" w:hAnsi="Times New Roman"/>
          <w:color w:val="000000"/>
          <w:sz w:val="20"/>
        </w:rPr>
        <w:t xml:space="preserve">” </w:t>
      </w:r>
      <w:r>
        <w:rPr>
          <w:rFonts w:ascii="Arial" w:hAnsi="Arial"/>
          <w:color w:val="000000"/>
          <w:sz w:val="20"/>
        </w:rPr>
        <w:t>means (i) with respect to Full-Value Awards granted under the Plan (or after February 1, 2020, Full-Value Awards previously granted under the Prior Plan) prior to or on March 24, 2023, one and seventy-two one hundredths (1.72) Shares for each one Share that is subject to the Full-Value Award; (ii) with respect to Full-Value Awards granted after March 24, 2023 and through and including March 31, 2024, one and fifty-two one hundredths (1.52) Shares for each one Share that is subject to the Full-Value Award; (iii) with respect to Full-Value Awards granted after March 31, 2024 through and including April 15, 2025, one and thirty-five one hundredths (1.35) Shares for each one Share that is subject to the Full-Value Award; (iv) with respect to Full-Value Awards granted after April 15, 2025 through and including the Restatement Effective Date, one and fifty-one one hundredths (1.51) Shares for each one Share that is subject to the Full-Value Award; and (v) with respect to Full-Value Awards granted after the Restatement Effective Date, one (1) Share for each one Share that is subject to the Full-Value Award. The number of Shares with respect to which Incentive Stock Options may be granted shall be no more than 1,623,147. After the Original Effective Date, no awards may be granted under the Prior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(b) If any Award granted under this Plan or any award granted under the Prior Plan shall expire, terminate, or otherwise be forfeited or canceled for any reason, in each case after February 1, 2020 and before it has vested or been exercised in full, or shall be settled in cash (in whole or in part) after February 1, 2020, each Share subject to such Award (or award) shall, to the extent of such expiration, cash settlement, forfeiture, or termination, increase the Share Reserve as provided in </w:t>
      </w:r>
      <w:r>
        <w:rPr>
          <w:rFonts w:ascii="Arial" w:hAnsi="Arial"/>
          <w:color w:val="000000"/>
          <w:sz w:val="20"/>
          <w:u w:val="single"/>
        </w:rPr>
        <w:t>Section 4.1(c)</w:t>
      </w:r>
      <w:r>
        <w:rPr>
          <w:rFonts w:ascii="Arial" w:hAnsi="Arial"/>
          <w:color w:val="000000"/>
          <w:sz w:val="20"/>
        </w:rPr>
        <w:t xml:space="preserve">. In the event that withholding tax liabilities arising from an Award other than an Option or Stock Appreciation Right or an award other than an option or stock appreciation right granted under the Prior Plan, are satisfied after February 1, 2020 by the tendering of Shares (either actually or by attestation) or by the withholding of Shares by the Company, each Share so tendered or withheld shall increase the Share Reserve as provided in </w:t>
      </w:r>
      <w:r>
        <w:rPr>
          <w:rFonts w:ascii="Arial" w:hAnsi="Arial"/>
          <w:color w:val="000000"/>
          <w:sz w:val="20"/>
          <w:u w:val="single"/>
        </w:rPr>
        <w:t>Section 4.1(c)</w:t>
      </w:r>
      <w:r>
        <w:rPr>
          <w:rFonts w:ascii="Arial" w:hAnsi="Arial"/>
          <w:color w:val="000000"/>
          <w:sz w:val="20"/>
        </w:rPr>
        <w:t xml:space="preserve">. Notwithstanding the foregoing, the following Shares will not again become available for Awards under the Plan: (1) Shares tendered or withheld in payment of the Option Price of an Option (or the option price of an option granted under the Prior Plan), (2) Shares tendered or withheld to satisfy any tax withholding obligation with respect to an Option or Stock Appreciation Right (or an option or stock appreciation granted under the Prior Plan), (3) Shares repurchased by the Company with proceeds received from the exercise of an Option (or the exercise price of an option granted under the Prior Plan), and (4) Shares subject to an SAR (or a stock appreciation right granted under the Prior Plan) that are not issued in connection with the Share settlement of that SAR (or stock appreciation right granted under the Prior Plan) upon its exercise. The Committee may make such other determinations not inconsistent with this </w:t>
      </w:r>
      <w:r>
        <w:rPr>
          <w:rFonts w:ascii="Arial" w:hAnsi="Arial"/>
          <w:color w:val="000000"/>
          <w:sz w:val="20"/>
          <w:u w:val="single"/>
        </w:rPr>
        <w:t>Section 4.1(b)</w:t>
      </w:r>
      <w:r>
        <w:rPr>
          <w:rFonts w:ascii="Times New Roman" w:hAnsi="Times New Roman"/>
          <w:color w:val="000000"/>
          <w:sz w:val="20"/>
        </w:rPr>
        <w:t xml:space="preserve"> </w:t>
      </w:r>
      <w:r>
        <w:rPr>
          <w:rFonts w:ascii="Arial" w:hAnsi="Arial"/>
          <w:color w:val="000000"/>
          <w:sz w:val="20"/>
        </w:rPr>
        <w:t>regarding the counting of Shares issued pursuant to this Plan as it deems necessary or advisable, provided that such determinations shall be permitted by law.</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Arial" w:hAnsi="Arial"/>
          <w:color w:val="000000"/>
          <w:sz w:val="20"/>
        </w:rPr>
        <w:t>The 1,623,147 Shares is equal to the 423,147 Shares that remained available for grant as of April 30, 2026, plus the 1,200,000 Shares added as of the Restatement Effective Date.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A-7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 xml:space="preserve">(c) Any Shares that again become available for grant or otherwise increase the Share Reserve pursuant to this </w:t>
      </w:r>
      <w:r>
        <w:rPr>
          <w:rFonts w:ascii="Arial" w:hAnsi="Arial"/>
          <w:color w:val="000000"/>
          <w:sz w:val="20"/>
          <w:u w:val="single"/>
        </w:rPr>
        <w:t>Section 4.1</w:t>
      </w:r>
      <w:r>
        <w:rPr>
          <w:rFonts w:ascii="Times New Roman" w:hAnsi="Times New Roman"/>
          <w:color w:val="000000"/>
          <w:sz w:val="20"/>
        </w:rPr>
        <w:t xml:space="preserve"> </w:t>
      </w:r>
      <w:r>
        <w:rPr>
          <w:rFonts w:ascii="Arial" w:hAnsi="Arial"/>
          <w:color w:val="000000"/>
          <w:sz w:val="20"/>
        </w:rPr>
        <w:t>shall be added back as: (i) one (1) Share if such Shares were subject to an Option or SAR (or after February 1, 2020, an option or stock appreciation right granted under the Prior Plan), and (ii) the Full-Value Award Debiting Rate if such Shares were subject to Full-Value Awards (or after February 1, 2020, Full-Value Awards previously granted under the Prior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4.2 </w:t>
      </w:r>
      <w:r>
        <w:rPr>
          <w:rFonts w:ascii="Arial" w:hAnsi="Arial"/>
          <w:i/>
          <w:color w:val="000000"/>
          <w:sz w:val="20"/>
        </w:rPr>
        <w:t xml:space="preserve">Adjustments. </w:t>
      </w:r>
      <w:r>
        <w:rPr>
          <w:rFonts w:ascii="Arial" w:hAnsi="Arial"/>
          <w:color w:val="000000"/>
          <w:sz w:val="20"/>
        </w:rPr>
        <w:t>In the event that any dividend (other than regular, recurring dividends)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then the Committee shall in an equitable and proportionate manner as determined by the Committee (and, as applicable, in such manner as is consistent with 422 and 409A of the Code and the regulations thereunder) either: (i) adjust any or all of (1) the aggregate number of Shares or other securities of the Company (or number and kind of other securities or property) with respect to which Awards may be granted under the Plan; (2) the number of Shares or other securities of the Company (or number and kind of other securities or property) subject to outstanding Awards under the Plan; and (3) the grant or exercise price with respect to any Award under the Plan; (ii) provide for an equivalent award in respect of securities of the surviving entity of any merger, consolidation or other transaction or event having a similar effect; or (iii) make provision for a cash payment to the holder of an outstanding Award in exchange for the cancellation of such Award.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4.3 </w:t>
      </w:r>
      <w:r>
        <w:rPr>
          <w:rFonts w:ascii="Arial" w:hAnsi="Arial"/>
          <w:i/>
          <w:color w:val="000000"/>
          <w:sz w:val="20"/>
        </w:rPr>
        <w:t>Substitute Awards.</w:t>
      </w:r>
      <w:r>
        <w:rPr>
          <w:rFonts w:ascii="Times New Roman" w:hAnsi="Times New Roman"/>
          <w:color w:val="000000"/>
          <w:sz w:val="20"/>
        </w:rPr>
        <w:t xml:space="preserve"> </w:t>
      </w:r>
      <w:r>
        <w:rPr>
          <w:rFonts w:ascii="Arial" w:hAnsi="Arial"/>
          <w:color w:val="000000"/>
          <w:sz w:val="20"/>
        </w:rPr>
        <w:t xml:space="preserve">Any Shares issued by the Company as Substitute Awards in connection with the assumption or substitution of outstanding grants from any acquired company shall not reduce the Share Reserve, nor shall Shares subject to a Substitute Award be added to the Shares available for Awards under the Plan as provided in </w:t>
      </w:r>
      <w:r>
        <w:rPr>
          <w:rFonts w:ascii="Arial" w:hAnsi="Arial"/>
          <w:color w:val="000000"/>
          <w:sz w:val="20"/>
          <w:u w:val="single"/>
        </w:rPr>
        <w:t>Section 4.1(b)</w:t>
      </w:r>
      <w:r>
        <w:rPr>
          <w:rFonts w:ascii="Times New Roman" w:hAnsi="Times New Roman"/>
          <w:color w:val="000000"/>
          <w:sz w:val="20"/>
        </w:rPr>
        <w:t xml:space="preserve"> </w:t>
      </w:r>
      <w:r>
        <w:rPr>
          <w:rFonts w:ascii="Arial" w:hAnsi="Arial"/>
          <w:color w:val="000000"/>
          <w:sz w:val="20"/>
        </w:rPr>
        <w:t xml:space="preserve">above. Additionally, in the event that a company acquired by the Company or with which the Company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in </w:t>
      </w:r>
      <w:r>
        <w:rPr>
          <w:rFonts w:ascii="Arial" w:hAnsi="Arial"/>
          <w:color w:val="000000"/>
          <w:sz w:val="20"/>
          <w:u w:val="single"/>
        </w:rPr>
        <w:t>Section 4.1(b)</w:t>
      </w:r>
      <w:r>
        <w:rPr>
          <w:rFonts w:ascii="Times New Roman" w:hAnsi="Times New Roman"/>
          <w:color w:val="000000"/>
          <w:sz w:val="20"/>
        </w:rPr>
        <w:t xml:space="preserve"> </w:t>
      </w:r>
      <w:r>
        <w:rPr>
          <w:rFonts w:ascii="Arial" w:hAnsi="Arial"/>
          <w:color w:val="000000"/>
          <w:sz w:val="20"/>
        </w:rPr>
        <w:t xml:space="preserve">above); </w:t>
      </w:r>
      <w:r>
        <w:rPr>
          <w:rFonts w:ascii="Arial" w:hAnsi="Arial"/>
          <w:i/>
          <w:color w:val="000000"/>
          <w:sz w:val="20"/>
        </w:rPr>
        <w:t>provided</w:t>
      </w:r>
      <w:r>
        <w:rPr>
          <w:rFonts w:ascii="Times New Roman" w:hAnsi="Times New Roman"/>
          <w:color w:val="000000"/>
          <w:sz w:val="20"/>
        </w:rPr>
        <w:t xml:space="preserve"> </w:t>
      </w:r>
      <w:r>
        <w:rPr>
          <w:rFonts w:ascii="Arial" w:hAnsi="Arial"/>
          <w:color w:val="000000"/>
          <w:sz w:val="20"/>
        </w:rPr>
        <w:t>that Awards using such available shares shall not be made after the date awards or grants could have been made under the terms of the pre-existing plan, absent the acquisition or combination, and shall only be made to individuals who were not Employees or Non-Employee Directors of the Company prior to such acquisition or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4.4 </w:t>
      </w:r>
      <w:r>
        <w:rPr>
          <w:rFonts w:ascii="Arial" w:hAnsi="Arial"/>
          <w:i/>
          <w:color w:val="000000"/>
          <w:sz w:val="20"/>
        </w:rPr>
        <w:t>Minimum Vesting Period</w:t>
      </w:r>
      <w:r>
        <w:rPr>
          <w:rFonts w:ascii="Arial" w:hAnsi="Arial"/>
          <w:color w:val="000000"/>
          <w:sz w:val="20"/>
        </w:rPr>
        <w:t xml:space="preserve">. Notwithstanding any other provision of the Plan to the contrary, equity-based Awards granted under the Plan shall vest no earlier than the first anniversary of the date the Award is granted (excluding, for this purpose, any (i) Substitute Awards, (ii) Shares delivered in lieu of fully vested cash Awards and (iii) Awards to Non-Employee Directors that vest on the earlier of the one year anniversary of the date of grant or the next annual meeting of stockholders which is at least 50 weeks after the immediately preceding year’s annual meeting); </w:t>
      </w:r>
      <w:r>
        <w:rPr>
          <w:rFonts w:ascii="Arial" w:hAnsi="Arial"/>
          <w:i/>
          <w:color w:val="000000"/>
          <w:sz w:val="20"/>
        </w:rPr>
        <w:t>provided</w:t>
      </w:r>
      <w:r>
        <w:rPr>
          <w:rFonts w:ascii="Arial" w:hAnsi="Arial"/>
          <w:color w:val="000000"/>
          <w:sz w:val="20"/>
        </w:rPr>
        <w:t xml:space="preserve">, that, the Committee may grant equity-based Awards without regard to the foregoing minimum vesting requirement with respect to a maximum of five percent (5%) of the Share Reserve (subject to adjustment under </w:t>
      </w:r>
      <w:r>
        <w:rPr>
          <w:rFonts w:ascii="Arial" w:hAnsi="Arial"/>
          <w:color w:val="000000"/>
          <w:sz w:val="20"/>
          <w:u w:val="single"/>
        </w:rPr>
        <w:t>Section 4.2</w:t>
      </w:r>
      <w:r>
        <w:rPr>
          <w:rFonts w:ascii="Arial" w:hAnsi="Arial"/>
          <w:color w:val="000000"/>
          <w:sz w:val="20"/>
        </w:rPr>
        <w:t xml:space="preserve">); and, </w:t>
      </w:r>
      <w:r>
        <w:rPr>
          <w:rFonts w:ascii="Arial" w:hAnsi="Arial"/>
          <w:i/>
          <w:color w:val="000000"/>
          <w:sz w:val="20"/>
        </w:rPr>
        <w:t>provided further</w:t>
      </w:r>
      <w:r>
        <w:rPr>
          <w:rFonts w:ascii="Arial" w:hAnsi="Arial"/>
          <w:color w:val="000000"/>
          <w:sz w:val="20"/>
        </w:rPr>
        <w:t xml:space="preserve">, for the avoidance of doubt, that the foregoing restriction does not apply to the Committee’s discretion to provide for accelerated exercisability or vesting of any Award, including in cases of Retirement, death, Disability or a Change in Control (consistent with </w:t>
      </w:r>
      <w:r>
        <w:rPr>
          <w:rFonts w:ascii="Arial" w:hAnsi="Arial"/>
          <w:color w:val="000000"/>
          <w:sz w:val="20"/>
          <w:u w:val="single"/>
        </w:rPr>
        <w:t>Section 13</w:t>
      </w:r>
      <w:r>
        <w:rPr>
          <w:rFonts w:ascii="Arial" w:hAnsi="Arial"/>
          <w:color w:val="000000"/>
          <w:sz w:val="20"/>
        </w:rPr>
        <w:t>), in the terms of the Award or otherwise.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A-8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Section 5. Eligibility.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Any Employee, Director or Consultant shall be eligible to be designated a Participant; provided, however, that Non-Employee Directors shall only be eligible to receive Awards granted consistent with </w:t>
      </w:r>
      <w:r>
        <w:rPr>
          <w:rFonts w:ascii="Arial" w:hAnsi="Arial"/>
          <w:color w:val="000000"/>
          <w:sz w:val="20"/>
          <w:u w:val="single"/>
        </w:rPr>
        <w:t>Section 10</w:t>
      </w:r>
      <w:r>
        <w:rPr>
          <w:rFonts w:ascii="Arial" w:hAnsi="Arial"/>
          <w:color w:val="000000"/>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Section 6. Stock Options and Stock Appreciation Rights.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6.1 </w:t>
      </w:r>
      <w:r>
        <w:rPr>
          <w:rFonts w:ascii="Arial" w:hAnsi="Arial"/>
          <w:i/>
          <w:color w:val="000000"/>
          <w:sz w:val="20"/>
        </w:rPr>
        <w:t>Grant.</w:t>
      </w:r>
      <w:r>
        <w:rPr>
          <w:rFonts w:ascii="Times New Roman" w:hAnsi="Times New Roman"/>
          <w:color w:val="000000"/>
          <w:sz w:val="20"/>
        </w:rPr>
        <w:t xml:space="preserve"> </w:t>
      </w:r>
      <w:r>
        <w:rPr>
          <w:rFonts w:ascii="Arial" w:hAnsi="Arial"/>
          <w:color w:val="000000"/>
          <w:sz w:val="20"/>
        </w:rPr>
        <w:t>The grant of an Option shall take place when the Committee by resolution, written consent or other appropriate action determines to grant such Option for a particular number of Shares to a particular Participant at a particular Option Price. An Option may be granted with or without a related SAR. A SAR may be granted with or without a related Option. The provisions of Option Awards need not be the same with respect to each Participant. In the case of Incentive Stock Options, the terms and conditions of such grants shall be subject to and comply with Section 422 of the Code, as from time to time amended, and any regulations implementing such statute. To the extent an Option does not qualify as an Incentive Stock Option for any reason, such Option shall be treated as a Non-Qualified Stock Option.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6.2 </w:t>
      </w:r>
      <w:r>
        <w:rPr>
          <w:rFonts w:ascii="Arial" w:hAnsi="Arial"/>
          <w:i/>
          <w:color w:val="000000"/>
          <w:sz w:val="20"/>
        </w:rPr>
        <w:t xml:space="preserve">Price. </w:t>
      </w:r>
      <w:r>
        <w:rPr>
          <w:rFonts w:ascii="Arial" w:hAnsi="Arial"/>
          <w:color w:val="000000"/>
          <w:sz w:val="20"/>
        </w:rPr>
        <w:t xml:space="preserve">The Committee in its sole discretion shall establish the Option Price at the time each Option is granted and the Grant Price at the time each SAR is granted. Except in the case of Substitute Awards, the Option Price of an Option may not be less than the Fair Market Value of the Shares with respect to which the Option is granted on the date of grant of such Option. Except with respect to Substitute Awards, SARs may not have a Grant Price less than the Fair Market Value of a Share on the date of grant. In the case of Substitute Awards or Awards granted in connection with an adjustment provided for in </w:t>
      </w:r>
      <w:r>
        <w:rPr>
          <w:rFonts w:ascii="Arial" w:hAnsi="Arial"/>
          <w:color w:val="000000"/>
          <w:sz w:val="20"/>
          <w:u w:val="single"/>
        </w:rPr>
        <w:t>Section 4.2</w:t>
      </w:r>
      <w:r>
        <w:rPr>
          <w:rFonts w:ascii="Times New Roman" w:hAnsi="Times New Roman"/>
          <w:color w:val="000000"/>
          <w:sz w:val="20"/>
        </w:rPr>
        <w:t xml:space="preserve"> </w:t>
      </w:r>
      <w:r>
        <w:rPr>
          <w:rFonts w:ascii="Arial" w:hAnsi="Arial"/>
          <w:color w:val="000000"/>
          <w:sz w:val="20"/>
        </w:rPr>
        <w:t xml:space="preserve">of the Plan in the form of Options, such grants shall have an Option Price per Share that is intended to maintain the economic value of the Award that was replaced or adjusted, as determined by the Committee. Except as required by the provisions of </w:t>
      </w:r>
      <w:r>
        <w:rPr>
          <w:rFonts w:ascii="Arial" w:hAnsi="Arial"/>
          <w:color w:val="000000"/>
          <w:sz w:val="20"/>
          <w:u w:val="single"/>
        </w:rPr>
        <w:t>Section 4.2</w:t>
      </w:r>
      <w:r>
        <w:rPr>
          <w:rFonts w:ascii="Times New Roman" w:hAnsi="Times New Roman"/>
          <w:color w:val="000000"/>
          <w:sz w:val="20"/>
        </w:rPr>
        <w:t xml:space="preserve"> </w:t>
      </w:r>
      <w:r>
        <w:rPr>
          <w:rFonts w:ascii="Arial" w:hAnsi="Arial"/>
          <w:color w:val="000000"/>
          <w:sz w:val="20"/>
        </w:rPr>
        <w:t>hereof, the Committee shall not have the power to (i) amend the terms of previously granted Options or SARs to reduce the Option Price of outstanding Options or the Grant Price of outstanding SARs, (ii) cancel such Options or SARs when the Option Price or Grant Price exceeds the Fair Market Value of one Share in exchange for cash or a grant of either substitute Options or SARs with a lower Exercise Price or Grant Price than the cancelled Award, or any other Award (other than in connection with a Change in Control), or (iii) take any other action with respect to an Option or SAR that would be treated as a repricing under the rules and regulations of the New York Stock Exchange or such other principal securities exchange on which the Shares are traded, in each case without the approval of the Company’s shareholders.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6.3 </w:t>
      </w:r>
      <w:r>
        <w:rPr>
          <w:rFonts w:ascii="Arial" w:hAnsi="Arial"/>
          <w:i/>
          <w:color w:val="000000"/>
          <w:sz w:val="20"/>
        </w:rPr>
        <w:t xml:space="preserve">Term. </w:t>
      </w:r>
      <w:r>
        <w:rPr>
          <w:rFonts w:ascii="Arial" w:hAnsi="Arial"/>
          <w:color w:val="000000"/>
          <w:sz w:val="20"/>
        </w:rPr>
        <w:t>Each Option and SAR and all rights and obligations thereunder shall expire on the date determined by the Committee and specified in the Award Agreement; provided, that no Option or SAR shall be exercisable after the expiration of ten (10) years from the date such Option or SAR was granted.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6.4 </w:t>
      </w:r>
      <w:r>
        <w:rPr>
          <w:rFonts w:ascii="Arial" w:hAnsi="Arial"/>
          <w:i/>
          <w:color w:val="000000"/>
          <w:sz w:val="20"/>
        </w:rPr>
        <w:t>Exercise.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(a) Subject to </w:t>
      </w:r>
      <w:r>
        <w:rPr>
          <w:rFonts w:ascii="Arial" w:hAnsi="Arial"/>
          <w:color w:val="000000"/>
          <w:sz w:val="20"/>
          <w:u w:val="single"/>
        </w:rPr>
        <w:t>Section 4.4</w:t>
      </w:r>
      <w:r>
        <w:rPr>
          <w:rFonts w:ascii="Arial" w:hAnsi="Arial"/>
          <w:color w:val="000000"/>
          <w:sz w:val="20"/>
        </w:rPr>
        <w:t>, each Option and SAR shall be exercisable at such times and subject to such terms and conditions as the Committee may, in its sole discretion, specify in the applicable Award Agreement or thereafter. The Committee may impose such conditions with respect to the exercise of Options, including without limitation, any relating to the application of federal, state or foreign securities laws or the Code, as it may deem necessary or advisable. The exercise of any Option granted hereunder shall be effective only at such time as the sale of Shares pursuant to such exercise will not violate any state or federal securities or other laws.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(b) An Option or SAR may be exercised in whole or in part at any time, with respect to whole Shares only, within the period permitted thereunder for the exercise thereof, and shall be exercised by written notice of intent to exercise the Option or SAR, delivered to the Company at its principal office, and payment in full to the Company at the direction of the Committee of the amount of the Option Price for the number of Shares with respect to which the Option is then being exercised.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A-9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(c) Payment of the Option Price shall be made in (i) cash or cash equivalents, or, (ii) at the discretion of the Committee, by transfer, either actually or by attestation, to the Company of unencumbered Shares previously acquired by the Participant, valued at the Fair Market Value of such Shares on the date of exercise (or next preceding trading date, if the date of exercise is not a trading date), together with any applicable withholding taxes, such transfer to be upon such terms and conditions as determined by the Committee, (iii) by a combination of (i) or (ii), or (iv) by any other method approved or accepted by the Committee in its sole discretion, including, if the Committee so determines, (x) a cashless (broker-assisted) exercise that complies with applicable laws or (y) withholding Shares (net-exercise) otherwise deliverable to the Participant pursuant to the Option having an aggregate Fair Market Value at the time of exercise equal to the total Option Price. Until the optionee has been issued the Shares subject to such exercise, the optionee shall possess no rights as a stockholder with respect to such Shares. Notwithstanding the foregoing, permitted exercise methods may be limited by the terms of the individual Award Agreement or by the Committee at any time.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(e) At the Committee’s discretion, the amount payable as a result of the exercise of a SAR may be settled in cash, Shares or a combination of cash and Shares.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6.5 </w:t>
      </w:r>
      <w:r>
        <w:rPr>
          <w:rFonts w:ascii="Arial" w:hAnsi="Arial"/>
          <w:i/>
          <w:color w:val="000000"/>
          <w:sz w:val="20"/>
        </w:rPr>
        <w:t>Termination of Employment or Service.</w:t>
      </w:r>
      <w:r>
        <w:rPr>
          <w:rFonts w:ascii="Times New Roman" w:hAnsi="Times New Roman"/>
          <w:color w:val="000000"/>
          <w:sz w:val="20"/>
        </w:rPr>
        <w:t xml:space="preserve"> </w:t>
      </w:r>
      <w:r>
        <w:rPr>
          <w:rFonts w:ascii="Arial" w:hAnsi="Arial"/>
          <w:color w:val="000000"/>
          <w:sz w:val="20"/>
        </w:rPr>
        <w:t>Except as otherwise provided in the applicable Award Agreement at or after grant, an Option may be exercised only to the extent that it is then exercisable, and if at all times during the period beginning with the grant date of such Option and ending on the date of exercise of such Option the Participant is and has been an Employee, Non-Employee Director or Consultant.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6.6 </w:t>
      </w:r>
      <w:r>
        <w:rPr>
          <w:rFonts w:ascii="Arial" w:hAnsi="Arial"/>
          <w:i/>
          <w:color w:val="000000"/>
          <w:sz w:val="20"/>
        </w:rPr>
        <w:t xml:space="preserve">Ten Percent Stock Rule. </w:t>
      </w:r>
      <w:r>
        <w:rPr>
          <w:rFonts w:ascii="Arial" w:hAnsi="Arial"/>
          <w:color w:val="000000"/>
          <w:sz w:val="20"/>
        </w:rPr>
        <w:t>Notwithstanding any other provisions in the Plan, if on a grant date, the optionee owns directly or indirectly (within the meaning of Section 424(d) of the Code) Shares of the Company possessing more than ten percent (10%) of the total combined voting power of all classes of Stock of the Company or its parent or Subsidiary or Affiliate corporations (within the meaning of Section 422(b)(6) of the Code), then any Incentive Stock Option to be granted to such optionee or rights holder pursuant to the Plan shall satisfy the requirement of Section 422(c)(5) of the Code, and the Option Price shall be not less than one hundred ten percent (110%) of the Fair Market Value of the Shares of the Company, and such Option by its terms shall not be exercisable after the expiration of five (5) years from the date such Option is granted.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6.7 </w:t>
      </w:r>
      <w:r>
        <w:rPr>
          <w:rFonts w:ascii="Arial" w:hAnsi="Arial"/>
          <w:i/>
          <w:color w:val="000000"/>
          <w:sz w:val="20"/>
        </w:rPr>
        <w:t>Transferability of Options.</w:t>
      </w:r>
      <w:r>
        <w:rPr>
          <w:rFonts w:ascii="Times New Roman" w:hAnsi="Times New Roman"/>
          <w:color w:val="000000"/>
          <w:sz w:val="20"/>
        </w:rPr>
        <w:t xml:space="preserve"> </w:t>
      </w:r>
      <w:r>
        <w:rPr>
          <w:rFonts w:ascii="Arial" w:hAnsi="Arial"/>
          <w:color w:val="000000"/>
          <w:sz w:val="20"/>
        </w:rPr>
        <w:t xml:space="preserve">Except as provided in this </w:t>
      </w:r>
      <w:r>
        <w:rPr>
          <w:rFonts w:ascii="Arial" w:hAnsi="Arial"/>
          <w:color w:val="000000"/>
          <w:sz w:val="20"/>
          <w:u w:val="single"/>
        </w:rPr>
        <w:t>Section 6.7</w:t>
      </w:r>
      <w:r>
        <w:rPr>
          <w:rFonts w:ascii="Arial" w:hAnsi="Arial"/>
          <w:color w:val="000000"/>
          <w:sz w:val="20"/>
        </w:rPr>
        <w:t>, no Options or SARs shall be transferable otherwise than by will or the laws of descent and distribution or exercisable during the lifetime of the Participant by anyone other than the Participant. An Award Agreement may provide that a Non-Qualified Stock Option or SAR granted to a Participant may be transferred by such Participant to a Permitted Transferee (as defined below), provided that (i) such Non-Qualified Stock Option or SAR shall be fully vested; (ii) there is no consideration for such transfer (other than receipt by the Participant of interest in an entity that is a Permitted Transferee); (iii) the Participant (or such Participant’s estate or representative) shall remain obligated to satisfy all income or other tax withholding obligations associated with the exercise of such Non-Qualified Stock Option or SAR; (iv) the Participant shall notify the Company in writing prior to such transfer and disclose to the Company the name and address of the Permitted Transferee and the relationship of the Permitted Transferee to the Participant; and (v) such transfer shall be effected pursuant to transfer documents in a form approved by the Company. A Permitted Transferee may not further assign or transfer any Non-Qualified Stock Option or SAR otherwise than by will or the laws of descent and distribution. Following the transfer of a Non-Qualified Stock Option or SAR to a Permitted Transferee, such Non-qualified Stock Option or SAR shall continue to be subject to the same terms and conditions that applied to it prior to the transfer by the Participant (including, without limitation, the Plan and the applicable Award Agreement), except that it shall be exercisable by the Permitted Transferee to whom such transfer was made rather than by the transferring Participant. For the purposes of the Plan, the term “Permitted Transferee” means, with respect to a Participant, (i) any child, stepchild, grandchild, parent, stepparent, grandparent, spouse, sibling, mother-in-law, father-in-law, son-in-law, daughter-in-law, brother-in-law or sister-in-law of the Participant, including adoptive relationships, and (ii) a trust, partnership or other entity in which the Participant or the persons described in clause (i) above have more than fifty percent of the beneficial interest.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A-10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Section 7. Restricted Shares And Restricted Share Units.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7.1 </w:t>
      </w:r>
      <w:r>
        <w:rPr>
          <w:rFonts w:ascii="Arial" w:hAnsi="Arial"/>
          <w:i/>
          <w:color w:val="000000"/>
          <w:sz w:val="20"/>
        </w:rPr>
        <w:t xml:space="preserve">Grant. </w:t>
      </w:r>
      <w:r>
        <w:rPr>
          <w:rFonts w:ascii="Arial" w:hAnsi="Arial"/>
          <w:color w:val="000000"/>
          <w:sz w:val="20"/>
        </w:rPr>
        <w:t xml:space="preserve">Restricted Share and Restricted Share Unit Awards shall be evidenced by Award Agreements in such form as the Committee shall from time to time approve, which agreements shall comply with and be subject to the terms and conditions provided hereunder and any additional terms and conditions established by the Committee that are consistent with the terms of the Plan. Subject to </w:t>
      </w:r>
      <w:r>
        <w:rPr>
          <w:rFonts w:ascii="Arial" w:hAnsi="Arial"/>
          <w:color w:val="000000"/>
          <w:sz w:val="20"/>
          <w:u w:val="single"/>
        </w:rPr>
        <w:t>Section 4.4</w:t>
      </w:r>
      <w:r>
        <w:rPr>
          <w:rFonts w:ascii="Arial" w:hAnsi="Arial"/>
          <w:color w:val="000000"/>
          <w:sz w:val="20"/>
        </w:rPr>
        <w:t>, the provisions of Restricted Share and Restricted Share Unit Awards need not be the same with respect to all Participants. The Award Agreement shall set forth a period of time during which the grantee must remain in the continuous employment of the Company in order for the forfeiture and transfer restrictions to lapse (the “</w:t>
      </w:r>
      <w:r>
        <w:rPr>
          <w:rFonts w:ascii="Arial" w:hAnsi="Arial"/>
          <w:color w:val="000000"/>
          <w:sz w:val="20"/>
          <w:u w:val="single"/>
        </w:rPr>
        <w:t>Restricted Period</w:t>
      </w:r>
      <w:r>
        <w:rPr>
          <w:rFonts w:ascii="Times New Roman" w:hAnsi="Times New Roman"/>
          <w:color w:val="000000"/>
          <w:sz w:val="20"/>
        </w:rPr>
        <w:t>”</w:t>
      </w:r>
      <w:r>
        <w:rPr>
          <w:rFonts w:ascii="Arial" w:hAnsi="Arial"/>
          <w:color w:val="000000"/>
          <w:sz w:val="20"/>
        </w:rPr>
        <w:t>). If the Committee so determines, the restrictions may lapse during such Restricted Period in installments with respect to specified portions of the Shares covered by the Restricted Share or Restricted Share Unit Award. The Award Agreement may also, in the discretion of the Committee, set forth performance or other conditions that will subject the Shares to forfeiture and transfer restrictions. The Committee may, at its discretion, waive all or any part of the restrictions applicable to any or all outstanding Restricted Share and Restricted Share Unit Awards.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7.2 </w:t>
      </w:r>
      <w:r>
        <w:rPr>
          <w:rFonts w:ascii="Arial" w:hAnsi="Arial"/>
          <w:i/>
          <w:color w:val="000000"/>
          <w:sz w:val="20"/>
        </w:rPr>
        <w:t xml:space="preserve">Restricted Shares. </w:t>
      </w:r>
      <w:r>
        <w:rPr>
          <w:rFonts w:ascii="Arial" w:hAnsi="Arial"/>
          <w:color w:val="000000"/>
          <w:sz w:val="20"/>
        </w:rPr>
        <w:t>At the time of the grant of a Restricted Share Award, a certificate representing the number of Shares awarded thereunder shall be registered in the name of the grantee. Such certificate shall be held by the Company or any custodian appointed by the Company for the account of the grantee subject to the terms and conditions of the Plan, and shall bear such a legend setting forth the restrictions imposed thereon as the Committee, in its discretion, may determine. The foregoing to the contrary notwithstanding, the Committee may, in its discretion, provide that a Participant’s ownership of Restricted Shares prior to the lapse of any transfer restrictions or any other applicable restrictions shall, in lieu of such certificates, be evidenced by a “book entry” (</w:t>
      </w:r>
      <w:r>
        <w:rPr>
          <w:rFonts w:ascii="Arial" w:hAnsi="Arial"/>
          <w:i/>
          <w:color w:val="000000"/>
          <w:sz w:val="20"/>
        </w:rPr>
        <w:t>i.e</w:t>
      </w:r>
      <w:r>
        <w:rPr>
          <w:rFonts w:ascii="Arial" w:hAnsi="Arial"/>
          <w:color w:val="000000"/>
          <w:sz w:val="20"/>
        </w:rPr>
        <w:t>., a computerized or manual entry) in the records of the Company or its designated agent in the name of the Participant who has received such Award, and confirmation and account statements sent to the Participant with respect to such book-entry Shares may bear the restrictive legend referenced in the preceding sentence. Such records of the Company or such agent shall, absent manifest error, be binding on all Participants who receive Restricted Share Awards evidenced in such manner.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(a) </w:t>
      </w:r>
      <w:r>
        <w:rPr>
          <w:rFonts w:ascii="Arial" w:hAnsi="Arial"/>
          <w:i/>
          <w:color w:val="000000"/>
          <w:sz w:val="20"/>
        </w:rPr>
        <w:t>Dividends and Other Distributions.</w:t>
      </w:r>
      <w:r>
        <w:rPr>
          <w:rFonts w:ascii="Times New Roman" w:hAnsi="Times New Roman"/>
          <w:color w:val="000000"/>
          <w:sz w:val="20"/>
        </w:rPr>
        <w:t xml:space="preserve"> </w:t>
      </w:r>
      <w:r>
        <w:rPr>
          <w:rFonts w:ascii="Arial" w:hAnsi="Arial"/>
          <w:color w:val="000000"/>
          <w:sz w:val="20"/>
        </w:rPr>
        <w:t xml:space="preserve">Prior to the lapse of any applicable transfer restrictions, Participants holding Restricted Shares shall have the right to receive any cash dividends paid with respect to such Shares while they are so held, unless determined otherwise by the Committee and set forth in the Award Agreement; </w:t>
      </w:r>
      <w:r>
        <w:rPr>
          <w:rFonts w:ascii="Arial" w:hAnsi="Arial"/>
          <w:i/>
          <w:color w:val="000000"/>
          <w:sz w:val="20"/>
        </w:rPr>
        <w:t>provided</w:t>
      </w:r>
      <w:r>
        <w:rPr>
          <w:rFonts w:ascii="Arial" w:hAnsi="Arial"/>
          <w:color w:val="000000"/>
          <w:sz w:val="20"/>
        </w:rPr>
        <w:t>, however, that any Shares, cash or any other property distributed as a dividend or otherwise with respect to any Restricted Shares as to which the restrictions have not yet lapsed shall be accumulated or credited, and shall be subject to the same restrictions and risk of forfeiture as such Restricted Shares with respect to which they relate and shall be paid only if and to the extent the underlying Award vests.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(b) </w:t>
      </w:r>
      <w:r>
        <w:rPr>
          <w:rFonts w:ascii="Arial" w:hAnsi="Arial"/>
          <w:i/>
          <w:color w:val="000000"/>
          <w:sz w:val="20"/>
        </w:rPr>
        <w:t>Other Rights.</w:t>
      </w:r>
      <w:r>
        <w:rPr>
          <w:rFonts w:ascii="Times New Roman" w:hAnsi="Times New Roman"/>
          <w:color w:val="000000"/>
          <w:sz w:val="20"/>
        </w:rPr>
        <w:t xml:space="preserve"> </w:t>
      </w:r>
      <w:r>
        <w:rPr>
          <w:rFonts w:ascii="Arial" w:hAnsi="Arial"/>
          <w:color w:val="000000"/>
          <w:sz w:val="20"/>
        </w:rPr>
        <w:t>Unless otherwise provided in the applicable Award Agreement, the grantee shall have all other rights of a stockholder with respect to the Restricted Shares, including the right to vote such Shares, subject to the following restrictions: (i) the grantee shall not be entitled to delivery of the stock certificate (or other book entry) until the expiration of the Restricted Period and the fulfillment of any other restrictive conditions set forth in the Award Agreement with respect to such Shares; (ii) none of the Shares may be sold, assigned, transferred, pledged, hypothecated or otherwise encumbered or disposed of during such Restricted Period or until after the fulfillment of any such other restrictive conditions; and (iii) except as otherwise determined by the Committee at or after grant, all of the Shares shall be forfeited and all rights of the grantee to such Shares shall terminate, without further obligation on the part of the Company, unless the grantee remains in the continuous employment or service with the Company, a Subsidiary or Affiliate for the entire Restricted Period in relation to which such Shares were granted and unless any other restrictive conditions relating to the Restricted Share Award are met.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(c) </w:t>
      </w:r>
      <w:r>
        <w:rPr>
          <w:rFonts w:ascii="Arial" w:hAnsi="Arial"/>
          <w:i/>
          <w:color w:val="000000"/>
          <w:sz w:val="20"/>
        </w:rPr>
        <w:t xml:space="preserve">Termination of Restrictions. </w:t>
      </w:r>
      <w:r>
        <w:rPr>
          <w:rFonts w:ascii="Arial" w:hAnsi="Arial"/>
          <w:color w:val="000000"/>
          <w:sz w:val="20"/>
        </w:rPr>
        <w:t>At the end of the Restricted Period and provided that any other restrictive conditions of the Restricted Share Award are met, or at such earlier time as otherwise determined by the Committee, all restrictions set forth in the Award Agreement relating to the Restricted Share Award or in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A-11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Plan shall lapse as to the Restricted Shares subject thereto, and a stock certificate for the appropriate number of Shares, free of the restrictions and restricted stock legend, shall be delivered to the Participant or the Participant’s beneficiary or estate, as the case may be (or, in the case of book-entry Shares, such restrictions and restricted stock legend shall be removed from the confirmation and account statements delivered to the Participant or the Participant’s beneficiary or estate, as the case may be, in book-entry form).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7.3 </w:t>
      </w:r>
      <w:r>
        <w:rPr>
          <w:rFonts w:ascii="Arial" w:hAnsi="Arial"/>
          <w:i/>
          <w:color w:val="000000"/>
          <w:sz w:val="20"/>
        </w:rPr>
        <w:t xml:space="preserve">Restricted Share Units. </w:t>
      </w:r>
      <w:r>
        <w:rPr>
          <w:rFonts w:ascii="Arial" w:hAnsi="Arial"/>
          <w:color w:val="000000"/>
          <w:sz w:val="20"/>
        </w:rPr>
        <w:t xml:space="preserve">Each Restricted Share Unit shall have a value equal to the Fair Market Value of a Share. Restricted Share Units shall be paid in cash, Shares, other securities or other property, as determined in the sole discretion of the Committee, and subject to </w:t>
      </w:r>
      <w:r>
        <w:rPr>
          <w:rFonts w:ascii="Arial" w:hAnsi="Arial"/>
          <w:color w:val="000000"/>
          <w:sz w:val="20"/>
          <w:u w:val="single"/>
        </w:rPr>
        <w:t>Section 4.4</w:t>
      </w:r>
      <w:r>
        <w:rPr>
          <w:rFonts w:ascii="Arial" w:hAnsi="Arial"/>
          <w:color w:val="000000"/>
          <w:sz w:val="20"/>
        </w:rPr>
        <w:t xml:space="preserve">, upon the lapse of the restrictions applicable thereto, or otherwise in accordance with the applicable Award Agreement. Unless otherwise provided in a Restricted Share Unit Award Agreement, a Participant will not be entitled to receive dividend equivalent rights in respect of Restricted Share Units at the time of any payment of dividends to stockholders on Shares; </w:t>
      </w:r>
      <w:r>
        <w:rPr>
          <w:rFonts w:ascii="Arial" w:hAnsi="Arial"/>
          <w:i/>
          <w:color w:val="000000"/>
          <w:sz w:val="20"/>
        </w:rPr>
        <w:t>provided</w:t>
      </w:r>
      <w:r>
        <w:rPr>
          <w:rFonts w:ascii="Arial" w:hAnsi="Arial"/>
          <w:color w:val="000000"/>
          <w:sz w:val="20"/>
        </w:rPr>
        <w:t>, that in no event shall a Participant receive dividends on unvested Restricted Share Units until such Awards have vested, though such dividends may be accumulated, in cash or as Shares, in each case subject to the same risk of forfeiture and paid concurrently with the vesting or settlement of the underlying Restricted Share Units. Except as otherwise determined by the Committee at or after grant, (i) Restricted Share Units may not be sold, assigned, transferred, pledged, hypothecated or otherwise encumbered or disposed of, and (ii) all Restricted Share Units and all rights of the grantee to such Restricted Share Units and the underlying Shares shall terminate, without further obligation on the part of the Company, unless the grantee remains in continuous service or employment of the Company, a Subsidiary or an Affiliate for the entire Restricted Period in relation to which such Restricted Share Units were granted and unless any other restrictive conditions relating to the Restricted Share Unit Award are met.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Section 8. Performance Awards.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8.1 </w:t>
      </w:r>
      <w:r>
        <w:rPr>
          <w:rFonts w:ascii="Arial" w:hAnsi="Arial"/>
          <w:i/>
          <w:color w:val="000000"/>
          <w:sz w:val="20"/>
        </w:rPr>
        <w:t xml:space="preserve">Grant. </w:t>
      </w:r>
      <w:r>
        <w:rPr>
          <w:rFonts w:ascii="Arial" w:hAnsi="Arial"/>
          <w:color w:val="000000"/>
          <w:sz w:val="20"/>
        </w:rPr>
        <w:t>The provisions of Performance Awards need not be the same with respect to all Participants. A Performance Award may consist of a right that is (i) denominated in cash or Shares (including but not limited to Restricted Shares or Restricted Share Units), (ii) valued, as determined by the Committee, in accordance with the achievement of such performance goals during such Performance Periods as the Committee shall establish, and (iii) payable at such time and in such form (including in cash, Shares, other securities, other property, or any combination thereof, as determined in the sole discretion of the Committee) as the Committee shall determine.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8.2 </w:t>
      </w:r>
      <w:r>
        <w:rPr>
          <w:rFonts w:ascii="Arial" w:hAnsi="Arial"/>
          <w:i/>
          <w:color w:val="000000"/>
          <w:sz w:val="20"/>
        </w:rPr>
        <w:t xml:space="preserve">Terms and Conditions. </w:t>
      </w:r>
      <w:r>
        <w:rPr>
          <w:rFonts w:ascii="Arial" w:hAnsi="Arial"/>
          <w:color w:val="000000"/>
          <w:sz w:val="20"/>
        </w:rPr>
        <w:t xml:space="preserve">Subject to the terms of the Plan (including </w:t>
      </w:r>
      <w:r>
        <w:rPr>
          <w:rFonts w:ascii="Arial" w:hAnsi="Arial"/>
          <w:color w:val="000000"/>
          <w:sz w:val="20"/>
          <w:u w:val="single"/>
        </w:rPr>
        <w:t>Section 4.4</w:t>
      </w:r>
      <w:r>
        <w:rPr>
          <w:rFonts w:ascii="Arial" w:hAnsi="Arial"/>
          <w:color w:val="000000"/>
          <w:sz w:val="20"/>
        </w:rPr>
        <w:t>) and any applicable Award Agreement, the Committee shall determine the performance goals to be achieved during any Performance Period, the length of any Performance Period, the amount of any Performance Award and the amount and kind of any payment or transfer to be made pursuant to any Performance Award. The Committee may amend specific provisions of the Performance Award consistent with the terms of the Plan. In the event the Committee provides for dividends or dividend equivalents to be payable with respect to any Performance Awards denominated in Shares, any Shares, cash or any other property distributable as a dividend or otherwise with respect to such Performance Awards as to which the restrictions have not yet lapsed (and/or performance goals have not been satisfied) shall be accumulated or credited, and shall be subject to the same restrictions and risk of forfeiture as such Performance Awards and shall not be paid until and unless the underlying Performance Awards vest.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A-12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8.3 </w:t>
      </w:r>
      <w:r>
        <w:rPr>
          <w:rFonts w:ascii="Arial" w:hAnsi="Arial"/>
          <w:i/>
          <w:color w:val="000000"/>
          <w:sz w:val="20"/>
        </w:rPr>
        <w:t xml:space="preserve">Payment of Performance Awards. </w:t>
      </w:r>
      <w:r>
        <w:rPr>
          <w:rFonts w:ascii="Arial" w:hAnsi="Arial"/>
          <w:color w:val="000000"/>
          <w:sz w:val="20"/>
        </w:rPr>
        <w:t>Performance Awards may be settled in cash, Shares, other securities, other property, or any combination thereof, as determined by the Committee in its sole discretion, and may be paid in a lump sum or in installments following the close of the Performance Period or, in accordance with the procedures established by the Committee, on a deferred basis. A Participant’s rights to any Performance Award may not be sold, assigned, transferred, pledged, hypothecated or otherwise encumbered or disposed of in any manner, except by will or the laws of descent and distribution, and/or except as the Committee may determine at or after grant.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8.4 </w:t>
      </w:r>
      <w:r>
        <w:rPr>
          <w:rFonts w:ascii="Arial" w:hAnsi="Arial"/>
          <w:i/>
          <w:color w:val="000000"/>
          <w:sz w:val="20"/>
        </w:rPr>
        <w:t xml:space="preserve">Termination of Employment or Service. </w:t>
      </w:r>
      <w:r>
        <w:rPr>
          <w:rFonts w:ascii="Arial" w:hAnsi="Arial"/>
          <w:color w:val="000000"/>
          <w:sz w:val="20"/>
        </w:rPr>
        <w:t>Except as otherwise provided in the applicable Award Agreement at or after grant, if during a Performance Period a Participant’s employment or service with the Company, a Subsidiary, or an Affiliate terminates, then such Participant shall not be entitled to any payment with respect to the Performance Awards relating to such Performance Period. Such provisions shall be determined in the sole discretion of the Committee, not need be uniform among all such Awards issued pursuant to the Plan, and may reflect distinctions based on the reasons for the termination of employment.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Section 9. Other Stock-Based Awards.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The Committee shall have the authority to determine the Participants who shall receive an Other Stock-Based Award, which may consist of any right that is an Award of Shares or an Award denominated or payable in, valued in whole or in part by reference to, or otherwise based on or related to, Shares (including, without limitation, securities convertible into Shares), as deemed by the Committee to be consistent with the purposes of the Plan. Subject to the terms of the Plan (including </w:t>
      </w:r>
      <w:r>
        <w:rPr>
          <w:rFonts w:ascii="Arial" w:hAnsi="Arial"/>
          <w:color w:val="000000"/>
          <w:sz w:val="20"/>
          <w:u w:val="single"/>
        </w:rPr>
        <w:t>Section 4.4</w:t>
      </w:r>
      <w:r>
        <w:rPr>
          <w:rFonts w:ascii="Arial" w:hAnsi="Arial"/>
          <w:color w:val="000000"/>
          <w:sz w:val="20"/>
        </w:rPr>
        <w:t>) and any applicable Award Agreement, the Committee shall determine the terms and conditions of any such Other Stock-Based Award; provided that in the event the Committee provides for dividends or dividend equivalents to be payable with respect to any Other Stock-Based Awards denominated in Shares, any Shares, cash or any other property distributed as a dividend or otherwise with respect to such Other Stock-Based Awards as to which the restrictions have not yet lapsed (and/or performance goals have not been satisfied) shall be accumulated or credited, and shall be subject to the same restrictions and risk of forfeiture as such Other Stock-Based Awards and shall not be paid until and unless the underlying Other Stock-Based Awards vest.</w:t>
      </w:r>
    </w:p>
    <w:p>
      <w:pPr>
        <w:pStyle w:val="TextBody"/>
        <w:bidi w:val="0"/>
        <w:spacing w:before="240" w:after="283"/>
        <w:jc w:val="left"/>
        <w:rPr>
          <w:rFonts w:ascii="Times New Roman" w:hAnsi="Times New Roman"/>
          <w:sz w:val="20"/>
        </w:rPr>
      </w:pPr>
      <w:r>
        <w:rPr>
          <w:rFonts w:ascii="Arial" w:hAnsi="Arial"/>
          <w:b/>
          <w:color w:val="000000"/>
          <w:sz w:val="20"/>
        </w:rPr>
        <w:t>Section 10. Non-Employee Director Awards.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10.1 </w:t>
      </w:r>
      <w:r>
        <w:rPr>
          <w:rFonts w:ascii="Arial" w:hAnsi="Arial"/>
          <w:i/>
          <w:color w:val="000000"/>
          <w:sz w:val="20"/>
        </w:rPr>
        <w:t>Awards.</w:t>
      </w:r>
      <w:r>
        <w:rPr>
          <w:rFonts w:ascii="Times New Roman" w:hAnsi="Times New Roman"/>
          <w:color w:val="000000"/>
          <w:sz w:val="20"/>
        </w:rPr>
        <w:t xml:space="preserve"> </w:t>
      </w:r>
      <w:r>
        <w:rPr>
          <w:rFonts w:ascii="Arial" w:hAnsi="Arial"/>
          <w:color w:val="000000"/>
          <w:sz w:val="20"/>
        </w:rPr>
        <w:t xml:space="preserve">The Board may provide that all or a portion of a Non-Employee Director’s annual retainer, meeting fees and/or other awards or compensation as determined by the Board, be payable (either automatically or at the election of a Non-Employee Director) in the form of Non-Qualified Stock Options, Restricted Shares, Restricted Share Units and/or Other Stock-Based Awards, including unrestricted Shares (subject to </w:t>
      </w:r>
      <w:r>
        <w:rPr>
          <w:rFonts w:ascii="Arial" w:hAnsi="Arial"/>
          <w:color w:val="000000"/>
          <w:sz w:val="20"/>
          <w:u w:val="single"/>
        </w:rPr>
        <w:t>Section 4.4</w:t>
      </w:r>
      <w:r>
        <w:rPr>
          <w:rFonts w:ascii="Arial" w:hAnsi="Arial"/>
          <w:color w:val="000000"/>
          <w:sz w:val="20"/>
        </w:rPr>
        <w:t>). The Board shall determine the terms and conditions of any such Awards, including the terms and conditions which shall apply upon a termination of the Non-Employee Director’s service as a member of the Board, and shall have full power and authority in its discretion to administer such Awards, subject to the terms of the Plan and applicable law.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10.2 </w:t>
      </w:r>
      <w:r>
        <w:rPr>
          <w:rFonts w:ascii="Arial" w:hAnsi="Arial"/>
          <w:i/>
          <w:color w:val="000000"/>
          <w:sz w:val="20"/>
        </w:rPr>
        <w:t>Applicable Limits</w:t>
      </w:r>
      <w:r>
        <w:rPr>
          <w:rFonts w:ascii="Arial" w:hAnsi="Arial"/>
          <w:color w:val="000000"/>
          <w:sz w:val="20"/>
        </w:rPr>
        <w:t xml:space="preserve">. Notwithstanding anything herein to the contrary, the aggregate value of all compensation paid or granted, as applicable, to any individual for service as a Non-Employee Director with respect to any calendar year, including equity Awards granted and cash fees paid by the Company to such Non-Employee Director, shall not exceed five hundred thousand dollars ($500,000) in value, calculating the value of any equity Awards granted during such calendar year based on the grant date fair value of such Awards for financial reporting purposes. The Board may make exceptions to the applicable limit in this </w:t>
      </w:r>
      <w:r>
        <w:rPr>
          <w:rFonts w:ascii="Arial" w:hAnsi="Arial"/>
          <w:color w:val="000000"/>
          <w:sz w:val="20"/>
          <w:u w:val="single"/>
        </w:rPr>
        <w:t>Section 10.2</w:t>
      </w:r>
      <w:r>
        <w:rPr>
          <w:rFonts w:ascii="Times New Roman" w:hAnsi="Times New Roman"/>
          <w:color w:val="000000"/>
          <w:sz w:val="20"/>
        </w:rPr>
        <w:t xml:space="preserve"> </w:t>
      </w:r>
      <w:r>
        <w:rPr>
          <w:rFonts w:ascii="Arial" w:hAnsi="Arial"/>
          <w:color w:val="000000"/>
          <w:sz w:val="20"/>
        </w:rPr>
        <w:t>for individual Non-Employee Directors in extraordinary circumstances, such as where any such individual Non-Employee Directors are serving on a special litigation or transactions committee of the Board, as the Board may determine in its discretion, provided that the Non-Employee Director receiving such additional compensation may not participate in the decision to award such compensation involving such Non-Employee Director.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A-13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Section 11. Provisions Applicable Performance Awards.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Committee may grant Performance Awards based upon the attainment of performance targets related to one or more performance goals selected by the Committee from among the goals specified below, or related to any other performance goals as the Committee shall select, in its sole discretion. Performance goals may include one or more of the following Company, Subsidiary, operating unit, business segment or division financial performance measures: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(a) earnings before interest, taxes, depreciation and/or amortization;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(b) operating income or profit;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(c) operating efficiencies;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(d) return on equity, assets, capital, capital employed or investment;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(e) net income;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(f) earnings per share;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(g) utilization;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(h) gross profit;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(i) stock price or total stockholder return;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(j) customer growth;</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(k) debt reduction;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(l) strategic business objectives, consisting of one or more objectives based on meeting specified cost targets, business expansion goals and goals relating to acquisitions or divestitures; or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(m) any combination thereof.</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Each goal may be expressed on an absolute and/or relative basis, may be expressed to take into account the Company’s or business segment’s cost of capital, may be based on or otherwise employ comparisons based on internal targets, the past performance of the Company or any Subsidiary, operating unit, business segment or division of the Company and/or the past or current performance of other companies, and in the case of earnings-based measures, may use or employ comparisons relating to capital, stockholders’ equity and/or Shares outstanding, or to assets or net assets. The Committee may provide for the adjustment of any evaluation of performance, including making adjustments to the performance targets, under criteria set forth in this </w:t>
      </w:r>
      <w:r>
        <w:rPr>
          <w:rFonts w:ascii="Arial" w:hAnsi="Arial"/>
          <w:color w:val="000000"/>
          <w:sz w:val="20"/>
          <w:u w:val="single"/>
        </w:rPr>
        <w:t>Section 11</w:t>
      </w:r>
      <w:r>
        <w:rPr>
          <w:rFonts w:ascii="Times New Roman" w:hAnsi="Times New Roman"/>
          <w:color w:val="000000"/>
          <w:sz w:val="20"/>
        </w:rPr>
        <w:t xml:space="preserve"> </w:t>
      </w:r>
      <w:r>
        <w:rPr>
          <w:rFonts w:ascii="Arial" w:hAnsi="Arial"/>
          <w:color w:val="000000"/>
          <w:sz w:val="20"/>
        </w:rPr>
        <w:t>to exclude events that occur during a Performance Period, including but not limited to: (i) asset write-downs, (ii) litigation or claim judgments or settlements, (iii) the effect of changes in tax law, accounting principles or other such laws or provisions affecting reported results, (iv) accruals for reorganization and restructuring programs, (v) any items that are unusual in nature or infrequently occurring within the meaning of generally accepted account principles or other extraordinary items that are included in in management’s discussion and analysis of financial condition and results of operations appearing in the Company’s annual report to stockholders for the applicable year, or (vi) any event either not directly related to the operations of the Company or not within the reasonable control of the Company’s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Section 12. Termination Of Employment Or Service.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A-14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The Committee shall have the full power and authority to determine the terms and conditions that shall apply to any Award upon a termination of employment or service with the Company, its Subsidiaries and Affiliates, including a termination by the Company with or without Cause, by a Participant voluntarily, or by reason of death, Disability or Retirement, and may provide such terms and conditions in the Award Agreement or in such rules and regulations as it may prescribe. For purposes of the Plan, unless the Committee determines otherwise, a transfer of a Participant’s employment or other service-providing capacity (including to service on the Board) without an intervening period of separation of service from the Company and any Affiliate or Subsidiary shall not be deemed a termination of employment or service. The Committee has discretion to determine that vesting of an Award will continue while a Participant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Such terms and conditions need not be the same with respect to all Awards or all Participants.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Section 13. Change In Control.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13.1 </w:t>
      </w:r>
      <w:r>
        <w:rPr>
          <w:rFonts w:ascii="Arial" w:hAnsi="Arial"/>
          <w:i/>
          <w:color w:val="000000"/>
          <w:sz w:val="20"/>
        </w:rPr>
        <w:t>Assumed Awards.</w:t>
      </w:r>
      <w:r>
        <w:rPr>
          <w:rFonts w:ascii="Times New Roman" w:hAnsi="Times New Roman"/>
          <w:color w:val="000000"/>
          <w:sz w:val="20"/>
        </w:rPr>
        <w:t xml:space="preserve"> </w:t>
      </w:r>
      <w:r>
        <w:rPr>
          <w:rFonts w:ascii="Arial" w:hAnsi="Arial"/>
          <w:color w:val="000000"/>
          <w:sz w:val="20"/>
        </w:rPr>
        <w:t>Except as otherwise provided by the Committee at or after grant, no cancellation, acceleration of exercisability, vesting, cash settlement or other payment shall occur with respect to any Option, SAR, Restricted Share, Restricted Share Unit, Performance Award and/or Other Stock-Based Award if the Committee reasonably determines prior to the occurrence of a Change in Control that such Option, SAR, Restricted Share, Restricted Share Unit, Performance Award and/or Other Stock-Based Award shall be honored or assumed, or new rights substituted therefor (such honored, assumed or substituted award hereinafter called an “</w:t>
      </w:r>
      <w:r>
        <w:rPr>
          <w:rFonts w:ascii="Arial" w:hAnsi="Arial"/>
          <w:color w:val="000000"/>
          <w:sz w:val="20"/>
          <w:u w:val="single"/>
        </w:rPr>
        <w:t>Assumed Award</w:t>
      </w:r>
      <w:r>
        <w:rPr>
          <w:rFonts w:ascii="Times New Roman" w:hAnsi="Times New Roman"/>
          <w:color w:val="000000"/>
          <w:sz w:val="20"/>
        </w:rPr>
        <w:t>”</w:t>
      </w:r>
      <w:r>
        <w:rPr>
          <w:rFonts w:ascii="Arial" w:hAnsi="Arial"/>
          <w:color w:val="000000"/>
          <w:sz w:val="20"/>
        </w:rPr>
        <w:t>), by a Participant’s employer (or the parent or an affiliate of such employer) immediately following the Change in Control; provided that any such Assumed Award must: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(a) be based on stock that is traded on an established securities market;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(b) provide such Participant with rights and entitlements substantially equivalent to or better than the rights, terms and conditions applicable under such Option, SAR, Restricted Share, Restricted Share Unit, Performance Award (after applying </w:t>
      </w:r>
      <w:r>
        <w:rPr>
          <w:rFonts w:ascii="Arial" w:hAnsi="Arial"/>
          <w:color w:val="000000"/>
          <w:sz w:val="20"/>
          <w:u w:val="single"/>
        </w:rPr>
        <w:t>Section 13.3</w:t>
      </w:r>
      <w:r>
        <w:rPr>
          <w:rFonts w:ascii="Arial" w:hAnsi="Arial"/>
          <w:color w:val="000000"/>
          <w:sz w:val="20"/>
        </w:rPr>
        <w:t>) and/or Other Stock-Based Award, including, but not limited to, an identical or better exercise or vesting schedule;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(c) have substantially equivalent value to such Option, SAR, Restricted Share, Restricted Share Unit, Performance Award and/or Other Stock-Based Award (determined at the time of the Change in Control); and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(d) have terms and conditions which provide that in the event that within twenty-four months following the Change in Control, the Participant’s employment is involuntarily terminated for any reason other than for Cause, or if the Participant terminates his or her employment for Good Reason, all of such Participant’s Options, SARs, Restricted Shares, Restricted Share Units, Performance Awards and/or Other Stock-Based Award shall be deemed immediately and fully exercisable and/or all restrictions shall lapse, and shall be settled for a payment per each share of stock subject to the Assumed Award in cash, in immediately transferable, publicly traded securities, or in a combination thereof, in an amount equal to (i) the Fair Market Value of such stock on the date of the Participant’s termination (with respect to any Restricted Shares, Restricted Share Units, earned Performance Awards and/or Other Stock-Based Awards (if applicable)), or (ii) the excess of the Fair Market Value of such stock on the date of the Participant’s termination over the corresponding exercise or base price per share, if any (with respect to any Option, SARs and/or Other Stock-Based Award (if applicable)).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13.2 </w:t>
      </w:r>
      <w:r>
        <w:rPr>
          <w:rFonts w:ascii="Arial" w:hAnsi="Arial"/>
          <w:i/>
          <w:color w:val="000000"/>
          <w:sz w:val="20"/>
        </w:rPr>
        <w:t>Awards not Assumed.</w:t>
      </w:r>
      <w:r>
        <w:rPr>
          <w:rFonts w:ascii="Times New Roman" w:hAnsi="Times New Roman"/>
          <w:color w:val="000000"/>
          <w:sz w:val="20"/>
        </w:rPr>
        <w:t xml:space="preserve"> </w:t>
      </w:r>
      <w:r>
        <w:rPr>
          <w:rFonts w:ascii="Arial" w:hAnsi="Arial"/>
          <w:color w:val="000000"/>
          <w:sz w:val="20"/>
        </w:rPr>
        <w:t xml:space="preserve">In the event an Award does not constitute an Assumed Award in connection with a Change in Control as provided in </w:t>
      </w:r>
      <w:r>
        <w:rPr>
          <w:rFonts w:ascii="Arial" w:hAnsi="Arial"/>
          <w:color w:val="000000"/>
          <w:sz w:val="20"/>
          <w:u w:val="single"/>
        </w:rPr>
        <w:t>Section 13.1</w:t>
      </w:r>
      <w:r>
        <w:rPr>
          <w:rFonts w:ascii="Arial" w:hAnsi="Arial"/>
          <w:color w:val="000000"/>
          <w:sz w:val="20"/>
        </w:rPr>
        <w:t>, in the event of a Change in Control, each Option and SAR then outstanding shall be fully exercisable regardless of the exercise schedule otherwise applicable to such Option and/or SAR, and the Restricted Period shall lapse as to each Restricted Share, Restricted Share Unit and Other Stock-Based Award then outstanding. In connection with such a Change in Control, the Committee may, in its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A-15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discretion, either by the terms of the Award Agreement applicable to any Award or by resolution adopted prior to the occurrence of the Change in Control, provide that each Option, SAR, Restricted Share, Restricted Share Unit and/or Other Stock-Based Award shall, upon the occurrence of such Change in Control, be cancelled in exchange for a payment per share/unit in an amount based on Fair Market Value of the Award with reference to the Change in Control, which amount may be zero (0) if applicable.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13.3 </w:t>
      </w:r>
      <w:r>
        <w:rPr>
          <w:rFonts w:ascii="Arial" w:hAnsi="Arial"/>
          <w:i/>
          <w:color w:val="000000"/>
          <w:sz w:val="20"/>
        </w:rPr>
        <w:t>Performance Awards.</w:t>
      </w:r>
      <w:r>
        <w:rPr>
          <w:rFonts w:ascii="Times New Roman" w:hAnsi="Times New Roman"/>
          <w:color w:val="000000"/>
          <w:sz w:val="20"/>
        </w:rPr>
        <w:t xml:space="preserve"> </w:t>
      </w:r>
      <w:r>
        <w:rPr>
          <w:rFonts w:ascii="Arial" w:hAnsi="Arial"/>
          <w:color w:val="000000"/>
          <w:sz w:val="20"/>
        </w:rPr>
        <w:t xml:space="preserve">Unless otherwise provided in an Award Agreement or other documents governing a Performance Award, in the event of a Change in Control, (a) any outstanding Performance Awards relating to Performance Periods ending prior to the Change in Control which have been earned but not paid shall become immediately payable, (b) all then-in-progress Performance Periods for Performance Awards that are outstanding shall end, and all Participants shall be deemed to have earned an award based on actual performance during the shortened performance period or a pro rata amount of the target award opportunity based on the number of months that have elapsed during the Performance Period in question, and (c) such Performance Award shall convert into a time-based vesting Award for such earned portion that shall be subject to </w:t>
      </w:r>
      <w:r>
        <w:rPr>
          <w:rFonts w:ascii="Arial" w:hAnsi="Arial"/>
          <w:color w:val="000000"/>
          <w:sz w:val="20"/>
          <w:u w:val="single"/>
        </w:rPr>
        <w:t>Section 13.1</w:t>
      </w:r>
      <w:r>
        <w:rPr>
          <w:rFonts w:ascii="Times New Roman" w:hAnsi="Times New Roman"/>
          <w:color w:val="000000"/>
          <w:sz w:val="20"/>
        </w:rPr>
        <w:t xml:space="preserve"> </w:t>
      </w:r>
      <w:r>
        <w:rPr>
          <w:rFonts w:ascii="Arial" w:hAnsi="Arial"/>
          <w:color w:val="000000"/>
          <w:sz w:val="20"/>
        </w:rPr>
        <w:t xml:space="preserve">or </w:t>
      </w:r>
      <w:r>
        <w:rPr>
          <w:rFonts w:ascii="Arial" w:hAnsi="Arial"/>
          <w:color w:val="000000"/>
          <w:sz w:val="20"/>
          <w:u w:val="single"/>
        </w:rPr>
        <w:t>13.2</w:t>
      </w:r>
      <w:r>
        <w:rPr>
          <w:rFonts w:ascii="Times New Roman" w:hAnsi="Times New Roman"/>
          <w:color w:val="000000"/>
          <w:sz w:val="20"/>
        </w:rPr>
        <w:t xml:space="preserve"> </w:t>
      </w:r>
      <w:r>
        <w:rPr>
          <w:rFonts w:ascii="Arial" w:hAnsi="Arial"/>
          <w:color w:val="000000"/>
          <w:sz w:val="20"/>
        </w:rPr>
        <w:t>as applicable.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13.4 </w:t>
      </w:r>
      <w:r>
        <w:rPr>
          <w:rFonts w:ascii="Arial" w:hAnsi="Arial"/>
          <w:i/>
          <w:color w:val="000000"/>
          <w:sz w:val="20"/>
        </w:rPr>
        <w:t>No Implied Rights; Other Limitations</w:t>
      </w:r>
      <w:r>
        <w:rPr>
          <w:rFonts w:ascii="Arial" w:hAnsi="Arial"/>
          <w:color w:val="000000"/>
          <w:sz w:val="20"/>
        </w:rPr>
        <w:t xml:space="preserve">. No Participant shall have any right to prevent the consummation of any of the acts described in </w:t>
      </w:r>
      <w:r>
        <w:rPr>
          <w:rFonts w:ascii="Arial" w:hAnsi="Arial"/>
          <w:color w:val="000000"/>
          <w:sz w:val="20"/>
          <w:u w:val="single"/>
        </w:rPr>
        <w:t>Section 4.2</w:t>
      </w:r>
      <w:r>
        <w:rPr>
          <w:rFonts w:ascii="Times New Roman" w:hAnsi="Times New Roman"/>
          <w:color w:val="000000"/>
          <w:sz w:val="20"/>
        </w:rPr>
        <w:t xml:space="preserve"> </w:t>
      </w:r>
      <w:r>
        <w:rPr>
          <w:rFonts w:ascii="Arial" w:hAnsi="Arial"/>
          <w:color w:val="000000"/>
          <w:sz w:val="20"/>
        </w:rPr>
        <w:t xml:space="preserve">or this </w:t>
      </w:r>
      <w:r>
        <w:rPr>
          <w:rFonts w:ascii="Arial" w:hAnsi="Arial"/>
          <w:color w:val="000000"/>
          <w:sz w:val="20"/>
          <w:u w:val="single"/>
        </w:rPr>
        <w:t>Section 13</w:t>
      </w:r>
      <w:r>
        <w:rPr>
          <w:rFonts w:ascii="Times New Roman" w:hAnsi="Times New Roman"/>
          <w:color w:val="000000"/>
          <w:sz w:val="20"/>
        </w:rPr>
        <w:t xml:space="preserve"> </w:t>
      </w:r>
      <w:r>
        <w:rPr>
          <w:rFonts w:ascii="Arial" w:hAnsi="Arial"/>
          <w:color w:val="000000"/>
          <w:sz w:val="20"/>
        </w:rPr>
        <w:t xml:space="preserve">affecting the number of Shares available to, or other entitlement of, such Participant under the Plan or such Participant’s Award. Any actions or determinations of the Committee under this </w:t>
      </w:r>
      <w:r>
        <w:rPr>
          <w:rFonts w:ascii="Arial" w:hAnsi="Arial"/>
          <w:color w:val="000000"/>
          <w:sz w:val="20"/>
          <w:u w:val="single"/>
        </w:rPr>
        <w:t>Section 13</w:t>
      </w:r>
      <w:r>
        <w:rPr>
          <w:rFonts w:ascii="Times New Roman" w:hAnsi="Times New Roman"/>
          <w:color w:val="000000"/>
          <w:sz w:val="20"/>
        </w:rPr>
        <w:t xml:space="preserve"> </w:t>
      </w:r>
      <w:r>
        <w:rPr>
          <w:rFonts w:ascii="Arial" w:hAnsi="Arial"/>
          <w:color w:val="000000"/>
          <w:sz w:val="20"/>
        </w:rPr>
        <w:t xml:space="preserve">need not be uniform as to all outstanding Awards, nor treat all Participants identically. Notwithstanding the adjustments described in </w:t>
      </w:r>
      <w:r>
        <w:rPr>
          <w:rFonts w:ascii="Arial" w:hAnsi="Arial"/>
          <w:color w:val="000000"/>
          <w:sz w:val="20"/>
          <w:u w:val="single"/>
        </w:rPr>
        <w:t>Section 13.1</w:t>
      </w:r>
      <w:r>
        <w:rPr>
          <w:rFonts w:ascii="Arial" w:hAnsi="Arial"/>
          <w:color w:val="000000"/>
          <w:sz w:val="20"/>
        </w:rPr>
        <w:t xml:space="preserve">, any changes to Incentive Stock Options pursuant to this </w:t>
      </w:r>
      <w:r>
        <w:rPr>
          <w:rFonts w:ascii="Arial" w:hAnsi="Arial"/>
          <w:color w:val="000000"/>
          <w:sz w:val="20"/>
          <w:u w:val="single"/>
        </w:rPr>
        <w:t>Section 13</w:t>
      </w:r>
      <w:r>
        <w:rPr>
          <w:rFonts w:ascii="Times New Roman" w:hAnsi="Times New Roman"/>
          <w:color w:val="000000"/>
          <w:sz w:val="20"/>
        </w:rPr>
        <w:t xml:space="preserve"> </w:t>
      </w:r>
      <w:r>
        <w:rPr>
          <w:rFonts w:ascii="Arial" w:hAnsi="Arial"/>
          <w:color w:val="000000"/>
          <w:sz w:val="20"/>
        </w:rPr>
        <w:t>shall, unless the Committee determines otherwise, only be effective to the extent such adjustments or changes do not cause a “modification” (within the meaning of Section 424(h)(3) of the Code) of such Incentive Stock Options or otherwise adversely affect the tax status of such Incentive Stock Options.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13.5. </w:t>
      </w:r>
      <w:r>
        <w:rPr>
          <w:rFonts w:ascii="Arial" w:hAnsi="Arial"/>
          <w:i/>
          <w:color w:val="000000"/>
          <w:sz w:val="20"/>
        </w:rPr>
        <w:t>Termination, Amendment, and Modifications of Change in</w:t>
      </w:r>
      <w:r>
        <w:rPr>
          <w:rFonts w:ascii="Times New Roman" w:hAnsi="Times New Roman"/>
          <w:color w:val="000000"/>
          <w:sz w:val="20"/>
        </w:rPr>
        <w:t xml:space="preserve"> </w:t>
      </w:r>
      <w:r>
        <w:rPr>
          <w:rFonts w:ascii="Arial" w:hAnsi="Arial"/>
          <w:i/>
          <w:color w:val="000000"/>
          <w:sz w:val="20"/>
        </w:rPr>
        <w:t>Control Provisions</w:t>
      </w:r>
      <w:r>
        <w:rPr>
          <w:rFonts w:ascii="Arial" w:hAnsi="Arial"/>
          <w:color w:val="000000"/>
          <w:sz w:val="20"/>
        </w:rPr>
        <w:t xml:space="preserve">. Notwithstanding any other provision of the Plan or any Award Agreement provision, the provisions of this </w:t>
      </w:r>
      <w:r>
        <w:rPr>
          <w:rFonts w:ascii="Arial" w:hAnsi="Arial"/>
          <w:color w:val="000000"/>
          <w:sz w:val="20"/>
          <w:u w:val="single"/>
        </w:rPr>
        <w:t>Section 13</w:t>
      </w:r>
      <w:r>
        <w:rPr>
          <w:rFonts w:ascii="Times New Roman" w:hAnsi="Times New Roman"/>
          <w:color w:val="000000"/>
          <w:sz w:val="20"/>
        </w:rPr>
        <w:t xml:space="preserve"> </w:t>
      </w:r>
      <w:r>
        <w:rPr>
          <w:rFonts w:ascii="Arial" w:hAnsi="Arial"/>
          <w:color w:val="000000"/>
          <w:sz w:val="20"/>
        </w:rPr>
        <w:t>may not be terminated, amended, or modified on or after the date of a Change in Control to materially impair any Participant’s Award theretofore granted and then outstanding under the Plan without the prior written consent of such Participant.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Section 14. Amendment And Termination.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14.1 </w:t>
      </w:r>
      <w:r>
        <w:rPr>
          <w:rFonts w:ascii="Arial" w:hAnsi="Arial"/>
          <w:i/>
          <w:color w:val="000000"/>
          <w:sz w:val="20"/>
        </w:rPr>
        <w:t xml:space="preserve">Amendments to the Plan. </w:t>
      </w:r>
      <w:r>
        <w:rPr>
          <w:rFonts w:ascii="Arial" w:hAnsi="Arial"/>
          <w:color w:val="000000"/>
          <w:sz w:val="20"/>
        </w:rPr>
        <w:t>The Board may amend, alter, suspend, discontinue or terminate the Plan or any portion thereof at any time; provided that no such amendment, alteration, suspension, discontinuation or termination shall be made without stockholder approval if such approval is necessary to comply with any tax or regulatory requirement for which or with which the Board deems it necessary or desirable to comply.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14.2 </w:t>
      </w:r>
      <w:r>
        <w:rPr>
          <w:rFonts w:ascii="Arial" w:hAnsi="Arial"/>
          <w:i/>
          <w:color w:val="000000"/>
          <w:sz w:val="20"/>
        </w:rPr>
        <w:t xml:space="preserve">Amendments to Awards. </w:t>
      </w:r>
      <w:r>
        <w:rPr>
          <w:rFonts w:ascii="Arial" w:hAnsi="Arial"/>
          <w:color w:val="000000"/>
          <w:sz w:val="20"/>
        </w:rPr>
        <w:t xml:space="preserve">Subject to the restrictions and shareholder approval requirements set forth in </w:t>
      </w:r>
      <w:r>
        <w:rPr>
          <w:rFonts w:ascii="Arial" w:hAnsi="Arial"/>
          <w:color w:val="000000"/>
          <w:sz w:val="20"/>
          <w:u w:val="single"/>
        </w:rPr>
        <w:t>Section 6.2</w:t>
      </w:r>
      <w:r>
        <w:rPr>
          <w:rFonts w:ascii="Arial" w:hAnsi="Arial"/>
          <w:color w:val="000000"/>
          <w:sz w:val="20"/>
        </w:rPr>
        <w:t>, the Committee may waive any conditions or rights under, amend any terms of or alter, suspend, discontinue, cancel or terminate, any Award theretofore granted, prospectively or retroactively; provided that any such waiver, amendment, alteration, suspension, discontinuance, cancellation or termination that would materially and adversely affect the rights of any Participant or any holder or beneficiary of any Award theretofore granted shall require the consent of the affected Participant, holder or beneficiary.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14.3 </w:t>
      </w:r>
      <w:r>
        <w:rPr>
          <w:rFonts w:ascii="Arial" w:hAnsi="Arial"/>
          <w:i/>
          <w:color w:val="000000"/>
          <w:sz w:val="20"/>
        </w:rPr>
        <w:t>Cancellation and Rescission of Awards.</w:t>
      </w:r>
      <w:r>
        <w:rPr>
          <w:rFonts w:ascii="Times New Roman" w:hAnsi="Times New Roman"/>
          <w:color w:val="000000"/>
          <w:sz w:val="20"/>
        </w:rPr>
        <w:t xml:space="preserve"> </w:t>
      </w:r>
      <w:r>
        <w:rPr>
          <w:rFonts w:ascii="Arial" w:hAnsi="Arial"/>
          <w:color w:val="000000"/>
          <w:sz w:val="20"/>
        </w:rPr>
        <w:t>The Board or the Committee may cancel, rescind, suspend, withhold or otherwise limit or restrict any unexpired, unpaid, or deferred Awards of an officer at any time if (a) the Board, or an appropriate committee thereof has determined that any fraud, negligence, or intentional misconduct was a significant contributing factor to the Company having to restate all or a portion of its financial statement(s), (b) the Participant engaged in any fraud or misconduct that caused or contributed to the need for the restatement, and (c) the amount of compensation that would have been paid or payable to the Participant pursuant to the Award had the financial results been properly reported would have been lower than the amount actually paid 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A-16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 xml:space="preserve">payable. A Participant shall be liable to the Company for the reimbursement of any bonus or incentive compensation paid to the Participant, and for gains realized on the exercise of stock options or SARs, under the circumstances described in (a) to (c) of this </w:t>
      </w:r>
      <w:r>
        <w:rPr>
          <w:rFonts w:ascii="Arial" w:hAnsi="Arial"/>
          <w:color w:val="000000"/>
          <w:sz w:val="20"/>
          <w:u w:val="single"/>
        </w:rPr>
        <w:t>Section 14.3</w:t>
      </w:r>
      <w:r>
        <w:rPr>
          <w:rFonts w:ascii="Arial" w:hAnsi="Arial"/>
          <w:color w:val="000000"/>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addition, any Award granted pursuant to this Plan shall be subject to mandatory repayment by the Participant to the Company (i) to the extent set forth in any Award Agreement, (ii) to the extent that such Participant is, or in the future becomes, subject to (a) any “clawback” or recoupment policy adopted by the Company or any Affiliate thereof to comply with the requirements of any applicable laws, rules or regulations,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Section 15. General Provisions.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15.1 </w:t>
      </w:r>
      <w:r>
        <w:rPr>
          <w:rFonts w:ascii="Arial" w:hAnsi="Arial"/>
          <w:i/>
          <w:color w:val="000000"/>
          <w:sz w:val="20"/>
        </w:rPr>
        <w:t xml:space="preserve">Limited Transferability of Awards. </w:t>
      </w:r>
      <w:r>
        <w:rPr>
          <w:rFonts w:ascii="Arial" w:hAnsi="Arial"/>
          <w:color w:val="000000"/>
          <w:sz w:val="20"/>
        </w:rPr>
        <w:t>Except as otherwise provided in the Plan or in an Award Agreement at or after grant, no Award shall be assigned, alienated, pledged, attached, sold or otherwise transferred or encumbered by a Participant, except by will or the laws of descent and distribution; provided, that in no event shall any transfer for value be permitted. No transfer of an Award by will or by laws of descent and distribution shall be effective to bind the Company unless the Company shall have been furnished with written notice thereof and an authenticated copy of the will and/or such other evidence as the Committee may deem necessary or appropriate to establish the validity of the transfer.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15.2 </w:t>
      </w:r>
      <w:r>
        <w:rPr>
          <w:rFonts w:ascii="Arial" w:hAnsi="Arial"/>
          <w:i/>
          <w:color w:val="000000"/>
          <w:sz w:val="20"/>
        </w:rPr>
        <w:t xml:space="preserve">Dividend Equivalents. </w:t>
      </w:r>
      <w:r>
        <w:rPr>
          <w:rFonts w:ascii="Arial" w:hAnsi="Arial"/>
          <w:color w:val="000000"/>
          <w:sz w:val="20"/>
        </w:rPr>
        <w:t xml:space="preserve">Except as otherwise provided in the Plan, an Award may provide the Participant with dividends or dividend equivalents, payable in cash, Shares, other securities or other property. In the event the Committee provides for dividends or dividend equivalents to be payable with respect to any Awards denominated in Shares, any Shares, cash or any other property distributable as a dividend or otherwise with respect to such Awards as to which the restrictions have not yet lapsed (and/or performance goals have not been satisfied) shall be accumulated or credited, and shall be subject to the same restrictions and risk of forfeiture as such Awards with respect to which they relate and shall not be paid unless and only to the extent the underlying Awards vest. The total number of Shares available for grant under </w:t>
      </w:r>
      <w:r>
        <w:rPr>
          <w:rFonts w:ascii="Arial" w:hAnsi="Arial"/>
          <w:color w:val="000000"/>
          <w:sz w:val="20"/>
          <w:u w:val="single"/>
        </w:rPr>
        <w:t>Section 4.1</w:t>
      </w:r>
      <w:r>
        <w:rPr>
          <w:rFonts w:ascii="Times New Roman" w:hAnsi="Times New Roman"/>
          <w:color w:val="000000"/>
          <w:sz w:val="20"/>
        </w:rPr>
        <w:t xml:space="preserve"> </w:t>
      </w:r>
      <w:r>
        <w:rPr>
          <w:rFonts w:ascii="Arial" w:hAnsi="Arial"/>
          <w:color w:val="000000"/>
          <w:sz w:val="20"/>
        </w:rPr>
        <w:t xml:space="preserve">shall not be reduced to reflect any dividends or dividend equivalents that are reinvested into additional Shares or credited as Performance-Based Awards. Notwithstanding the foregoing (but subject to </w:t>
      </w:r>
      <w:r>
        <w:rPr>
          <w:rFonts w:ascii="Arial" w:hAnsi="Arial"/>
          <w:color w:val="000000"/>
          <w:sz w:val="20"/>
          <w:u w:val="single"/>
        </w:rPr>
        <w:t>Section 4.2</w:t>
      </w:r>
      <w:r>
        <w:rPr>
          <w:rFonts w:ascii="Arial" w:hAnsi="Arial"/>
          <w:color w:val="000000"/>
          <w:sz w:val="20"/>
        </w:rPr>
        <w:t>), neither dividends nor dividend equivalents may be payable with respect to Options or SARs.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15.3 </w:t>
      </w:r>
      <w:r>
        <w:rPr>
          <w:rFonts w:ascii="Arial" w:hAnsi="Arial"/>
          <w:i/>
          <w:color w:val="000000"/>
          <w:sz w:val="20"/>
        </w:rPr>
        <w:t xml:space="preserve">No Rights to Awards. </w:t>
      </w:r>
      <w:r>
        <w:rPr>
          <w:rFonts w:ascii="Arial" w:hAnsi="Arial"/>
          <w:color w:val="000000"/>
          <w:sz w:val="20"/>
        </w:rPr>
        <w:t>No Person shall have any claim to be granted any Award, and there is no obligation for uniformity of treatment of Participants or holders or beneficiaries of Awards. The terms and conditions of Awards need not be the same with respect to each Participant.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15.4 </w:t>
      </w:r>
      <w:r>
        <w:rPr>
          <w:rFonts w:ascii="Arial" w:hAnsi="Arial"/>
          <w:i/>
          <w:color w:val="000000"/>
          <w:sz w:val="20"/>
        </w:rPr>
        <w:t xml:space="preserve">Share Certificates. </w:t>
      </w:r>
      <w:r>
        <w:rPr>
          <w:rFonts w:ascii="Arial" w:hAnsi="Arial"/>
          <w:color w:val="000000"/>
          <w:sz w:val="20"/>
        </w:rPr>
        <w:t>All certificates for Shares or other securities of the Company or any Subsidiary or Affiliate (or, if any such Shares or securities are in book-entry form, such book-entry balances and confirmation and account statements with respect thereto) delivered under the Plan pursuant to any Award or the exercise thereof shall be subject to such stop transfer orders and other restrictions as the Committee may deem advisable under the Plan or the rules, regulations and other requirements of the SEC or any state securities commission or regulatory authority, any stock exchange or other market upon which such Shares or other securities are then listed, and any applicable Federal or state laws, and the Committee may cause a legend or legends to be put on any such certificates (or confirmation and account statements for book-entry Shares) to make appropriate reference to such restrictions.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15.5 </w:t>
      </w:r>
      <w:r>
        <w:rPr>
          <w:rFonts w:ascii="Arial" w:hAnsi="Arial"/>
          <w:i/>
          <w:color w:val="000000"/>
          <w:sz w:val="20"/>
        </w:rPr>
        <w:t>Withholding Taxes</w:t>
      </w:r>
      <w:r>
        <w:rPr>
          <w:rFonts w:ascii="Arial" w:hAnsi="Arial"/>
          <w:color w:val="000000"/>
          <w:sz w:val="20"/>
        </w:rPr>
        <w:t>. The Company, a Subsidiary or an Affiliate shall be entitled to: (a) withhold and deduct from future wages or other compensation of a Participant (or from other amounts that may be due and owing to a Participant from the Company, Subsidiary or Affiliate), including all payments under this Plan, or make other arrangements for the collection of (including through the sale of Shares otherwise issuable pursuant to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A-17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applicable Award), all legally required amounts necessary to satisfy any and all federal, state, local and foreign withholding and employment-related tax requirements attributable to an Award, including, without limitation, the grant, exercise or vesting of, or payment of dividends with respect to, an Award or a disqualifying disposition of Common Stock received upon exercise of an Incentive Stock Option; or (b) require a Participant promptly to remit the amount of such withholding to the Company before taking any action with respect to an Award. To the extent specified by the Committee, withholding may be satisfied by withholding Shares to be received upon exercise or vesting of an Award or by delivery to the Company of previously owned Shares, in each case (x) as may be required to avoid the Company’s or the Affiliates’ or Subsidiaries’ incurring an adverse accounting charge, and (y) based on the Fair Market Value of the Shares on the wage payment date as determined by the Committee. All such elections shall be irrevocable, made in writing, signed by the Participant, and shall be subject to any restrictions or limitations that the Committee, in its sole discretion, deems appropriate. In addition, the Company may reasonably delay the issuance or delivery of Shares pursuant to an Award as it determines appropriate to address tax withholding and other administrative matters.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15.6 </w:t>
      </w:r>
      <w:r>
        <w:rPr>
          <w:rFonts w:ascii="Arial" w:hAnsi="Arial"/>
          <w:i/>
          <w:color w:val="000000"/>
          <w:sz w:val="20"/>
        </w:rPr>
        <w:t xml:space="preserve">Compliance with Section 409A of the Code. </w:t>
      </w:r>
      <w:r>
        <w:rPr>
          <w:rFonts w:ascii="Arial" w:hAnsi="Arial"/>
          <w:color w:val="000000"/>
          <w:sz w:val="20"/>
        </w:rPr>
        <w:t>No Award (or modification thereof) shall provide for deferral of compensation that does not comply with Section 409A of the Code and the Regulations promulgated thereunder (“</w:t>
      </w:r>
      <w:r>
        <w:rPr>
          <w:rFonts w:ascii="Arial" w:hAnsi="Arial"/>
          <w:color w:val="000000"/>
          <w:sz w:val="20"/>
          <w:u w:val="single"/>
        </w:rPr>
        <w:t>Section 409A</w:t>
      </w:r>
      <w:r>
        <w:rPr>
          <w:rFonts w:ascii="Times New Roman" w:hAnsi="Times New Roman"/>
          <w:color w:val="000000"/>
          <w:sz w:val="20"/>
        </w:rPr>
        <w:t>”</w:t>
      </w:r>
      <w:r>
        <w:rPr>
          <w:rFonts w:ascii="Arial" w:hAnsi="Arial"/>
          <w:color w:val="000000"/>
          <w:sz w:val="20"/>
        </w:rPr>
        <w:t xml:space="preserve">) unless the Committee, at the time of grant, specifically provides that the Award is not intended to comply with Section 409A. Notwithstanding any provision of this Plan to the contrary, if one or more of the payments or benefits received or to be received by a Participant pursuant to an Award would cause the Participant to incur any additional tax or interest under Section 409A, the Committee may reform such provision to maintain to the maximum extent practicable the original intent of the applicable provision without violating the provisions of Section 409A. With respect to the payment of any Award that constitutes a deferral of compensation within the meaning of Section 409A, references to the Participant’s “termination of employment” shall be deemed to refer to the date upon which the Participant has experienced a “separation from service” within the meaning of Section 409A. In the event that it is reasonably determined by the Board or the Committee that, as a result of Section 409A, payments in respect of any Award under the Plan may not be made at the time contemplated by the terms of the Plan or the relevant Award Agreement, as the case may be, without causing the Participant holding such Award to be subject to taxation under Section 409A, the Company will make such payment on the first day that would not result in the Participant incurring any tax liability under Section 409A; which, if the Participant is a “specified employee” within the meaning of the Section 409A, shall be the first day following the six-month period beginning on the date of Participant’s termination of employment. Unless otherwise provided in an Award Agreement or other document governing the issuance of such Award, payment of any Performance Award intended to qualify as a “short term deferral” within the meaning of Section 1.409A-1(b)(4)(i) of the U.S. Treasury Regulations shall be made between the first day following the close of the applicable Performance Period and the last day of the “applicable 2 </w:t>
      </w:r>
      <w:r>
        <w:rPr>
          <w:rFonts w:ascii="Arial" w:hAnsi="Arial"/>
          <w:color w:val="000000"/>
          <w:sz w:val="13"/>
        </w:rPr>
        <w:t>1</w:t>
      </w:r>
      <w:r>
        <w:rPr>
          <w:rFonts w:ascii="Times New Roman" w:hAnsi="Times New Roman"/>
          <w:color w:val="000000"/>
          <w:sz w:val="20"/>
        </w:rPr>
        <w:t>⁄</w:t>
      </w:r>
      <w:r>
        <w:rPr>
          <w:rFonts w:ascii="Arial" w:hAnsi="Arial"/>
          <w:color w:val="000000"/>
          <w:sz w:val="13"/>
        </w:rPr>
        <w:t>2</w:t>
      </w:r>
      <w:r>
        <w:rPr>
          <w:rFonts w:ascii="Times New Roman" w:hAnsi="Times New Roman"/>
          <w:color w:val="000000"/>
          <w:sz w:val="20"/>
        </w:rPr>
        <w:t xml:space="preserve"> </w:t>
      </w:r>
      <w:r>
        <w:rPr>
          <w:rFonts w:ascii="Arial" w:hAnsi="Arial"/>
          <w:color w:val="000000"/>
          <w:sz w:val="20"/>
        </w:rPr>
        <w:t>month period” as defined therein. Although the Company intends to administer the Plan so that Awards will be exempt from, or will comply with, the requirements of Section 409A, the Company does not warrant that any Award under the Plan will qualify for favorable tax treatment under Section 409A or any other provision of federal, state, local or foreign law. The Company shall not be liable to any Participant for any tax, interest, or penalties that Participant might owe as a result of the grant, holding, vesting, exercise, or payment of any Award under the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15.7 </w:t>
      </w:r>
      <w:r>
        <w:rPr>
          <w:rFonts w:ascii="Arial" w:hAnsi="Arial"/>
          <w:i/>
          <w:color w:val="000000"/>
          <w:sz w:val="20"/>
        </w:rPr>
        <w:t xml:space="preserve">Award Agreements. </w:t>
      </w:r>
      <w:r>
        <w:rPr>
          <w:rFonts w:ascii="Arial" w:hAnsi="Arial"/>
          <w:color w:val="000000"/>
          <w:sz w:val="20"/>
        </w:rPr>
        <w:t>Each Award hereunder shall be evidenced by an Award Agreement that shall be delivered to the Participant and may specify the terms and conditions of the Award and any rules applicable thereto. In the event of a conflict between the terms of the Plan and any Award Agreement, the terms of the Plan shall prevail. The Committee shall, subject to applicable law, determine the date an Award is deemed to be granted. The Committee or, except to the extent prohibited under applicable law, its delegate(s) may establish the terms of agreements or other documents evidencing Awards under this Plan and may, but need not, require as a condition to any such agreement’s or document’s effectiveness that such agreement or document be executed by the Participant, including by electronic signature or other electronic indication of acceptance, and that such Participant agrees to such further terms and conditions as specified in such agreement or document. The grant of an Award under this Plan shall not confer any rights upon the Participant holding such Award other than such terms, and subject to such conditions, as are specified in this Plan as being applicable to such type of Award (or to all Awards) or as are expressly set forth in the agreement or other document evidencing such Award.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A-18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15.8 </w:t>
      </w:r>
      <w:r>
        <w:rPr>
          <w:rFonts w:ascii="Arial" w:hAnsi="Arial"/>
          <w:i/>
          <w:color w:val="000000"/>
          <w:sz w:val="20"/>
        </w:rPr>
        <w:t xml:space="preserve">No Limit on Other Compensation Arrangements. </w:t>
      </w:r>
      <w:r>
        <w:rPr>
          <w:rFonts w:ascii="Arial" w:hAnsi="Arial"/>
          <w:color w:val="000000"/>
          <w:sz w:val="20"/>
        </w:rPr>
        <w:t>Nothing contained in the Plan shall prevent the Company or any Subsidiary or Affiliate from adopting or continuing in effect other compensation arrangements, which may, but need not, provide for the grant of Options, Restricted Shares, Restricted Share Units, Other Stock-Based Awards or other types of Awards provided for hereunder.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15.9 </w:t>
      </w:r>
      <w:r>
        <w:rPr>
          <w:rFonts w:ascii="Arial" w:hAnsi="Arial"/>
          <w:i/>
          <w:color w:val="000000"/>
          <w:sz w:val="20"/>
        </w:rPr>
        <w:t xml:space="preserve">No Right to Employment. </w:t>
      </w:r>
      <w:r>
        <w:rPr>
          <w:rFonts w:ascii="Arial" w:hAnsi="Arial"/>
          <w:color w:val="000000"/>
          <w:sz w:val="20"/>
        </w:rPr>
        <w:t>The grant of an Award shall not be construed as giving a Participant the right to be retained in the employ of the Company or any Subsidiary or Affiliate. Further, the Company or a Subsidiary or Affiliate may at any time dismiss a Participant from employment, free from any liability or any claim under the Plan, unless otherwise expressly provided in an Award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15.10 </w:t>
      </w:r>
      <w:r>
        <w:rPr>
          <w:rFonts w:ascii="Arial" w:hAnsi="Arial"/>
          <w:i/>
          <w:color w:val="000000"/>
          <w:sz w:val="20"/>
        </w:rPr>
        <w:t xml:space="preserve">No Rights as Stockholder. </w:t>
      </w:r>
      <w:r>
        <w:rPr>
          <w:rFonts w:ascii="Arial" w:hAnsi="Arial"/>
          <w:color w:val="000000"/>
          <w:sz w:val="20"/>
        </w:rPr>
        <w:t>Subject to the provisions of the Plan and the applicable Award Agreement, no Participant or holder or beneficiary of any Award shall have any rights as a stockholder with respect to any Shares to be distributed under the Plan until such person has become a holder of such Shares. Notwithstanding the foregoing, in connection with each grant of Restricted Shares hereunder, the applicable Award Agreement shall specify if and to what extent the Participant shall not be entitled to the rights of a stockholder in respect of such Restricted Shares.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15.11 </w:t>
      </w:r>
      <w:r>
        <w:rPr>
          <w:rFonts w:ascii="Arial" w:hAnsi="Arial"/>
          <w:i/>
          <w:color w:val="000000"/>
          <w:sz w:val="20"/>
        </w:rPr>
        <w:t>Data Privacy</w:t>
      </w:r>
      <w:r>
        <w:rPr>
          <w:rFonts w:ascii="Arial" w:hAnsi="Arial"/>
          <w:color w:val="000000"/>
          <w:sz w:val="20"/>
        </w:rPr>
        <w:t>. As a condition of receipt of any Award, each Participant explicitly and unambiguously consents to the collection, use and transfer, in electronic or other form, of personal data as described in this paragraph by and among, as applicable, the Company and its Subsidiaries and Affiliates for the exclusive purpose of implementing, administering and managing the Participant’s participation in the Plan. The Company and its Subsidiaries and Affiliates may hold certain personal information about a Participant, including but not limited to, the Participant’s name, home address and telephone number, date of birth, social security or other identification number, salary, nationality, job title(s), any shares of stock held in the Company or any of its Subsidiaries and Affiliates, details of all Awards, in each case, for the purpose of implementing, managing and administering the Plan and Awards (the “</w:t>
      </w:r>
      <w:r>
        <w:rPr>
          <w:rFonts w:ascii="Arial" w:hAnsi="Arial"/>
          <w:color w:val="000000"/>
          <w:sz w:val="20"/>
          <w:u w:val="single"/>
        </w:rPr>
        <w:t>Data</w:t>
      </w:r>
      <w:r>
        <w:rPr>
          <w:rFonts w:ascii="Times New Roman" w:hAnsi="Times New Roman"/>
          <w:color w:val="000000"/>
          <w:sz w:val="20"/>
        </w:rPr>
        <w:t>”</w:t>
      </w:r>
      <w:r>
        <w:rPr>
          <w:rFonts w:ascii="Arial" w:hAnsi="Arial"/>
          <w:color w:val="000000"/>
          <w:sz w:val="20"/>
        </w:rPr>
        <w:t>). The Company and its Subsidiaries and Affiliates may transfer the Data amongst themselves as necessary for the purpose of implementation, administration and management of a Participant’s participation in the Plan, and the Company and its Subsidiaries and Affiliates may each further transfer the Data to any third parties assisting the Company in the implementation, administration and management of the Plan. These recipients may be located in the Participant’s country, or elsewhere, and the Participant’s country may have different data privacy laws and protections than the recipients’ country. Through acceptance of an Award, each Participant authorizes such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Company or the Participant may elect to deposit any Shares. The Data related to a Participant will be held only as long as is necessary to implement, administer, and manage the Participant’s participation in the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Participant’s ability to participate in the Plan and, in the Committee’s discretion, the Participant may forfeit any outstanding Awards if the Participant refuses or withdraws his or her consents as described herein. For more information on the consequences of refusal to consent or withdrawal of consent, Participants may contact their local human resources representative.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15.12 </w:t>
      </w:r>
      <w:r>
        <w:rPr>
          <w:rFonts w:ascii="Arial" w:hAnsi="Arial"/>
          <w:i/>
          <w:color w:val="000000"/>
          <w:sz w:val="20"/>
        </w:rPr>
        <w:t>Governing Law; International Participants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w:t>
      </w:r>
      <w:r>
        <w:rPr>
          <w:rFonts w:ascii="Times New Roman" w:hAnsi="Times New Roman"/>
          <w:color w:val="000000"/>
          <w:sz w:val="20"/>
        </w:rPr>
        <w:t xml:space="preserve"> </w:t>
      </w:r>
      <w:r>
        <w:rPr>
          <w:rFonts w:ascii="Arial" w:hAnsi="Arial"/>
          <w:color w:val="000000"/>
          <w:sz w:val="20"/>
        </w:rPr>
        <w:t>The validity, construction and effect of the Plan and any rules and regulations relating to the Plan and any Award Agreement shall be determined in accordance with the laws of the State of Tennessee without giving effect to conflicts of laws principles.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A-19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(b) In order to facilitate the making of any grant or combination of grants under this Plan, the Committee may provide for such special terms for awards to Participants who are foreign nationals or who are employed by the Company or any Subsidiary or Affiliate outside of the United States of America or who provide services to the Company or any Subsidiary or Affiliate under an agreement with a foreign nation or agency, as the Committee may consider necessary or appropriate to accommodate differences in local law, tax policy or custom. Moreover, the Committee may approve such supplements to or amendments, restatements or alternative versions of this Plan (including, without limitation, sub-plans)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stockholders.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15.13 </w:t>
      </w:r>
      <w:r>
        <w:rPr>
          <w:rFonts w:ascii="Arial" w:hAnsi="Arial"/>
          <w:i/>
          <w:color w:val="000000"/>
          <w:sz w:val="20"/>
        </w:rPr>
        <w:t xml:space="preserve">Severability. </w:t>
      </w:r>
      <w:r>
        <w:rPr>
          <w:rFonts w:ascii="Arial" w:hAnsi="Arial"/>
          <w:color w:val="000000"/>
          <w:sz w:val="20"/>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15.14 </w:t>
      </w:r>
      <w:r>
        <w:rPr>
          <w:rFonts w:ascii="Arial" w:hAnsi="Arial"/>
          <w:i/>
          <w:color w:val="000000"/>
          <w:sz w:val="20"/>
        </w:rPr>
        <w:t xml:space="preserve">Other Laws. </w:t>
      </w:r>
      <w:r>
        <w:rPr>
          <w:rFonts w:ascii="Arial" w:hAnsi="Arial"/>
          <w:color w:val="000000"/>
          <w:sz w:val="20"/>
        </w:rPr>
        <w:t>The Committee may refuse to issue or transfer any Shares or other consideration under an Award if, acting in its sole discretion, it determines that the issuance or transfer of such Shares or such other consideration might violate any applicable law or regulation (including applicable non-U.S. laws or regulations) or entitle the Company to recover the same under Exchange Act Section 16(b), and any payment tendered to the Company by a Participant, other holder or beneficiary in connection with the exercise of such Award shall be promptly refunded to the relevant Participant, holder or beneficiary.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15.15 </w:t>
      </w:r>
      <w:r>
        <w:rPr>
          <w:rFonts w:ascii="Arial" w:hAnsi="Arial"/>
          <w:i/>
          <w:color w:val="000000"/>
          <w:sz w:val="20"/>
        </w:rPr>
        <w:t xml:space="preserve">No Trust or Fund Created. </w:t>
      </w:r>
      <w:r>
        <w:rPr>
          <w:rFonts w:ascii="Arial" w:hAnsi="Arial"/>
          <w:color w:val="000000"/>
          <w:sz w:val="20"/>
        </w:rPr>
        <w:t>Neither the Plan nor any Award shall create or be construed to create a trust or separate fund of any kind or a fiduciary relationship between the Company or any Subsidiary or Affiliate and a Participant or any other Person. To the extent that any Person acquires a right to receive payments from the Company or any Subsidiary or Affiliate pursuant to an Award, such right shall be no greater than the right of any unsecured general creditor of the Company or any Subsidiary or Affiliate.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15.16 </w:t>
      </w:r>
      <w:r>
        <w:rPr>
          <w:rFonts w:ascii="Arial" w:hAnsi="Arial"/>
          <w:i/>
          <w:color w:val="000000"/>
          <w:sz w:val="20"/>
        </w:rPr>
        <w:t xml:space="preserve">Headings. </w:t>
      </w:r>
      <w:r>
        <w:rPr>
          <w:rFonts w:ascii="Arial" w:hAnsi="Arial"/>
          <w:color w:val="000000"/>
          <w:sz w:val="20"/>
        </w:rPr>
        <w:t>Headings are given to the sections and subsections of the Plan solely as a convenience to facilitate reference. Such headings shall not be deemed in any way material or relevant to the construction or interpretation of the Plan or any provision thereof.</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Section 16. Term Of The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16.1 </w:t>
      </w:r>
      <w:r>
        <w:rPr>
          <w:rFonts w:ascii="Arial" w:hAnsi="Arial"/>
          <w:i/>
          <w:color w:val="000000"/>
          <w:sz w:val="20"/>
        </w:rPr>
        <w:t>Effective Date</w:t>
      </w:r>
      <w:r>
        <w:rPr>
          <w:rFonts w:ascii="Arial" w:hAnsi="Arial"/>
          <w:color w:val="000000"/>
          <w:sz w:val="20"/>
        </w:rPr>
        <w:t>. The Plan was originally effective on June 25, 2020 (the "</w:t>
      </w:r>
      <w:r>
        <w:rPr>
          <w:rFonts w:ascii="Arial" w:hAnsi="Arial"/>
          <w:color w:val="000000"/>
          <w:sz w:val="20"/>
          <w:u w:val="single"/>
        </w:rPr>
        <w:t>Original Effective Date</w:t>
      </w:r>
      <w:r>
        <w:rPr>
          <w:rFonts w:ascii="Arial" w:hAnsi="Arial"/>
          <w:color w:val="000000"/>
          <w:sz w:val="20"/>
        </w:rPr>
        <w:t>"). The Plan, as most recently amended and restated, shall be effective upon the approval of the Board and the Company's shareholders at the 2026 Annual Meeting of Shareholders (such approval date, the “</w:t>
      </w:r>
      <w:r>
        <w:rPr>
          <w:rFonts w:ascii="Arial" w:hAnsi="Arial"/>
          <w:color w:val="000000"/>
          <w:sz w:val="20"/>
          <w:u w:val="single"/>
        </w:rPr>
        <w:t>Restatement Effective Date</w:t>
      </w:r>
      <w:r>
        <w:rPr>
          <w:rFonts w:ascii="Times New Roman" w:hAnsi="Times New Roman"/>
          <w:color w:val="000000"/>
          <w:sz w:val="20"/>
        </w:rPr>
        <w:t>”</w:t>
      </w:r>
      <w:r>
        <w:rPr>
          <w:rFonts w:ascii="Arial" w:hAnsi="Arial"/>
          <w:color w:val="000000"/>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16.2 </w:t>
      </w:r>
      <w:r>
        <w:rPr>
          <w:rFonts w:ascii="Arial" w:hAnsi="Arial"/>
          <w:i/>
          <w:color w:val="000000"/>
          <w:sz w:val="20"/>
        </w:rPr>
        <w:t xml:space="preserve">Expiration Date. </w:t>
      </w:r>
      <w:r>
        <w:rPr>
          <w:rFonts w:ascii="Arial" w:hAnsi="Arial"/>
          <w:color w:val="000000"/>
          <w:sz w:val="20"/>
        </w:rPr>
        <w:t>No new Awards shall be granted under the Plan after the tenth anniversary of the Original Effective Date. Unless otherwise expressly provided in the Plan or in an applicable Award Agreement, any Award granted hereunder may, and the authority of the Board or the Committee to amend, alter, adjust, suspend, discontinue or terminate any such Award or to waive any conditions or rights under any such Award shall, continue after the tenth anniversary of the Original Effective Date.</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A-20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right"/>
        <w:rPr>
          <w:rFonts w:ascii="Arial" w:hAnsi="Arial"/>
          <w:b/>
          <w:color w:val="000000"/>
          <w:sz w:val="20"/>
          <w:u w:val="single"/>
        </w:rPr>
      </w:pPr>
      <w:bookmarkStart w:id="52" w:name="appendix_b"/>
      <w:bookmarkEnd w:id="52"/>
      <w:r>
        <w:rPr>
          <w:rFonts w:ascii="Arial" w:hAnsi="Arial"/>
          <w:b/>
          <w:color w:val="000000"/>
          <w:sz w:val="20"/>
          <w:u w:val="single"/>
        </w:rPr>
        <w:t>Appendix B</w:t>
      </w:r>
    </w:p>
    <w:p>
      <w:pPr>
        <w:pStyle w:val="TextBody"/>
        <w:bidi w:val="0"/>
        <w:spacing w:before="0" w:after="240"/>
        <w:jc w:val="center"/>
        <w:rPr>
          <w:rFonts w:ascii="Arial" w:hAnsi="Arial"/>
          <w:b/>
          <w:color w:val="000000"/>
          <w:sz w:val="20"/>
        </w:rPr>
      </w:pPr>
      <w:r>
        <w:rPr>
          <w:rFonts w:ascii="Arial" w:hAnsi="Arial"/>
          <w:b/>
          <w:color w:val="000000"/>
          <w:sz w:val="20"/>
        </w:rPr>
        <w:t>CERTAIN INFORMATION REGARDING PARTICIPANTS</w:t>
        <w:br/>
        <w:t>IN THE SOLICITATION</w:t>
      </w:r>
    </w:p>
    <w:p>
      <w:pPr>
        <w:pStyle w:val="TextBody"/>
        <w:bidi w:val="0"/>
        <w:spacing w:before="0" w:after="240"/>
        <w:jc w:val="left"/>
        <w:rPr>
          <w:rFonts w:ascii="Arial" w:hAnsi="Arial"/>
          <w:color w:val="000000"/>
          <w:sz w:val="20"/>
        </w:rPr>
      </w:pPr>
      <w:r>
        <w:rPr>
          <w:rFonts w:ascii="Arial" w:hAnsi="Arial"/>
          <w:color w:val="000000"/>
          <w:sz w:val="20"/>
        </w:rPr>
        <w:t>Under applicable SEC rules and regulations, the Company’s directors, Board nominees, and certain executive officers and employees of the Company may be deemed to be “participants” with respect to the Company’s solicitation of proxies in connection with the Company's 2026 annual meeting of shareholders. The following sets forth certain information about such persons (collectively, the “Participants”).</w:t>
      </w:r>
    </w:p>
    <w:p>
      <w:pPr>
        <w:pStyle w:val="TextBody"/>
        <w:bidi w:val="0"/>
        <w:spacing w:before="0" w:after="240"/>
        <w:jc w:val="left"/>
        <w:rPr>
          <w:rFonts w:ascii="Arial" w:hAnsi="Arial"/>
          <w:b/>
          <w:color w:val="000000"/>
          <w:sz w:val="20"/>
        </w:rPr>
      </w:pPr>
      <w:r>
        <w:rPr>
          <w:rFonts w:ascii="Arial" w:hAnsi="Arial"/>
          <w:b/>
          <w:color w:val="000000"/>
          <w:sz w:val="20"/>
        </w:rPr>
        <w:t>Directors and Nominees</w:t>
      </w:r>
    </w:p>
    <w:p>
      <w:pPr>
        <w:pStyle w:val="TextBody"/>
        <w:bidi w:val="0"/>
        <w:spacing w:before="0" w:after="240"/>
        <w:jc w:val="left"/>
        <w:rPr>
          <w:rFonts w:ascii="Arial" w:hAnsi="Arial"/>
          <w:color w:val="000000"/>
          <w:sz w:val="20"/>
        </w:rPr>
      </w:pPr>
      <w:r>
        <w:rPr>
          <w:rFonts w:ascii="Arial" w:hAnsi="Arial"/>
          <w:color w:val="000000"/>
          <w:sz w:val="20"/>
        </w:rPr>
        <w:t>For more information on the names, ages and principal occupations of the Company’s directors and director nominees, please see “Proposal 1: Election of Directors,” starting on page 16 of this proxy statement. The business address for all of our directors and Board nominees is c/o Genesco Inc., 535 Marriott Drive, Nashville, Tennessee 37214.</w:t>
      </w:r>
    </w:p>
    <w:p>
      <w:pPr>
        <w:pStyle w:val="TextBody"/>
        <w:bidi w:val="0"/>
        <w:spacing w:before="0" w:after="240"/>
        <w:jc w:val="left"/>
        <w:rPr>
          <w:rFonts w:ascii="Arial" w:hAnsi="Arial"/>
          <w:b/>
          <w:color w:val="000000"/>
          <w:sz w:val="20"/>
        </w:rPr>
      </w:pPr>
      <w:r>
        <w:rPr>
          <w:rFonts w:ascii="Arial" w:hAnsi="Arial"/>
          <w:b/>
          <w:color w:val="000000"/>
          <w:sz w:val="20"/>
        </w:rPr>
        <w:t>Officers and Employees</w:t>
      </w:r>
    </w:p>
    <w:p>
      <w:pPr>
        <w:pStyle w:val="TextBody"/>
        <w:bidi w:val="0"/>
        <w:jc w:val="left"/>
        <w:rPr>
          <w:rFonts w:ascii="Arial" w:hAnsi="Arial"/>
          <w:color w:val="000000"/>
          <w:sz w:val="20"/>
        </w:rPr>
      </w:pPr>
      <w:r>
        <w:rPr>
          <w:rFonts w:ascii="Arial" w:hAnsi="Arial"/>
          <w:color w:val="000000"/>
          <w:sz w:val="20"/>
        </w:rPr>
        <w:t>The principal occupations of our executive officers and employees who are Participants in our solicitation are set forth below. The principal occupation refers to such person’s position with the Company, and the business address for each person is c/o Genesco Inc., 535 Marriott Drive, Nashville, Tennessee 37214.</w:t>
      </w:r>
    </w:p>
    <w:p>
      <w:pPr>
        <w:pStyle w:val="TextBody"/>
        <w:bidi w:val="0"/>
        <w:jc w:val="left"/>
        <w:rPr/>
      </w:pPr>
      <w:r>
        <w:rPr/>
        <w:t> </w:t>
      </w:r>
    </w:p>
    <w:tbl>
      <w:tblPr>
        <w:tblW w:w="8237" w:type="dxa"/>
        <w:jc w:val="left"/>
        <w:tblInd w:w="0" w:type="dxa"/>
        <w:tblLayout w:type="fixed"/>
        <w:tblCellMar>
          <w:top w:w="28" w:type="dxa"/>
          <w:left w:w="28" w:type="dxa"/>
          <w:bottom w:w="28" w:type="dxa"/>
          <w:right w:w="28" w:type="dxa"/>
        </w:tblCellMar>
      </w:tblPr>
      <w:tblGrid>
        <w:gridCol w:w="1516"/>
        <w:gridCol w:w="6721"/>
      </w:tblGrid>
      <w:tr>
        <w:trPr/>
        <w:tc>
          <w:tcPr>
            <w:tcW w:w="1516" w:type="dxa"/>
            <w:tcBorders/>
            <w:vAlign w:val="center"/>
          </w:tcPr>
          <w:p>
            <w:pPr>
              <w:pStyle w:val="TableContents"/>
              <w:bidi w:val="0"/>
              <w:spacing w:before="0" w:after="283"/>
              <w:jc w:val="left"/>
              <w:rPr>
                <w:sz w:val="4"/>
                <w:szCs w:val="4"/>
              </w:rPr>
            </w:pPr>
            <w:r>
              <w:rPr>
                <w:sz w:val="4"/>
                <w:szCs w:val="4"/>
              </w:rPr>
            </w:r>
          </w:p>
        </w:tc>
        <w:tc>
          <w:tcPr>
            <w:tcW w:w="6721" w:type="dxa"/>
            <w:tcBorders/>
            <w:vAlign w:val="center"/>
          </w:tcPr>
          <w:p>
            <w:pPr>
              <w:pStyle w:val="TableContents"/>
              <w:bidi w:val="0"/>
              <w:spacing w:before="0" w:after="283"/>
              <w:ind w:left="0" w:right="0" w:hanging="105"/>
              <w:jc w:val="left"/>
              <w:rPr>
                <w:sz w:val="4"/>
                <w:szCs w:val="4"/>
              </w:rPr>
            </w:pPr>
            <w:r>
              <w:rPr>
                <w:sz w:val="4"/>
                <w:szCs w:val="4"/>
              </w:rPr>
            </w:r>
          </w:p>
        </w:tc>
      </w:tr>
      <w:tr>
        <w:trPr/>
        <w:tc>
          <w:tcPr>
            <w:tcW w:w="15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b/>
                <w:color w:val="000000"/>
                <w:sz w:val="20"/>
                <w:u w:val="single"/>
              </w:rPr>
            </w:pPr>
            <w:r>
              <w:rPr>
                <w:rFonts w:ascii="Arial" w:hAnsi="Arial"/>
                <w:b/>
                <w:color w:val="000000"/>
                <w:sz w:val="20"/>
                <w:u w:val="single"/>
              </w:rPr>
              <w:t>Name</w:t>
            </w:r>
          </w:p>
        </w:tc>
        <w:tc>
          <w:tcPr>
            <w:tcW w:w="6721" w:type="dxa"/>
            <w:tcBorders>
              <w:bottom w:val="single" w:sz="4" w:space="0" w:color="000000"/>
            </w:tcBorders>
            <w:tcMar>
              <w:top w:w="0" w:type="dxa"/>
              <w:left w:w="0" w:type="dxa"/>
              <w:right w:w="0" w:type="dxa"/>
            </w:tcMar>
            <w:vAlign w:val="center"/>
          </w:tcPr>
          <w:p>
            <w:pPr>
              <w:pStyle w:val="TableContents"/>
              <w:bidi w:val="0"/>
              <w:spacing w:before="0" w:after="283"/>
              <w:ind w:left="0" w:right="0" w:hanging="105"/>
              <w:jc w:val="left"/>
              <w:rPr>
                <w:rFonts w:ascii="Arial" w:hAnsi="Arial"/>
                <w:b/>
                <w:color w:val="000000"/>
                <w:sz w:val="20"/>
              </w:rPr>
            </w:pPr>
            <w:r>
              <w:rPr>
                <w:rFonts w:ascii="Arial" w:hAnsi="Arial"/>
                <w:b/>
                <w:color w:val="000000"/>
                <w:sz w:val="20"/>
              </w:rPr>
              <w:t>Principal Occupation</w:t>
            </w:r>
          </w:p>
        </w:tc>
      </w:tr>
      <w:tr>
        <w:trPr/>
        <w:tc>
          <w:tcPr>
            <w:tcW w:w="15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Mimi E. Vaughn</w:t>
            </w:r>
          </w:p>
        </w:tc>
        <w:tc>
          <w:tcPr>
            <w:tcW w:w="6721"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Chair, President, Chief Executive Officer and Interim Chief Financial Officer</w:t>
            </w:r>
          </w:p>
        </w:tc>
      </w:tr>
      <w:tr>
        <w:trPr/>
        <w:tc>
          <w:tcPr>
            <w:tcW w:w="15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Scott E. Becker</w:t>
            </w:r>
          </w:p>
        </w:tc>
        <w:tc>
          <w:tcPr>
            <w:tcW w:w="67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Vice President, Corporate Secretary and General Counsel</w:t>
            </w:r>
          </w:p>
        </w:tc>
      </w:tr>
    </w:tbl>
    <w:p>
      <w:pPr>
        <w:pStyle w:val="TextBody"/>
        <w:bidi w:val="0"/>
        <w:spacing w:before="0" w:after="120"/>
        <w:jc w:val="left"/>
        <w:rPr/>
      </w:pPr>
      <w:r>
        <w:rPr/>
        <w:t> </w:t>
      </w:r>
    </w:p>
    <w:p>
      <w:pPr>
        <w:pStyle w:val="TextBody"/>
        <w:bidi w:val="0"/>
        <w:spacing w:before="0" w:after="240"/>
        <w:jc w:val="left"/>
        <w:rPr>
          <w:rFonts w:ascii="Arial" w:hAnsi="Arial"/>
          <w:b/>
          <w:color w:val="000000"/>
          <w:sz w:val="20"/>
        </w:rPr>
      </w:pPr>
      <w:r>
        <w:rPr>
          <w:rFonts w:ascii="Arial" w:hAnsi="Arial"/>
          <w:b/>
          <w:color w:val="000000"/>
          <w:sz w:val="20"/>
        </w:rPr>
        <w:t>Information Regarding Ownership of Company Securities by Participants</w:t>
      </w:r>
    </w:p>
    <w:p>
      <w:pPr>
        <w:pStyle w:val="TextBody"/>
        <w:bidi w:val="0"/>
        <w:jc w:val="left"/>
        <w:rPr>
          <w:rFonts w:ascii="Times New Roman" w:hAnsi="Times New Roman"/>
          <w:sz w:val="20"/>
        </w:rPr>
      </w:pPr>
      <w:r>
        <w:rPr>
          <w:rFonts w:ascii="Arial" w:hAnsi="Arial"/>
          <w:color w:val="000000"/>
          <w:sz w:val="20"/>
        </w:rPr>
        <w:t xml:space="preserve">The number of shares of the Company’s common stock beneficially held as of June 2, 2026 by each of the Participants listed above is set forth under the heading “Security Ownership of Officers, Directors and Principal Shareholders—Ownership of Directors and Management” of this proxy statement. Except as described in this </w:t>
      </w:r>
      <w:r>
        <w:rPr>
          <w:rFonts w:ascii="Arial" w:hAnsi="Arial"/>
          <w:color w:val="000000"/>
          <w:sz w:val="20"/>
          <w:u w:val="single"/>
        </w:rPr>
        <w:t xml:space="preserve">Appendix B </w:t>
      </w:r>
      <w:r>
        <w:rPr>
          <w:rFonts w:ascii="Arial" w:hAnsi="Arial"/>
          <w:color w:val="000000"/>
          <w:sz w:val="20"/>
        </w:rPr>
        <w:t>or otherwise in this proxy statement, none of the persons listed above in “Directors and Nominees” and “Officers and Employees” owns any debt or equity security issued by us of record that he or she does not also own beneficially.</w:t>
      </w:r>
    </w:p>
    <w:p>
      <w:pPr>
        <w:pStyle w:val="TextBody"/>
        <w:bidi w:val="0"/>
        <w:jc w:val="left"/>
        <w:rPr/>
      </w:pPr>
      <w:r>
        <w:rPr/>
        <w:t> </w:t>
      </w:r>
    </w:p>
    <w:p>
      <w:pPr>
        <w:pStyle w:val="TextBody"/>
        <w:bidi w:val="0"/>
        <w:spacing w:before="0" w:after="240"/>
        <w:jc w:val="left"/>
        <w:rPr>
          <w:rFonts w:ascii="Times New Roman" w:hAnsi="Times New Roman"/>
          <w:sz w:val="20"/>
        </w:rPr>
      </w:pPr>
      <w:r>
        <w:rPr>
          <w:rFonts w:ascii="Arial" w:hAnsi="Arial"/>
          <w:b/>
          <w:color w:val="000000"/>
          <w:sz w:val="20"/>
        </w:rPr>
        <w:t>Transactions in the Company’s Securities by Participants – Last Two Years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The following table sets forth information regarding purchases and sales of the Company’s securities by each Participant between June 12, 2024 and June 12, 2026. Unless otherwise indicated, all transactions were in the public market or pursuant to the Company’s equity compensation plans, and no part of the purchase price or market value of those shares is represented by funds borrowed or otherwise obtained for the purpose of acquiring or holding such securities.</w:t>
      </w:r>
    </w:p>
    <w:p>
      <w:pPr>
        <w:pStyle w:val="TextBody"/>
        <w:bidi w:val="0"/>
        <w:jc w:val="left"/>
        <w:rPr/>
      </w:pPr>
      <w:r>
        <w:rPr/>
        <w:t> </w:t>
      </w:r>
    </w:p>
    <w:tbl>
      <w:tblPr>
        <w:tblW w:w="7654" w:type="dxa"/>
        <w:jc w:val="left"/>
        <w:tblInd w:w="0" w:type="dxa"/>
        <w:tblLayout w:type="fixed"/>
        <w:tblCellMar>
          <w:top w:w="28" w:type="dxa"/>
          <w:left w:w="28" w:type="dxa"/>
          <w:bottom w:w="28" w:type="dxa"/>
          <w:right w:w="28" w:type="dxa"/>
        </w:tblCellMar>
      </w:tblPr>
      <w:tblGrid>
        <w:gridCol w:w="1516"/>
        <w:gridCol w:w="1066"/>
        <w:gridCol w:w="1156"/>
        <w:gridCol w:w="3916"/>
      </w:tblGrid>
      <w:tr>
        <w:trPr/>
        <w:tc>
          <w:tcPr>
            <w:tcW w:w="151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ind w:left="0" w:right="0" w:hanging="105"/>
              <w:jc w:val="left"/>
              <w:rPr>
                <w:sz w:val="4"/>
                <w:szCs w:val="4"/>
              </w:rPr>
            </w:pPr>
            <w:r>
              <w:rPr>
                <w:sz w:val="4"/>
                <w:szCs w:val="4"/>
              </w:rPr>
            </w:r>
          </w:p>
        </w:tc>
      </w:tr>
      <w:tr>
        <w:trPr/>
        <w:tc>
          <w:tcPr>
            <w:tcW w:w="1516" w:type="dxa"/>
            <w:tcBorders/>
            <w:tcMar>
              <w:top w:w="0" w:type="dxa"/>
              <w:left w:w="0" w:type="dxa"/>
              <w:bottom w:w="0" w:type="dxa"/>
              <w:right w:w="0" w:type="dxa"/>
            </w:tcMar>
            <w:vAlign w:val="center"/>
          </w:tcPr>
          <w:p>
            <w:pPr>
              <w:pStyle w:val="TableContents"/>
              <w:bidi w:val="0"/>
              <w:spacing w:before="0" w:after="283"/>
              <w:ind w:left="0" w:right="0" w:hanging="20"/>
              <w:jc w:val="left"/>
              <w:rPr>
                <w:rFonts w:ascii="Arial" w:hAnsi="Arial"/>
                <w:b/>
                <w:color w:val="000000"/>
                <w:sz w:val="20"/>
                <w:u w:val="single"/>
              </w:rPr>
            </w:pPr>
            <w:r>
              <w:rPr>
                <w:rFonts w:ascii="Arial" w:hAnsi="Arial"/>
                <w:b/>
                <w:color w:val="000000"/>
                <w:sz w:val="20"/>
                <w:u w:val="single"/>
              </w:rPr>
              <w:t>Name</w:t>
            </w:r>
          </w:p>
        </w:tc>
        <w:tc>
          <w:tcPr>
            <w:tcW w:w="1066" w:type="dxa"/>
            <w:tcBorders/>
            <w:tcMar>
              <w:top w:w="0" w:type="dxa"/>
              <w:left w:w="0" w:type="dxa"/>
              <w:bottom w:w="0" w:type="dxa"/>
              <w:right w:w="0" w:type="dxa"/>
            </w:tcMar>
            <w:vAlign w:val="center"/>
          </w:tcPr>
          <w:p>
            <w:pPr>
              <w:pStyle w:val="TableContents"/>
              <w:pBdr>
                <w:bottom w:val="single" w:sz="8" w:space="1" w:color="000000"/>
              </w:pBdr>
              <w:bidi w:val="0"/>
              <w:spacing w:before="0" w:after="283"/>
              <w:ind w:left="0" w:right="0" w:hanging="20"/>
              <w:jc w:val="center"/>
              <w:rPr>
                <w:rFonts w:ascii="Arial" w:hAnsi="Arial"/>
                <w:b/>
                <w:color w:val="000000"/>
                <w:sz w:val="20"/>
              </w:rPr>
            </w:pPr>
            <w:r>
              <w:rPr>
                <w:rFonts w:ascii="Arial" w:hAnsi="Arial"/>
                <w:b/>
                <w:color w:val="000000"/>
                <w:sz w:val="20"/>
              </w:rPr>
              <w:t>Date</w:t>
            </w:r>
          </w:p>
        </w:tc>
        <w:tc>
          <w:tcPr>
            <w:tcW w:w="115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Arial" w:hAnsi="Arial"/>
                <w:b/>
                <w:color w:val="000000"/>
                <w:sz w:val="20"/>
              </w:rPr>
            </w:pPr>
            <w:r>
              <w:rPr>
                <w:rFonts w:ascii="Arial" w:hAnsi="Arial"/>
                <w:b/>
                <w:color w:val="000000"/>
                <w:sz w:val="20"/>
              </w:rPr>
              <w:t># of Shares</w:t>
            </w:r>
          </w:p>
        </w:tc>
        <w:tc>
          <w:tcPr>
            <w:tcW w:w="3916" w:type="dxa"/>
            <w:tcBorders/>
            <w:tcMar>
              <w:top w:w="0" w:type="dxa"/>
              <w:left w:w="0" w:type="dxa"/>
              <w:bottom w:w="0" w:type="dxa"/>
              <w:right w:w="0" w:type="dxa"/>
            </w:tcMar>
            <w:vAlign w:val="center"/>
          </w:tcPr>
          <w:p>
            <w:pPr>
              <w:pStyle w:val="TableContents"/>
              <w:pBdr>
                <w:bottom w:val="single" w:sz="8" w:space="1" w:color="000000"/>
              </w:pBdr>
              <w:bidi w:val="0"/>
              <w:spacing w:before="0" w:after="283"/>
              <w:ind w:left="0" w:right="0" w:hanging="105"/>
              <w:jc w:val="center"/>
              <w:rPr>
                <w:rFonts w:ascii="Arial" w:hAnsi="Arial"/>
                <w:b/>
                <w:color w:val="000000"/>
                <w:sz w:val="20"/>
              </w:rPr>
            </w:pPr>
            <w:r>
              <w:rPr>
                <w:rFonts w:ascii="Arial" w:hAnsi="Arial"/>
                <w:b/>
                <w:color w:val="000000"/>
                <w:sz w:val="20"/>
              </w:rPr>
              <w:t>Transaction Description</w:t>
            </w:r>
          </w:p>
        </w:tc>
      </w:tr>
      <w:tr>
        <w:trPr/>
        <w:tc>
          <w:tcPr>
            <w:tcW w:w="1516" w:type="dxa"/>
            <w:tcBorders/>
            <w:tcMar>
              <w:top w:w="0" w:type="dxa"/>
              <w:left w:w="0" w:type="dxa"/>
              <w:bottom w:w="0" w:type="dxa"/>
              <w:right w:w="0" w:type="dxa"/>
            </w:tcMar>
            <w:vAlign w:val="center"/>
          </w:tcPr>
          <w:p>
            <w:pPr>
              <w:pStyle w:val="TableContents"/>
              <w:bidi w:val="0"/>
              <w:spacing w:before="0" w:after="283"/>
              <w:ind w:left="0" w:right="0" w:hanging="20"/>
              <w:jc w:val="left"/>
              <w:rPr>
                <w:rFonts w:ascii="Arial" w:hAnsi="Arial"/>
                <w:color w:val="000000"/>
                <w:sz w:val="20"/>
              </w:rPr>
            </w:pPr>
            <w:r>
              <w:rPr>
                <w:rFonts w:ascii="Arial" w:hAnsi="Arial"/>
                <w:color w:val="000000"/>
                <w:sz w:val="20"/>
              </w:rPr>
              <w:t>Joanna Barsh</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06/27/2024</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4,540</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Acquisition – Award of Restricted Stock</w:t>
            </w:r>
          </w:p>
        </w:tc>
      </w:tr>
      <w:tr>
        <w:trPr/>
        <w:tc>
          <w:tcPr>
            <w:tcW w:w="1516" w:type="dxa"/>
            <w:tcBorders/>
            <w:tcMar>
              <w:top w:w="0" w:type="dxa"/>
              <w:left w:w="0" w:type="dxa"/>
              <w:bottom w:w="0" w:type="dxa"/>
              <w:right w:w="0" w:type="dxa"/>
            </w:tcMar>
            <w:vAlign w:val="center"/>
          </w:tcPr>
          <w:p>
            <w:pPr>
              <w:pStyle w:val="TableContents"/>
              <w:bidi w:val="0"/>
              <w:spacing w:before="0" w:after="283"/>
              <w:ind w:left="0" w:right="0" w:hanging="20"/>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06/26/2025</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5,393</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Acquisition – Award of Restricted Stock</w:t>
            </w:r>
          </w:p>
        </w:tc>
      </w:tr>
      <w:tr>
        <w:trPr/>
        <w:tc>
          <w:tcPr>
            <w:tcW w:w="1516" w:type="dxa"/>
            <w:tcBorders/>
            <w:tcMar>
              <w:top w:w="0" w:type="dxa"/>
              <w:left w:w="0" w:type="dxa"/>
              <w:bottom w:w="0" w:type="dxa"/>
              <w:right w:w="0" w:type="dxa"/>
            </w:tcMar>
            <w:vAlign w:val="center"/>
          </w:tcPr>
          <w:p>
            <w:pPr>
              <w:pStyle w:val="TableContents"/>
              <w:bidi w:val="0"/>
              <w:spacing w:before="0" w:after="283"/>
              <w:ind w:left="0" w:right="0" w:hanging="20"/>
              <w:jc w:val="left"/>
              <w:rPr>
                <w:rFonts w:ascii="Arial" w:hAnsi="Arial"/>
                <w:color w:val="000000"/>
                <w:sz w:val="20"/>
              </w:rPr>
            </w:pPr>
            <w:r>
              <w:rPr>
                <w:rFonts w:ascii="Arial" w:hAnsi="Arial"/>
                <w:color w:val="000000"/>
                <w:sz w:val="20"/>
              </w:rPr>
              <w:t>Scott E. Becker</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06/28/2024</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2,410</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Disposition – Surrender for Tax Withholding</w:t>
            </w:r>
          </w:p>
        </w:tc>
      </w:tr>
      <w:tr>
        <w:trPr/>
        <w:tc>
          <w:tcPr>
            <w:tcW w:w="1516" w:type="dxa"/>
            <w:tcBorders/>
            <w:tcMar>
              <w:top w:w="0" w:type="dxa"/>
              <w:left w:w="0" w:type="dxa"/>
              <w:bottom w:w="0" w:type="dxa"/>
              <w:right w:w="0" w:type="dxa"/>
            </w:tcMar>
            <w:vAlign w:val="center"/>
          </w:tcPr>
          <w:p>
            <w:pPr>
              <w:pStyle w:val="TableContents"/>
              <w:bidi w:val="0"/>
              <w:spacing w:before="0" w:after="283"/>
              <w:ind w:left="0" w:right="0" w:hanging="20"/>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04/04/2025</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8,594</w:t>
            </w:r>
          </w:p>
        </w:tc>
        <w:tc>
          <w:tcPr>
            <w:tcW w:w="39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Acquisition – Award of Restricted Stock</w:t>
            </w:r>
          </w:p>
        </w:tc>
      </w:tr>
    </w:tbl>
    <w:p>
      <w:pPr>
        <w:pStyle w:val="TextBody"/>
        <w:bidi w:val="0"/>
        <w:spacing w:before="240" w:after="283"/>
        <w:jc w:val="center"/>
        <w:rPr>
          <w:rFonts w:ascii="Arial" w:hAnsi="Arial"/>
          <w:color w:val="000000"/>
          <w:sz w:val="20"/>
        </w:rPr>
      </w:pPr>
      <w:r>
        <w:rPr>
          <w:rFonts w:ascii="Arial" w:hAnsi="Arial"/>
          <w:color w:val="000000"/>
          <w:sz w:val="20"/>
        </w:rPr>
        <w:t>B-1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7759" w:type="dxa"/>
        <w:jc w:val="left"/>
        <w:tblInd w:w="0" w:type="dxa"/>
        <w:tblLayout w:type="fixed"/>
        <w:tblCellMar>
          <w:top w:w="28" w:type="dxa"/>
          <w:left w:w="28" w:type="dxa"/>
          <w:bottom w:w="28" w:type="dxa"/>
          <w:right w:w="28" w:type="dxa"/>
        </w:tblCellMar>
      </w:tblPr>
      <w:tblGrid>
        <w:gridCol w:w="2086"/>
        <w:gridCol w:w="1066"/>
        <w:gridCol w:w="691"/>
        <w:gridCol w:w="3916"/>
      </w:tblGrid>
      <w:tr>
        <w:trPr/>
        <w:tc>
          <w:tcPr>
            <w:tcW w:w="208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ind w:left="0" w:right="0" w:hanging="105"/>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04/04/2025</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1,248</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Disposition – Surrender for Tax Withholding</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06/27/2025</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1,091</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Disposition – Surrender for Tax Withholding</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02/01/2026</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1,062</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Disposition – Surrender for Tax Withholding</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04/02/2026</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1,946</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Disposition – Surrender for Tax Withholding</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04/02/2026</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9,903</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Acquisition – Award of Restricted Stock</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rFonts w:ascii="Arial" w:hAnsi="Arial"/>
                <w:color w:val="000000"/>
                <w:sz w:val="20"/>
              </w:rPr>
            </w:pPr>
            <w:r>
              <w:rPr>
                <w:rFonts w:ascii="Arial" w:hAnsi="Arial"/>
                <w:color w:val="000000"/>
                <w:sz w:val="20"/>
              </w:rPr>
              <w:t>Matthew M. Bilunas</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06/27/2024</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4,540</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Acquisition – Award of Restricted Stock</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06/26/2025</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5,393</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Acquisition – Award of Restricted Stock</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rFonts w:ascii="Arial" w:hAnsi="Arial"/>
                <w:color w:val="000000"/>
                <w:sz w:val="20"/>
              </w:rPr>
            </w:pPr>
            <w:r>
              <w:rPr>
                <w:rFonts w:ascii="Arial" w:hAnsi="Arial"/>
                <w:color w:val="000000"/>
                <w:sz w:val="20"/>
              </w:rPr>
              <w:t>Carolyn Bojanowski</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06/27/2024</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4,540</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Acquisition – Award of Restricted Stock</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06/26/2025</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5,393</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Acquisition – Award of Restricted Stock</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rFonts w:ascii="Arial" w:hAnsi="Arial"/>
                <w:color w:val="000000"/>
                <w:sz w:val="20"/>
              </w:rPr>
            </w:pPr>
            <w:r>
              <w:rPr>
                <w:rFonts w:ascii="Arial" w:hAnsi="Arial"/>
                <w:color w:val="000000"/>
                <w:sz w:val="20"/>
              </w:rPr>
              <w:t>John F. Lambros</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06/27/2024</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4,540</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Acquisition – Award of Restricted Stock</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06/26/2025</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5,393</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Acquisition – Award of Restricted Stock</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rFonts w:ascii="Arial" w:hAnsi="Arial"/>
                <w:color w:val="000000"/>
                <w:sz w:val="20"/>
              </w:rPr>
            </w:pPr>
            <w:r>
              <w:rPr>
                <w:rFonts w:ascii="Arial" w:hAnsi="Arial"/>
                <w:color w:val="000000"/>
                <w:sz w:val="20"/>
              </w:rPr>
              <w:t>Thurgood Marshall, Jr.</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06/27/2024</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4,540</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Acquisition – Award of Restricted Stock</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06/26/2025</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5,393</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Acquisition – Award of Restricted Stock</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rFonts w:ascii="Arial" w:hAnsi="Arial"/>
                <w:color w:val="000000"/>
                <w:sz w:val="20"/>
              </w:rPr>
            </w:pPr>
            <w:r>
              <w:rPr>
                <w:rFonts w:ascii="Arial" w:hAnsi="Arial"/>
                <w:color w:val="000000"/>
                <w:sz w:val="20"/>
              </w:rPr>
              <w:t>Angel R. Martinez</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06/27/2024</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4,540</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Acquisition – Award of Restricted Stock</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06/26/2025</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5,393</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Acquisition – Award of Restricted Stock</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rFonts w:ascii="Arial" w:hAnsi="Arial"/>
                <w:color w:val="000000"/>
                <w:sz w:val="20"/>
              </w:rPr>
            </w:pPr>
            <w:r>
              <w:rPr>
                <w:rFonts w:ascii="Arial" w:hAnsi="Arial"/>
                <w:color w:val="000000"/>
                <w:sz w:val="20"/>
              </w:rPr>
              <w:t>Mary E. Meixelsperger</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06/27/2024</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4,540</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Acquisition – Award of Restricted Stock</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06/26/2025</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5,393</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Acquisition – Award of Restricted Stock</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rFonts w:ascii="Arial" w:hAnsi="Arial"/>
                <w:color w:val="000000"/>
                <w:sz w:val="20"/>
              </w:rPr>
            </w:pPr>
            <w:r>
              <w:rPr>
                <w:rFonts w:ascii="Arial" w:hAnsi="Arial"/>
                <w:color w:val="000000"/>
                <w:sz w:val="20"/>
              </w:rPr>
              <w:t>Gregory A. Sandfort</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06/27/2024</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4,540</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Acquisition – Award of Restricted Stock</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03/20/2025</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10,974</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Acquisition – Purchase of Common Stock</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06/26/2025</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5,393</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Acquisition – Award of Restricted Stock</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rFonts w:ascii="Arial" w:hAnsi="Arial"/>
                <w:color w:val="000000"/>
                <w:sz w:val="20"/>
              </w:rPr>
            </w:pPr>
            <w:r>
              <w:rPr>
                <w:rFonts w:ascii="Arial" w:hAnsi="Arial"/>
                <w:color w:val="000000"/>
                <w:sz w:val="20"/>
              </w:rPr>
              <w:t>Mimi E. Vaughn</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06/27/2024</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4,540</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Acquisition – Award of Restricted Stock</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06/28/2024</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15,142</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Disposition – Surrender for Tax Withholding</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04/04/2025</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64,824</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Acquisition – Award of Restricted Stock</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04/04/2025</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11,127</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Disposition – Surrender for Tax Withholding</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06/27/2025</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8,619</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Disposition – Surrender for Tax Withholding</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02/01/2026</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6,179</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Disposition – Surrender for Tax Withholding</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04/02/2026</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22,583</w:t>
            </w:r>
          </w:p>
        </w:tc>
        <w:tc>
          <w:tcPr>
            <w:tcW w:w="3916" w:type="dxa"/>
            <w:tcBorders/>
            <w:tcMar>
              <w:top w:w="0" w:type="dxa"/>
              <w:left w:w="0" w:type="dxa"/>
              <w:bottom w:w="0" w:type="dxa"/>
              <w:right w:w="0" w:type="dxa"/>
            </w:tcMar>
            <w:vAlign w:val="center"/>
          </w:tcPr>
          <w:p>
            <w:pPr>
              <w:pStyle w:val="TableContents"/>
              <w:bidi w:val="0"/>
              <w:spacing w:before="0" w:after="283"/>
              <w:ind w:left="0" w:right="0" w:hanging="105"/>
              <w:jc w:val="left"/>
              <w:rPr>
                <w:rFonts w:ascii="Arial" w:hAnsi="Arial"/>
                <w:color w:val="000000"/>
                <w:sz w:val="20"/>
              </w:rPr>
            </w:pPr>
            <w:r>
              <w:rPr>
                <w:rFonts w:ascii="Arial" w:hAnsi="Arial"/>
                <w:color w:val="000000"/>
                <w:sz w:val="20"/>
              </w:rPr>
              <w:t>Disposition – Surrender for Tax Withholding</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hanging="20"/>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ind w:left="0" w:right="0" w:hanging="20"/>
              <w:jc w:val="center"/>
              <w:rPr>
                <w:rFonts w:ascii="Arial" w:hAnsi="Arial"/>
                <w:color w:val="000000"/>
                <w:sz w:val="20"/>
              </w:rPr>
            </w:pPr>
            <w:r>
              <w:rPr>
                <w:rFonts w:ascii="Arial" w:hAnsi="Arial"/>
                <w:color w:val="000000"/>
                <w:sz w:val="20"/>
              </w:rPr>
              <w:t>04/02/2026</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74,832</w:t>
            </w:r>
          </w:p>
        </w:tc>
        <w:tc>
          <w:tcPr>
            <w:tcW w:w="39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Acquisition – Award of Restricted Stock</w:t>
            </w:r>
          </w:p>
        </w:tc>
      </w:tr>
    </w:tbl>
    <w:p>
      <w:pPr>
        <w:pStyle w:val="TextBody"/>
        <w:bidi w:val="0"/>
        <w:spacing w:before="0" w:after="120"/>
        <w:jc w:val="left"/>
        <w:rPr/>
      </w:pPr>
      <w:r>
        <w:rPr/>
        <w:t> </w:t>
      </w:r>
    </w:p>
    <w:p>
      <w:pPr>
        <w:pStyle w:val="TextBody"/>
        <w:bidi w:val="0"/>
        <w:spacing w:before="0" w:after="240"/>
        <w:jc w:val="left"/>
        <w:rPr>
          <w:rFonts w:ascii="Arial" w:hAnsi="Arial"/>
          <w:b/>
          <w:color w:val="000000"/>
          <w:sz w:val="20"/>
        </w:rPr>
      </w:pPr>
      <w:r>
        <w:rPr>
          <w:rFonts w:ascii="Arial" w:hAnsi="Arial"/>
          <w:b/>
          <w:color w:val="000000"/>
          <w:sz w:val="20"/>
        </w:rPr>
        <w:t>Miscellaneous Information Concerning Participants</w:t>
      </w:r>
    </w:p>
    <w:p>
      <w:pPr>
        <w:pStyle w:val="TextBody"/>
        <w:bidi w:val="0"/>
        <w:spacing w:before="0" w:after="240"/>
        <w:jc w:val="left"/>
        <w:rPr>
          <w:rFonts w:ascii="Times New Roman" w:hAnsi="Times New Roman"/>
          <w:sz w:val="20"/>
        </w:rPr>
      </w:pPr>
      <w:r>
        <w:rPr>
          <w:rFonts w:ascii="Arial" w:hAnsi="Arial"/>
          <w:color w:val="000000"/>
          <w:sz w:val="20"/>
        </w:rPr>
        <w:t xml:space="preserve">Each of the Company’s directors and officers is entitled to indemnification under our Bylaws. In addition, the Company has entered into indemnification agreements with each of its current directors and executive officers, which require the Company to indemnify such directors and executive officers, subject to certain limitations, to the fullest extent permitted by law for certain expenses and liabilities incurred in a proceeding by reason of (or arising in part out of) such directors’ or executive officers’ service to the Company. Other than as set forth in this </w:t>
      </w:r>
      <w:r>
        <w:rPr>
          <w:rFonts w:ascii="Arial" w:hAnsi="Arial"/>
          <w:color w:val="000000"/>
          <w:sz w:val="20"/>
          <w:u w:val="single"/>
        </w:rPr>
        <w:t>Appendix B</w:t>
      </w:r>
      <w:r>
        <w:rPr>
          <w:rFonts w:ascii="Times New Roman" w:hAnsi="Times New Roman"/>
          <w:color w:val="000000"/>
          <w:sz w:val="20"/>
        </w:rPr>
        <w:t xml:space="preserve"> </w:t>
      </w:r>
      <w:r>
        <w:rPr>
          <w:rFonts w:ascii="Arial" w:hAnsi="Arial"/>
          <w:color w:val="000000"/>
          <w:sz w:val="20"/>
        </w:rPr>
        <w:t>or elsewhere in this proxy statement:</w:t>
      </w:r>
    </w:p>
    <w:p>
      <w:pPr>
        <w:pStyle w:val="TextBody"/>
        <w:bidi w:val="0"/>
        <w:spacing w:before="0" w:after="240"/>
        <w:jc w:val="left"/>
        <w:rPr>
          <w:color w:val="000000"/>
        </w:rPr>
      </w:pPr>
      <w:r>
        <w:rPr>
          <w:color w:val="000000"/>
        </w:rPr>
        <w:t>•</w:t>
      </w:r>
    </w:p>
    <w:p>
      <w:pPr>
        <w:pStyle w:val="TextBody"/>
        <w:bidi w:val="0"/>
        <w:spacing w:before="0" w:after="240"/>
        <w:jc w:val="left"/>
        <w:rPr>
          <w:rFonts w:ascii="Arial" w:hAnsi="Arial"/>
          <w:color w:val="000000"/>
          <w:sz w:val="20"/>
        </w:rPr>
      </w:pPr>
      <w:r>
        <w:rPr>
          <w:rFonts w:ascii="Arial" w:hAnsi="Arial"/>
          <w:color w:val="000000"/>
          <w:sz w:val="20"/>
        </w:rPr>
        <w:t>None of the Participants or their respective associates or affiliates (collectively, the “Participant Affiliates”) (i) beneficially owns, directly or indirectly, any shares or other securities of the Company, (ii) owns any securities of our Company of record but not beneficially, or (iii) owns beneficially, directly or indirectly, any securities of any parent or subsidiary of the Company;</w:t>
      </w:r>
    </w:p>
    <w:p>
      <w:pPr>
        <w:pStyle w:val="TextBody"/>
        <w:bidi w:val="0"/>
        <w:spacing w:before="240" w:after="283"/>
        <w:jc w:val="center"/>
        <w:rPr>
          <w:rFonts w:ascii="Arial" w:hAnsi="Arial"/>
          <w:color w:val="000000"/>
          <w:sz w:val="20"/>
        </w:rPr>
      </w:pPr>
      <w:r>
        <w:rPr>
          <w:rFonts w:ascii="Arial" w:hAnsi="Arial"/>
          <w:color w:val="000000"/>
          <w:sz w:val="20"/>
        </w:rPr>
        <w:t>B-2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left"/>
        <w:rPr>
          <w:color w:val="000000"/>
        </w:rPr>
      </w:pPr>
      <w:r>
        <w:rPr>
          <w:color w:val="000000"/>
        </w:rPr>
        <w:t>•</w:t>
      </w:r>
    </w:p>
    <w:p>
      <w:pPr>
        <w:pStyle w:val="TextBody"/>
        <w:bidi w:val="0"/>
        <w:spacing w:before="0" w:after="240"/>
        <w:jc w:val="left"/>
        <w:rPr>
          <w:rFonts w:ascii="Arial" w:hAnsi="Arial"/>
          <w:color w:val="000000"/>
          <w:sz w:val="20"/>
        </w:rPr>
      </w:pPr>
      <w:r>
        <w:rPr>
          <w:rFonts w:ascii="Arial" w:hAnsi="Arial"/>
          <w:color w:val="000000"/>
          <w:sz w:val="20"/>
        </w:rPr>
        <w:t>None of the Participants nor the Participant Affiliates has any substantial interest, direct or indirect, by security holdings or otherwise, in any matter to be acted upon at the Annual Meeting other than an interest, if any, as a shareholder of the Company or, with respect to a director nominee, as a nominee for director;</w:t>
      </w:r>
    </w:p>
    <w:p>
      <w:pPr>
        <w:pStyle w:val="TextBody"/>
        <w:bidi w:val="0"/>
        <w:spacing w:before="0" w:after="240"/>
        <w:jc w:val="left"/>
        <w:rPr>
          <w:color w:val="000000"/>
        </w:rPr>
      </w:pPr>
      <w:r>
        <w:rPr>
          <w:color w:val="000000"/>
        </w:rPr>
        <w:t>•</w:t>
      </w:r>
    </w:p>
    <w:p>
      <w:pPr>
        <w:pStyle w:val="TextBody"/>
        <w:bidi w:val="0"/>
        <w:spacing w:before="0" w:after="240"/>
        <w:jc w:val="left"/>
        <w:rPr>
          <w:rFonts w:ascii="Arial" w:hAnsi="Arial"/>
          <w:color w:val="000000"/>
          <w:sz w:val="20"/>
        </w:rPr>
      </w:pPr>
      <w:r>
        <w:rPr>
          <w:rFonts w:ascii="Arial" w:hAnsi="Arial"/>
          <w:color w:val="000000"/>
          <w:sz w:val="20"/>
        </w:rPr>
        <w:t>There are no contracts, arrangements or understandings between any Participant or Participant Affiliate within the past year and any person with respect to any securities of our Company, including, but not limited to, joint ventures, loan or option arrangements, puts or calls, guarantees against loss or guarantees of profit, division of losses or profits, or the giving or withholding of proxies;</w:t>
      </w:r>
    </w:p>
    <w:p>
      <w:pPr>
        <w:pStyle w:val="TextBody"/>
        <w:bidi w:val="0"/>
        <w:spacing w:before="0" w:after="240"/>
        <w:jc w:val="left"/>
        <w:rPr>
          <w:color w:val="000000"/>
        </w:rPr>
      </w:pPr>
      <w:r>
        <w:rPr>
          <w:color w:val="000000"/>
        </w:rPr>
        <w:t>•</w:t>
      </w:r>
    </w:p>
    <w:p>
      <w:pPr>
        <w:pStyle w:val="TextBody"/>
        <w:bidi w:val="0"/>
        <w:spacing w:before="0" w:after="240"/>
        <w:jc w:val="left"/>
        <w:rPr>
          <w:rFonts w:ascii="Arial" w:hAnsi="Arial"/>
          <w:color w:val="000000"/>
          <w:sz w:val="20"/>
        </w:rPr>
      </w:pPr>
      <w:r>
        <w:rPr>
          <w:rFonts w:ascii="Arial" w:hAnsi="Arial"/>
          <w:color w:val="000000"/>
          <w:sz w:val="20"/>
        </w:rPr>
        <w:t>None of the Participants nor the Participant Affiliates have any arrangement or understandings with any person with respect to any future employment by the Company or our affiliates or with respect to any future transactions to which we or any of our affiliates will or may be a party;</w:t>
      </w:r>
    </w:p>
    <w:p>
      <w:pPr>
        <w:pStyle w:val="TextBody"/>
        <w:bidi w:val="0"/>
        <w:spacing w:before="0" w:after="240"/>
        <w:jc w:val="left"/>
        <w:rPr>
          <w:color w:val="000000"/>
        </w:rPr>
      </w:pPr>
      <w:r>
        <w:rPr>
          <w:color w:val="000000"/>
        </w:rPr>
        <w:t>•</w:t>
      </w:r>
    </w:p>
    <w:p>
      <w:pPr>
        <w:pStyle w:val="TextBody"/>
        <w:bidi w:val="0"/>
        <w:spacing w:before="0" w:after="240"/>
        <w:jc w:val="left"/>
        <w:rPr>
          <w:rFonts w:ascii="Arial" w:hAnsi="Arial"/>
          <w:color w:val="000000"/>
          <w:sz w:val="20"/>
        </w:rPr>
      </w:pPr>
      <w:r>
        <w:rPr>
          <w:rFonts w:ascii="Arial" w:hAnsi="Arial"/>
          <w:color w:val="000000"/>
          <w:sz w:val="20"/>
        </w:rPr>
        <w:t>No Participant or Participant Affiliate is either a party to any transaction or series of transactions, since the beginning of Company’s last fiscal year, or has knowledge of any currently proposed transaction, in which (i) the Company or any of its subsidiaries was or is to be a participant, (ii) the amount involved exceeds $120,000 and (iii) in which any Participant, Participant Affiliate or any related person thereof had, or will have, a direct or indirect material interest; and</w:t>
      </w:r>
    </w:p>
    <w:p>
      <w:pPr>
        <w:pStyle w:val="TextBody"/>
        <w:bidi w:val="0"/>
        <w:spacing w:before="0" w:after="240"/>
        <w:jc w:val="left"/>
        <w:rPr>
          <w:color w:val="000000"/>
        </w:rPr>
      </w:pPr>
      <w:r>
        <w:rPr>
          <w:color w:val="000000"/>
        </w:rPr>
        <w:t>•</w:t>
      </w:r>
    </w:p>
    <w:p>
      <w:pPr>
        <w:pStyle w:val="TextBody"/>
        <w:bidi w:val="0"/>
        <w:spacing w:before="0" w:after="240"/>
        <w:jc w:val="left"/>
        <w:rPr>
          <w:rFonts w:ascii="Arial" w:hAnsi="Arial"/>
          <w:color w:val="000000"/>
          <w:sz w:val="20"/>
        </w:rPr>
      </w:pPr>
      <w:r>
        <w:rPr>
          <w:rFonts w:ascii="Arial" w:hAnsi="Arial"/>
          <w:color w:val="000000"/>
          <w:sz w:val="20"/>
        </w:rPr>
        <w:t>No Participant has been convicted in a criminal proceeding (excluding traffic violations or similar misdemeanors) during the past ten years.</w:t>
      </w:r>
    </w:p>
    <w:p>
      <w:pPr>
        <w:pStyle w:val="TextBody"/>
        <w:bidi w:val="0"/>
        <w:jc w:val="left"/>
        <w:rPr>
          <w:rFonts w:ascii="Times New Roman" w:hAnsi="Times New Roman"/>
          <w:sz w:val="20"/>
        </w:rPr>
      </w:pPr>
      <w:r>
        <w:rPr>
          <w:rFonts w:ascii="Arial" w:hAnsi="Arial"/>
          <w:color w:val="000000"/>
          <w:sz w:val="20"/>
        </w:rPr>
        <w:t>Other than the persons described in this Proxy Statement, no regular employees of the Company have been or are to be employed to solicit shareholders in connection with this proxy solicitation. However, in the course of their regular duties, certain administrative personnel may be asked to perform clerical or ministerial tasks in furtherance of this solicitation.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B-3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bottom w:val="single" w:sz="24" w:space="1" w:color="000000"/>
        </w:pBdr>
        <w:bidi w:val="0"/>
        <w:jc w:val="left"/>
        <w:rPr/>
      </w:pPr>
      <w:r>
        <w:rPr/>
        <w:t> </w:t>
      </w:r>
    </w:p>
    <w:p>
      <w:pPr>
        <w:pStyle w:val="TextBody"/>
        <w:pBdr>
          <w:bottom w:val="single" w:sz="4" w:space="1" w:color="000000"/>
        </w:pBdr>
        <w:bidi w:val="0"/>
        <w:jc w:val="left"/>
        <w:rPr/>
      </w:pPr>
      <w:r>
        <w:rPr/>
        <w:t> </w:t>
      </w:r>
    </w:p>
    <w:p>
      <w:pPr>
        <w:pStyle w:val="TextBody"/>
        <w:bidi w:val="0"/>
        <w:jc w:val="left"/>
        <w:rPr/>
      </w:pPr>
      <w:r>
        <w:rPr/>
        <w:t> </w:t>
      </w:r>
    </w:p>
    <w:p>
      <w:pPr>
        <w:pStyle w:val="TextBody"/>
        <w:bidi w:val="0"/>
        <w:jc w:val="center"/>
        <w:rPr/>
      </w:pPr>
      <w:r>
        <w:rPr/>
        <w:drawing>
          <wp:inline distT="0" distB="0" distL="0" distR="0">
            <wp:extent cx="3238500" cy="8667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238500" cy="866775"/>
                    </a:xfrm>
                    <a:prstGeom prst="rect">
                      <a:avLst/>
                    </a:prstGeom>
                  </pic:spPr>
                </pic:pic>
              </a:graphicData>
            </a:graphic>
          </wp:inline>
        </w:drawing>
      </w:r>
    </w:p>
    <w:p>
      <w:pPr>
        <w:pStyle w:val="TextBody"/>
        <w:bidi w:val="0"/>
        <w:spacing w:before="720" w:after="283"/>
        <w:jc w:val="center"/>
        <w:rPr/>
      </w:pPr>
      <w:r>
        <w:rPr/>
        <w:t> </w:t>
      </w:r>
    </w:p>
    <w:p>
      <w:pPr>
        <w:pStyle w:val="TextBody"/>
        <w:bidi w:val="0"/>
        <w:spacing w:before="720" w:after="283"/>
        <w:jc w:val="center"/>
        <w:rPr>
          <w:rFonts w:ascii="Arial" w:hAnsi="Arial"/>
          <w:b/>
          <w:color w:val="000000"/>
          <w:sz w:val="24"/>
        </w:rPr>
      </w:pPr>
      <w:r>
        <w:rPr>
          <w:rFonts w:ascii="Arial" w:hAnsi="Arial"/>
          <w:b/>
          <w:color w:val="000000"/>
          <w:sz w:val="24"/>
        </w:rPr>
        <w:t>NOTICE OF</w:t>
      </w:r>
    </w:p>
    <w:p>
      <w:pPr>
        <w:pStyle w:val="TextBody"/>
        <w:bidi w:val="0"/>
        <w:jc w:val="center"/>
        <w:rPr>
          <w:rFonts w:ascii="Arial" w:hAnsi="Arial"/>
          <w:b/>
          <w:color w:val="000000"/>
          <w:sz w:val="24"/>
        </w:rPr>
      </w:pPr>
      <w:r>
        <w:rPr>
          <w:rFonts w:ascii="Arial" w:hAnsi="Arial"/>
          <w:b/>
          <w:color w:val="000000"/>
          <w:sz w:val="24"/>
        </w:rPr>
        <w:t>ANNUAL MEETING</w:t>
      </w:r>
    </w:p>
    <w:p>
      <w:pPr>
        <w:pStyle w:val="TextBody"/>
        <w:bidi w:val="0"/>
        <w:jc w:val="center"/>
        <w:rPr>
          <w:rFonts w:ascii="Arial" w:hAnsi="Arial"/>
          <w:b/>
          <w:color w:val="000000"/>
          <w:sz w:val="24"/>
        </w:rPr>
      </w:pPr>
      <w:r>
        <w:rPr>
          <w:rFonts w:ascii="Arial" w:hAnsi="Arial"/>
          <w:b/>
          <w:color w:val="000000"/>
          <w:sz w:val="24"/>
        </w:rPr>
        <w:t>AND</w:t>
      </w:r>
    </w:p>
    <w:p>
      <w:pPr>
        <w:pStyle w:val="TextBody"/>
        <w:bidi w:val="0"/>
        <w:jc w:val="center"/>
        <w:rPr>
          <w:rFonts w:ascii="Arial" w:hAnsi="Arial"/>
          <w:b/>
          <w:color w:val="000000"/>
          <w:sz w:val="24"/>
        </w:rPr>
      </w:pPr>
      <w:r>
        <w:rPr>
          <w:rFonts w:ascii="Arial" w:hAnsi="Arial"/>
          <w:b/>
          <w:color w:val="000000"/>
          <w:sz w:val="24"/>
        </w:rPr>
        <w:t>PROXY STATEMENT</w:t>
      </w:r>
    </w:p>
    <w:p>
      <w:pPr>
        <w:pStyle w:val="TextBody"/>
        <w:bidi w:val="0"/>
        <w:spacing w:before="720" w:after="283"/>
        <w:jc w:val="center"/>
        <w:rPr/>
      </w:pPr>
      <w:r>
        <w:rPr/>
        <w:t> </w:t>
      </w:r>
    </w:p>
    <w:p>
      <w:pPr>
        <w:pStyle w:val="TextBody"/>
        <w:bidi w:val="0"/>
        <w:spacing w:before="720" w:after="283"/>
        <w:jc w:val="center"/>
        <w:rPr>
          <w:rFonts w:ascii="Arial" w:hAnsi="Arial"/>
          <w:b/>
          <w:color w:val="000000"/>
          <w:sz w:val="24"/>
        </w:rPr>
      </w:pPr>
      <w:r>
        <w:rPr>
          <w:rFonts w:ascii="Arial" w:hAnsi="Arial"/>
          <w:b/>
          <w:color w:val="000000"/>
          <w:sz w:val="24"/>
        </w:rPr>
        <w:t>Annual Meeting</w:t>
      </w:r>
    </w:p>
    <w:p>
      <w:pPr>
        <w:pStyle w:val="TextBody"/>
        <w:bidi w:val="0"/>
        <w:jc w:val="center"/>
        <w:rPr>
          <w:rFonts w:ascii="Arial" w:hAnsi="Arial"/>
          <w:b/>
          <w:color w:val="000000"/>
          <w:sz w:val="24"/>
        </w:rPr>
      </w:pPr>
      <w:r>
        <w:rPr>
          <w:rFonts w:ascii="Arial" w:hAnsi="Arial"/>
          <w:b/>
          <w:color w:val="000000"/>
          <w:sz w:val="24"/>
        </w:rPr>
        <w:t>of Shareholders</w:t>
      </w:r>
    </w:p>
    <w:p>
      <w:pPr>
        <w:pStyle w:val="TextBody"/>
        <w:bidi w:val="0"/>
        <w:spacing w:before="720" w:after="283"/>
        <w:jc w:val="center"/>
        <w:rPr/>
      </w:pPr>
      <w:r>
        <w:rPr/>
        <w:t> </w:t>
      </w:r>
    </w:p>
    <w:p>
      <w:pPr>
        <w:pStyle w:val="TextBody"/>
        <w:bidi w:val="0"/>
        <w:spacing w:before="720" w:after="283"/>
        <w:jc w:val="center"/>
        <w:rPr>
          <w:rFonts w:ascii="Arial" w:hAnsi="Arial"/>
          <w:b/>
          <w:color w:val="000000"/>
          <w:sz w:val="20"/>
        </w:rPr>
      </w:pPr>
      <w:r>
        <w:rPr>
          <w:rFonts w:ascii="Arial" w:hAnsi="Arial"/>
          <w:b/>
          <w:color w:val="000000"/>
          <w:sz w:val="20"/>
        </w:rPr>
        <w:t>June 15, 2026</w:t>
      </w:r>
    </w:p>
    <w:p>
      <w:pPr>
        <w:pStyle w:val="TextBody"/>
        <w:bidi w:val="0"/>
        <w:jc w:val="left"/>
        <w:rPr/>
      </w:pPr>
      <w:r>
        <w:rPr/>
        <w:t> </w:t>
      </w:r>
    </w:p>
    <w:p>
      <w:pPr>
        <w:pStyle w:val="TextBody"/>
        <w:pBdr>
          <w:top w:val="single" w:sz="4" w:space="1" w:color="000000"/>
        </w:pBdr>
        <w:bidi w:val="0"/>
        <w:jc w:val="left"/>
        <w:rPr/>
      </w:pPr>
      <w:r>
        <w:rPr/>
        <w:t> </w:t>
      </w:r>
    </w:p>
    <w:p>
      <w:pPr>
        <w:pStyle w:val="TextBody"/>
        <w:pBdr>
          <w:top w:val="single" w:sz="2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left"/>
        <w:rPr/>
      </w:pPr>
      <w:r>
        <w:rPr/>
        <w:t> </w:t>
      </w:r>
    </w:p>
    <w:p>
      <w:pPr>
        <w:pStyle w:val="TextBody"/>
        <w:bidi w:val="0"/>
        <w:jc w:val="center"/>
        <w:rPr/>
      </w:pPr>
      <w:r>
        <w:rPr/>
        <w:drawing>
          <wp:inline distT="0" distB="0" distL="0" distR="0">
            <wp:extent cx="5924550" cy="7610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24550" cy="76104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PLEASE ACT TODAY! SEE REVERSE SIDE FOR THREE EASY WAYS TO VOTE. TO AUTHORIZE A PROXY TO VOTE BY MAIL PLEASE DETACH WHITE PROXY CARD HERE AND SIGN, DATE AND RETURN IN THE POSTAGE–PAID ENVELOPE PROVIDED GENESCO INC. 2026 ANNUAL MEETING OF SHAREHOLDERS THIS PROXY IS SOLICITED BY THE BOARD OF DIRECTORS The undersigned hereby appoints Mimi E. Vaughn and Scott E. Becker, or either of them, proxies, with full power of substitution in each, to represent, and to vote the stock of Genesco Inc., which the undersigned is entitled to vote at the 2026 Annual Meeting of Shareholders scheduled to be held at 10:00 a.m. Central Time on July 21, 2026, virtually at www.cesonlineservices.com/gco26_vm and at any adjournments or postponements thereof. This proxy, when properly executed, will be voted as specified on the reverse side. If no specification is made, this proxy will be voted “FOR” each of the director nominees recommended by the Board of Directors listed in Proposal 1, and “FOR” Proposals 2, 3 and 4, and in the discretion of the proxies, upon such other business as properly comes before the Annual Meeting. (continued and to be signed on the reverse side) W H I T E C A R 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pPr>
      <w:r>
        <w:rPr/>
        <w:drawing>
          <wp:inline distT="0" distB="0" distL="0" distR="0">
            <wp:extent cx="5924550" cy="7610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924550" cy="76104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YOUR VOTE IS IMPORTANT Please take a moment now to vote your Genesco Inc. shares at the upcoming 2026 Annual Meeting of Shareholders. YOU CAN ACT TODAY USING ANY OF THE FOLLOWING METHODS: 1. Vote by Telephone – Call toll-free from the U.S. or Canada at 855-457-3842, on a touch-tone telephone. If outside the U.S. or Canada, call 575-415-3079. Please follow the simple instructions provided. You will be required to provide the unique control number printed below. 2. Vote by Internet – Please access www.proxyvotenow.com/gco and follow the simple instructions provided. You will be required to provide the unique control number printed below. CONTROL NUMBER: You may vote by telephone or Internet 24 hours a day, 7 days a week. Your telephone or Internet vote authorizes the named proxies to vote your shares in the same manner as if you had executed a proxy card. 3. Vote by Mail – If you do not have access to a touch-tone telephone or to the Internet, please sign, date and return the proxy card in the envelope provided, or mail to: Genesco Inc., c/o First Coast Results, Inc., 200 Business Park Circle, Suite 112, Saint Augustine, FL 32095. TO AUTHORIZE A PROXY TO VOTE BY MAIL PLEASE DETACH WHITE PROXY CARD HERE AND SIGN, DATE AND RETURN IN THE POSTAGE–PAID ENVELOPE PROVIDED Please mark your vote as indicated in this example THE BOARD OF DIRECTORS RECOMMENDS YOU VOTE “FOR” ONLY THE NINE (9) COMPANY NOMINEES LISTED IN PROPOSAL 1 AND “FOR” PROPOSALS 2, 3 AND 4. 1. Election of Directors - YOU MAY VOTE “FOR” NO MORE THAN NINE (9) NOMINEES. You may mark “FOR” with respect to up to nine (9) nominees in total. If you mark “FOR” with respect to fewer than nine (9) nominees, your shares will be voted “FOR” those nominees you have so marked. If you mark “FOR” more than nine (9) nominees, your vote on Proposal 1 regarding election of directors will be invalid and will not be counted. If you sign and return your proxy card and do not specify how you want your shares to be voted, your shares will be voted “FOR” each of the Company nominees only. The Board of Directors recommends that you vote FOR ONLY the following nine (9) Company nominees: FOR WITHHOLD 1a. Joanna Barsh 1b. Matthew M. Bilunas 1c. Carolyn Bojanowski 1d. John F. Lambros 1e. Thurgood Marshall, Jr. 1f. Angel R. Martinez 1g. Mary E. Meixelsperger 1h. Gregory A. Sandfort 1i. Mimi E. Vaughn Bradley Radoff Nominees Opposed by the Company: FOR WITHHOLD 1j. Westervelt T. Ballard, Jr. 1k. Paula J. Poskon The Board recommends that you vote FOR each of the following proposals. 2. Advisory vote on compensation of our Named Executive Officers. 3. Approve the Genesco Inc. Fourth Amended and Restated 2020 Equity Incentive Plan. 4. Ratification of the Appointment of Deloitte &amp; Touche LLP. FOR AGAINST ABSTAIN FOR AGAINST ABSTAIN FOR AGAINST ABSTAIN Dated: , 2026 Signature Title Signature (if held jointly) NOTE: Please sign exactly as your name(s) appear(s) on stock certificates or on the label affixed hereto. When signing as attorney, executor, administrator or other fiduciary, please give full title as such. Joint owners must each sign personally. If a corporation or partnership, please sign in full corporate or partnership name by an authorized officer and give full title as</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65158</Words>
  <Characters>347059</Characters>
  <CharactersWithSpaces>414128</CharactersWithSpaces>
  <Paragraphs>7496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