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62894ddefa14a.htm"/>
      <w:bookmarkStart w:id="1" w:name="ksd862894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Pursuant to Section 14(a) of the </w:t>
      </w:r>
    </w:p>
    <w:p>
      <w:pPr>
        <w:pStyle w:val="TextBody"/>
        <w:bidi w:val="0"/>
        <w:spacing w:before="0" w:after="0"/>
        <w:jc w:val="center"/>
        <w:rPr>
          <w:rFonts w:ascii="Times New Roman" w:hAnsi="Times New Roman"/>
          <w:b/>
          <w:sz w:val="20"/>
        </w:rPr>
      </w:pPr>
      <w:r>
        <w:rPr>
          <w:rFonts w:ascii="Times New Roman" w:hAnsi="Times New Roman"/>
          <w:b/>
          <w:sz w:val="20"/>
        </w:rPr>
        <w:t xml:space="preserve">Securities Exchange Act of 1934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No. ____)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36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240" w:after="0"/>
        <w:jc w:val="left"/>
        <w:rPr/>
      </w:pPr>
      <w:r>
        <w:rPr/>
        <w:t>☐  </w:t>
      </w:r>
      <w:r>
        <w:rPr>
          <w:rFonts w:ascii="Times New Roman" w:hAnsi="Times New Roman"/>
          <w:sz w:val="20"/>
        </w:rPr>
        <w:t xml:space="preserve">Preliminary Proxy Statement </w:t>
      </w:r>
    </w:p>
    <w:p>
      <w:pPr>
        <w:pStyle w:val="TextBody"/>
        <w:bidi w:val="0"/>
        <w:spacing w:before="240" w:after="0"/>
        <w:jc w:val="left"/>
        <w:rPr/>
      </w:pPr>
      <w:r>
        <w:rPr/>
        <w:t>☐  </w:t>
      </w:r>
      <w:r>
        <w:rPr>
          <w:rFonts w:ascii="Times New Roman" w:hAnsi="Times New Roman"/>
          <w:sz w:val="20"/>
        </w:rPr>
        <w:t xml:space="preserve">Confidential, for Use of the Commission Only (as permitted by Rule 14a-6(e)(2)) </w:t>
      </w:r>
    </w:p>
    <w:p>
      <w:pPr>
        <w:pStyle w:val="TextBody"/>
        <w:bidi w:val="0"/>
        <w:spacing w:before="240" w:after="0"/>
        <w:jc w:val="left"/>
        <w:rPr/>
      </w:pPr>
      <w:r>
        <w:rPr/>
        <w:t>☐  </w:t>
      </w:r>
      <w:r>
        <w:rPr>
          <w:rFonts w:ascii="Times New Roman" w:hAnsi="Times New Roman"/>
          <w:sz w:val="20"/>
        </w:rPr>
        <w:t xml:space="preserve">Definitive Proxy Statement </w:t>
      </w:r>
    </w:p>
    <w:p>
      <w:pPr>
        <w:pStyle w:val="TextBody"/>
        <w:bidi w:val="0"/>
        <w:spacing w:before="240" w:after="0"/>
        <w:jc w:val="left"/>
        <w:rPr/>
      </w:pPr>
      <w:r>
        <w:rPr/>
        <w:t>☒  </w:t>
      </w:r>
      <w:r>
        <w:rPr>
          <w:rFonts w:ascii="Times New Roman" w:hAnsi="Times New Roman"/>
          <w:sz w:val="20"/>
        </w:rPr>
        <w:t xml:space="preserve">Definitive Additional Materials </w:t>
      </w:r>
    </w:p>
    <w:p>
      <w:pPr>
        <w:pStyle w:val="TextBody"/>
        <w:bidi w:val="0"/>
        <w:spacing w:before="240" w:after="0"/>
        <w:jc w:val="left"/>
        <w:rPr/>
      </w:pPr>
      <w:r>
        <w:rPr/>
        <w:t>☐  </w:t>
      </w:r>
      <w:r>
        <w:rPr>
          <w:rFonts w:ascii="Times New Roman" w:hAnsi="Times New Roman"/>
          <w:sz w:val="20"/>
        </w:rPr>
        <w:t xml:space="preserve">Soliciting Material under §240.14a-12 </w:t>
      </w:r>
    </w:p>
    <w:p>
      <w:pPr>
        <w:pStyle w:val="TextBody"/>
        <w:bidi w:val="0"/>
        <w:spacing w:before="240" w:after="0"/>
        <w:jc w:val="center"/>
        <w:rPr>
          <w:rFonts w:ascii="Times New Roman" w:hAnsi="Times New Roman"/>
          <w:b/>
          <w:sz w:val="36"/>
        </w:rPr>
      </w:pPr>
      <w:r>
        <w:rPr>
          <w:rFonts w:ascii="Times New Roman" w:hAnsi="Times New Roman"/>
          <w:b/>
          <w:sz w:val="36"/>
        </w:rPr>
        <w:t xml:space="preserve">Genesco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240" w:after="0"/>
        <w:jc w:val="left"/>
        <w:rPr/>
      </w:pPr>
      <w:r>
        <w:rPr/>
        <w:t>☒  </w:t>
      </w:r>
      <w:r>
        <w:rPr>
          <w:rFonts w:ascii="Times New Roman" w:hAnsi="Times New Roman"/>
          <w:sz w:val="20"/>
        </w:rPr>
        <w:t xml:space="preserve">No fee required. </w:t>
      </w:r>
    </w:p>
    <w:p>
      <w:pPr>
        <w:pStyle w:val="TextBody"/>
        <w:bidi w:val="0"/>
        <w:spacing w:before="240" w:after="0"/>
        <w:jc w:val="left"/>
        <w:rPr/>
      </w:pPr>
      <w:r>
        <w:rPr/>
        <w:t>☐  </w:t>
      </w:r>
      <w:r>
        <w:rPr>
          <w:rFonts w:ascii="Times New Roman" w:hAnsi="Times New Roman"/>
          <w:sz w:val="20"/>
        </w:rPr>
        <w:t xml:space="preserve">Fee paid previously with preliminary materials. </w:t>
      </w:r>
    </w:p>
    <w:p>
      <w:pPr>
        <w:pStyle w:val="TextBody"/>
        <w:bidi w:val="0"/>
        <w:spacing w:before="240" w:after="0"/>
        <w:jc w:val="left"/>
        <w:rPr/>
      </w:pPr>
      <w:r>
        <w:rPr/>
        <w:t>☐  </w:t>
      </w:r>
      <w:r>
        <w:rPr>
          <w:rFonts w:ascii="Times New Roman" w:hAnsi="Times New Roman"/>
          <w:sz w:val="20"/>
        </w:rPr>
        <w:t xml:space="preserve">Fee computed on table in exhibit required by Item 25(b) per Exchange Act Rules 14a-6(i)(1) and 0-11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Arial" w:hAnsi="Arial"/>
          <w:i/>
          <w:sz w:val="20"/>
        </w:rPr>
      </w:pPr>
      <w:r>
        <w:rPr>
          <w:rFonts w:ascii="Arial" w:hAnsi="Arial"/>
          <w:i/>
          <w:sz w:val="20"/>
        </w:rPr>
        <w:t xml:space="preserve">The Company sent the following communication to its employees.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want to share an important update as we approach our Annual Meeting on July 21. </w:t>
      </w:r>
    </w:p>
    <w:p>
      <w:pPr>
        <w:pStyle w:val="TextBody"/>
        <w:bidi w:val="0"/>
        <w:spacing w:before="240" w:after="0"/>
        <w:jc w:val="left"/>
        <w:rPr>
          <w:rFonts w:ascii="Times New Roman" w:hAnsi="Times New Roman"/>
          <w:sz w:val="20"/>
        </w:rPr>
      </w:pPr>
      <w:r>
        <w:rPr>
          <w:rFonts w:ascii="Times New Roman" w:hAnsi="Times New Roman"/>
          <w:sz w:val="20"/>
        </w:rPr>
        <w:t xml:space="preserve">As you likely know, one of our shareholders, Bradley Radoff, has nominated two candidates to stand for election to our Board in opposition to Genesco’s nine director nominees. </w:t>
      </w:r>
    </w:p>
    <w:p>
      <w:pPr>
        <w:pStyle w:val="TextBody"/>
        <w:bidi w:val="0"/>
        <w:spacing w:before="240" w:after="0"/>
        <w:jc w:val="left"/>
        <w:rPr>
          <w:rFonts w:ascii="Times New Roman" w:hAnsi="Times New Roman"/>
          <w:sz w:val="20"/>
        </w:rPr>
      </w:pPr>
      <w:r>
        <w:rPr>
          <w:rFonts w:ascii="Times New Roman" w:hAnsi="Times New Roman"/>
          <w:sz w:val="20"/>
        </w:rPr>
        <w:t xml:space="preserve">Earlier this week, Institutional Shareholder Services (ISS), the leading independent proxy advisory firm, recommended that Genesco shareholders vote </w:t>
      </w:r>
      <w:r>
        <w:rPr>
          <w:rFonts w:ascii="Times New Roman" w:hAnsi="Times New Roman"/>
          <w:b/>
          <w:sz w:val="20"/>
        </w:rPr>
        <w:t>FOR all nine</w:t>
      </w:r>
      <w:r>
        <w:rPr>
          <w:rFonts w:ascii="Times New Roman" w:hAnsi="Times New Roman"/>
          <w:sz w:val="20"/>
        </w:rPr>
        <w:t xml:space="preserve"> of Genesco’s director nominees. ISS concluded that there was no compelling case made for change and that our company has good momentum and the right board. We are pleased that their report recognizes the Company’s strategic progress, operational improvements and performance, underscoring the progress we’ve made together. </w:t>
      </w:r>
    </w:p>
    <w:p>
      <w:pPr>
        <w:pStyle w:val="TextBody"/>
        <w:bidi w:val="0"/>
        <w:spacing w:before="240" w:after="0"/>
        <w:jc w:val="left"/>
        <w:rPr>
          <w:rFonts w:ascii="Times New Roman" w:hAnsi="Times New Roman"/>
          <w:sz w:val="20"/>
        </w:rPr>
      </w:pPr>
      <w:r>
        <w:rPr>
          <w:rFonts w:ascii="Times New Roman" w:hAnsi="Times New Roman"/>
          <w:sz w:val="20"/>
        </w:rPr>
        <w:t xml:space="preserve">In terms of what this means to you, it’s business as usual. A small team is managing the proxy process so the rest of the organization can stay focused on serving our customers, delivering our Plan and building on our momentum. Your hard work and dedication demonstrated every day is what drives our success and that remains our priority. </w:t>
      </w:r>
    </w:p>
    <w:p>
      <w:pPr>
        <w:pStyle w:val="TextBody"/>
        <w:bidi w:val="0"/>
        <w:spacing w:before="240" w:after="0"/>
        <w:jc w:val="left"/>
        <w:rPr>
          <w:rFonts w:ascii="Times New Roman" w:hAnsi="Times New Roman"/>
          <w:sz w:val="20"/>
        </w:rPr>
      </w:pPr>
      <w:r>
        <w:rPr>
          <w:rFonts w:ascii="Times New Roman" w:hAnsi="Times New Roman"/>
          <w:sz w:val="20"/>
        </w:rPr>
        <w:t xml:space="preserve">As a reminder, if you are a Genesco shareholder, your vote is important. Our Board unanimously recommends that shareholders vote </w:t>
      </w:r>
      <w:r>
        <w:rPr>
          <w:rFonts w:ascii="Times New Roman" w:hAnsi="Times New Roman"/>
          <w:b/>
          <w:sz w:val="20"/>
        </w:rPr>
        <w:t>FOR ONLY</w:t>
      </w:r>
      <w:r>
        <w:rPr>
          <w:rFonts w:ascii="Times New Roman" w:hAnsi="Times New Roman"/>
          <w:sz w:val="20"/>
        </w:rPr>
        <w:t xml:space="preserve"> Genesco’s nine director nominees on the </w:t>
      </w:r>
      <w:r>
        <w:rPr>
          <w:rFonts w:ascii="Times New Roman" w:hAnsi="Times New Roman"/>
          <w:b/>
          <w:sz w:val="20"/>
        </w:rPr>
        <w:t>WHITE</w:t>
      </w:r>
      <w:r>
        <w:rPr>
          <w:rFonts w:ascii="Times New Roman" w:hAnsi="Times New Roman"/>
          <w:sz w:val="20"/>
        </w:rPr>
        <w:t xml:space="preserve"> proxy card and discard any gold proxy card you may receive. If you need assistance voting your shares, please contact our proxy solicitor, Innisfree M&amp;A, at (877) 750-2689 (U.S. and Canada) or +1 (412) 232-3651 (international). For resources on the proxy vote, please visit </w:t>
      </w:r>
      <w:r>
        <w:rPr>
          <w:rFonts w:ascii="Times New Roman" w:hAnsi="Times New Roman"/>
          <w:sz w:val="20"/>
          <w:u w:val="single"/>
        </w:rPr>
        <w:t>www.VoteGenesco.com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Thank you for your ongoing commitment and for all you do for Genesco. </w:t>
      </w:r>
    </w:p>
    <w:p>
      <w:pPr>
        <w:pStyle w:val="TextBody"/>
        <w:bidi w:val="0"/>
        <w:spacing w:before="240" w:after="0"/>
        <w:jc w:val="left"/>
        <w:rPr>
          <w:rFonts w:ascii="Times New Roman" w:hAnsi="Times New Roman"/>
          <w:sz w:val="20"/>
        </w:rPr>
      </w:pPr>
      <w:r>
        <w:rPr>
          <w:rFonts w:ascii="Times New Roman" w:hAnsi="Times New Roman"/>
          <w:sz w:val="20"/>
        </w:rPr>
        <w:t xml:space="preserve">Mimi E. Vaughn </w:t>
      </w:r>
    </w:p>
    <w:p>
      <w:pPr>
        <w:pStyle w:val="TextBody"/>
        <w:bidi w:val="0"/>
        <w:spacing w:before="0" w:after="0"/>
        <w:jc w:val="left"/>
        <w:rPr>
          <w:rFonts w:ascii="Times New Roman" w:hAnsi="Times New Roman"/>
          <w:sz w:val="20"/>
        </w:rPr>
      </w:pPr>
      <w:r>
        <w:rPr>
          <w:rFonts w:ascii="Times New Roman" w:hAnsi="Times New Roman"/>
          <w:sz w:val="20"/>
        </w:rPr>
        <w:t xml:space="preserve">Board Chair, President and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Genesco Inc.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413</Words>
  <Characters>2218</Characters>
  <CharactersWithSpaces>2653</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