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8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1 Investments,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60" w:type="dxa"/>
            <w:vAlign w:val="bottom"/>
            <w:tcBorders>
              <w:top w:val="single" w:sz="8" w:color="0000EE"/>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05/16/2025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GENESCO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GCO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80"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100 CARR 115</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1900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RINCON   PR</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00677</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0"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1,097,850</w:t>
            </w:r>
          </w:p>
        </w:tc>
        <w:tc>
          <w:tcPr>
            <w:tcW w:w="90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w w:val="89"/>
              </w:rPr>
              <w:t>I</w:t>
            </w:r>
          </w:p>
        </w:tc>
        <w:tc>
          <w:tcPr>
            <w:tcW w:w="6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w w:val="98"/>
              </w:rPr>
              <w:t>See Footnotes</w:t>
            </w:r>
            <w:r>
              <w:rPr>
                <w:rFonts w:ascii="Times New Roman" w:cs="Times New Roman" w:eastAsia="Times New Roman" w:hAnsi="Times New Roman"/>
                <w:sz w:val="25"/>
                <w:szCs w:val="25"/>
                <w:color w:val="008000"/>
                <w:w w:val="98"/>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4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5"/>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5720" w:type="dxa"/>
            <w:vAlign w:val="bottom"/>
            <w:gridSpan w:val="6"/>
          </w:tcPr>
          <w:p>
            <w:pPr>
              <w:ind w:left="34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40" w:type="dxa"/>
            <w:vAlign w:val="bottom"/>
            <w:tcBorders>
              <w:bottom w:val="single" w:sz="8" w:color="2C2C2C"/>
            </w:tcBorders>
            <w:gridSpan w:val="2"/>
          </w:tcPr>
          <w:p>
            <w:pPr>
              <w:spacing w:after="0"/>
              <w:rPr>
                <w:sz w:val="3"/>
                <w:szCs w:val="3"/>
                <w:color w:val="auto"/>
              </w:rPr>
            </w:pPr>
          </w:p>
        </w:tc>
        <w:tc>
          <w:tcPr>
            <w:tcW w:w="19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720" w:type="dxa"/>
            <w:vAlign w:val="bottom"/>
            <w:gridSpan w:val="2"/>
          </w:tcPr>
          <w:p>
            <w:pPr>
              <w:ind w:left="10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10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Cash-Settled Total Return</w:t>
            </w:r>
          </w:p>
        </w:tc>
        <w:tc>
          <w:tcPr>
            <w:tcW w:w="14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color w:val="008000"/>
              </w:rPr>
              <w:t>(2)</w:t>
            </w:r>
          </w:p>
        </w:tc>
        <w:tc>
          <w:tcPr>
            <w:tcW w:w="96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w w:val="97"/>
              </w:rPr>
              <w:t>02/14/2028</w:t>
            </w:r>
            <w:r>
              <w:rPr>
                <w:rFonts w:ascii="Times New Roman" w:cs="Times New Roman" w:eastAsia="Times New Roman" w:hAnsi="Times New Roman"/>
                <w:sz w:val="25"/>
                <w:szCs w:val="25"/>
                <w:color w:val="008000"/>
                <w:w w:val="97"/>
                <w:vertAlign w:val="superscript"/>
              </w:rPr>
              <w:t>(3)</w:t>
            </w:r>
          </w:p>
        </w:tc>
        <w:tc>
          <w:tcPr>
            <w:tcW w:w="18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1,262,109</w:t>
            </w:r>
          </w:p>
        </w:tc>
        <w:tc>
          <w:tcPr>
            <w:tcW w:w="6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0000FF"/>
              </w:rPr>
              <w:t>See Footnotes</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Swaps</w:t>
            </w:r>
            <w:r>
              <w:rPr>
                <w:rFonts w:ascii="Times New Roman" w:cs="Times New Roman" w:eastAsia="Times New Roman" w:hAnsi="Times New Roman"/>
                <w:sz w:val="25"/>
                <w:szCs w:val="25"/>
                <w:color w:val="008000"/>
                <w:vertAlign w:val="superscript"/>
              </w:rPr>
              <w:t>(2)</w:t>
            </w:r>
          </w:p>
        </w:tc>
        <w:tc>
          <w:tcPr>
            <w:tcW w:w="142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Securities reported herein are held for the benefit of PLP Funds Master Fund LP, a private investment vehicle for which Pleasant Lake Partners LLC ("PLP") serves as investment adviser. Fund 1 Investments, LLC serves as managing member of PLP. Jonathan Lennon serves as managing member of Fund 1 Investments, LLC. Each of the Reporting Persons disclaims beneficial ownership of the shares reported herein except to the extent of its or his pecuniary interest therein.</w:t>
      </w:r>
    </w:p>
    <w:p>
      <w:pPr>
        <w:spacing w:after="0" w:line="29" w:lineRule="exact"/>
        <w:rPr>
          <w:rFonts w:ascii="Times New Roman" w:cs="Times New Roman" w:eastAsia="Times New Roman" w:hAnsi="Times New Roman"/>
          <w:sz w:val="15"/>
          <w:szCs w:val="15"/>
          <w:color w:val="008000"/>
        </w:rPr>
      </w:pPr>
    </w:p>
    <w:p>
      <w:pPr>
        <w:ind w:left="40" w:right="10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previously entered into certain cash-settled total return swap agreements with an unaffiliated third party financial institution, which provide the Reporting Persons with economic exposure to an aggregate of 1,262,109 notional shares of common stock for prices ranging from $17.2332 to $40.8900 per share. The swap agreements provide the Reporting Persons with economic results that are comparable to the economic results of ownership but do not provide the Reporting Persons with the power to vote or direct the voting or dispose of or direct the disposition of the shares of common stock that are the subject of the swap agreements (the "Subject Shares"). Each of the Reporting Persons disclaims beneficial ownership of the Subject Shares except to the extent of its or his pecuniary interest therein.</w:t>
      </w:r>
    </w:p>
    <w:p>
      <w:pPr>
        <w:spacing w:after="0" w:line="33" w:lineRule="exact"/>
        <w:rPr>
          <w:rFonts w:ascii="Times New Roman" w:cs="Times New Roman" w:eastAsia="Times New Roman" w:hAnsi="Times New Roman"/>
          <w:sz w:val="15"/>
          <w:szCs w:val="15"/>
          <w:color w:val="008000"/>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expiration date of the swap agreements will be automatically extended for successive 12 month periods unless one party provides written notice to the other party, at least 30 calendar days prior to the first extension and at least 15 calendar days prior to any subsequent extension, not to so extend the expiration date.</w:t>
      </w:r>
    </w:p>
    <w:p>
      <w:pPr>
        <w:sectPr>
          <w:pgSz w:w="11900" w:h="16880" w:orient="portrait"/>
          <w:cols w:equalWidth="0" w:num="1">
            <w:col w:w="10940"/>
          </w:cols>
          <w:pgMar w:left="480" w:top="230" w:right="479" w:bottom="0" w:gutter="0" w:footer="0" w:header="0"/>
          <w:type w:val="continuous"/>
        </w:sectPr>
      </w:pPr>
    </w:p>
    <w:p>
      <w:pPr>
        <w:spacing w:after="0" w:line="4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Fund 1 Investments,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563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LLC by: Benjamin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801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Cable, Chief Operating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525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496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Pleasant Lake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27635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LLC by: Fund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020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200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Investments, LLC,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0737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3347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13347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Benjamin C. Cable, Chief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833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8138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PLP Funds Master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699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8"/>
          <w:szCs w:val="18"/>
          <w:color w:val="0000FF"/>
        </w:rPr>
        <w:t>Fund LP, by Pleasant Lake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32461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Partners LLC,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4963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84963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Investment Adviser,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1544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15443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8"/>
          <w:szCs w:val="18"/>
          <w:color w:val="0000FF"/>
        </w:rPr>
        <w:t>Fund 1 Investments,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-5715</wp:posOffset>
            </wp:positionV>
            <wp:extent cx="130429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304290" cy="9525"/>
                    </a:xfrm>
                    <a:prstGeom prst="rect">
                      <a:avLst/>
                    </a:prstGeom>
                    <a:noFill/>
                  </pic:spPr>
                </pic:pic>
              </a:graphicData>
            </a:graphic>
          </wp:anchor>
        </w:drawing>
      </w:r>
    </w:p>
    <w:p>
      <w:pPr>
        <w:spacing w:after="0" w:line="1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its Managing Member,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8143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Benjamin C. Cable, Chief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28333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Operating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813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80" w:orient="portrait"/>
          <w:cols w:equalWidth="0" w:num="2">
            <w:col w:w="8660" w:space="100"/>
            <w:col w:w="2180"/>
          </w:cols>
          <w:pgMar w:left="480" w:top="230"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6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10" Type="http://schemas.openxmlformats.org/officeDocument/2006/relationships/hyperlink" Target="http://www.sec.gov/cgi-bin/browse-edgar?action=getcompany&amp;CIK=0001959730" TargetMode="External"/><Relationship Id="rId11" Type="http://schemas.openxmlformats.org/officeDocument/2006/relationships/hyperlink" Target="http://www.sec.gov/cgi-bin/browse-edgar?action=getcompany&amp;CIK=0000018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2025-05-27T16:33:26Z</dcterms:created>
  <dcterms:modified xsi:type="dcterms:W3CDTF">2025-05-27T16:33:26Z</dcterms:modified>
</cp:coreProperties>
</file>