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spacing w:after="0" w:line="103" w:lineRule="exact"/>
        <w:rPr>
          <w:sz w:val="24"/>
          <w:szCs w:val="24"/>
          <w:color w:val="auto"/>
        </w:rPr>
      </w:pPr>
    </w:p>
    <w:p>
      <w:pPr>
        <w:ind w:left="960" w:right="660" w:hanging="439"/>
        <w:spacing w:after="0" w:line="286" w:lineRule="auto"/>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 Ended May 2, 2026</w:t>
      </w:r>
    </w:p>
    <w:p>
      <w:pPr>
        <w:ind w:left="960" w:hanging="439"/>
        <w:spacing w:after="0" w:line="202" w:lineRule="auto"/>
        <w:tabs>
          <w:tab w:leader="none" w:pos="960" w:val="left"/>
        </w:tabs>
        <w:numPr>
          <w:ilvl w:val="0"/>
          <w:numId w:val="2"/>
        </w:numPr>
        <w:rPr>
          <w:rFonts w:ascii="MS PGothic" w:cs="MS PGothic" w:eastAsia="MS PGothic" w:hAnsi="MS PGothic"/>
          <w:sz w:val="8"/>
          <w:szCs w:val="8"/>
          <w:color w:val="auto"/>
        </w:rPr>
      </w:pPr>
      <w:r>
        <w:rPr>
          <w:rFonts w:ascii="Times New Roman" w:cs="Times New Roman" w:eastAsia="Times New Roman" w:hAnsi="Times New Roman"/>
          <w:sz w:val="8"/>
          <w:szCs w:val="8"/>
          <w:b w:val="1"/>
          <w:bCs w:val="1"/>
          <w:color w:val="auto"/>
        </w:rPr>
        <w:t>TRANSITION REPORT PURSUANT TO SECTION 13 OR 15(d) OF THE SECURITIES EXCHANGE ACT OF 1934 For</w:t>
      </w:r>
    </w:p>
    <w:p>
      <w:pPr>
        <w:spacing w:after="0" w:line="199" w:lineRule="exact"/>
        <w:rPr>
          <w:sz w:val="24"/>
          <w:szCs w:val="24"/>
          <w:color w:val="auto"/>
        </w:rPr>
      </w:pPr>
    </w:p>
    <w:p>
      <w:pPr>
        <w:ind w:left="960"/>
        <w:spacing w:after="0"/>
        <w:tabs>
          <w:tab w:leader="none" w:pos="3560" w:val="left"/>
        </w:tabs>
        <w:rPr>
          <w:sz w:val="20"/>
          <w:szCs w:val="20"/>
          <w:color w:val="auto"/>
        </w:rPr>
      </w:pPr>
      <w:r>
        <w:rPr>
          <w:rFonts w:ascii="Times New Roman" w:cs="Times New Roman" w:eastAsia="Times New Roman" w:hAnsi="Times New Roman"/>
          <w:sz w:val="18"/>
          <w:szCs w:val="18"/>
          <w:b w:val="1"/>
          <w:bCs w:val="1"/>
          <w:color w:val="auto"/>
        </w:rPr>
        <w:t>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No. 1-3083</w:t>
      </w:r>
    </w:p>
    <w:p>
      <w:pPr>
        <w:spacing w:after="0" w:line="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Genesco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900" w:type="dxa"/>
            <w:vAlign w:val="bottom"/>
          </w:tcPr>
          <w:p>
            <w:pPr>
              <w:spacing w:after="0"/>
              <w:rPr>
                <w:sz w:val="19"/>
                <w:szCs w:val="19"/>
                <w:color w:val="auto"/>
              </w:rPr>
            </w:pPr>
          </w:p>
        </w:tc>
        <w:tc>
          <w:tcPr>
            <w:tcW w:w="3540" w:type="dxa"/>
            <w:vAlign w:val="bottom"/>
          </w:tcPr>
          <w:p>
            <w:pPr>
              <w:jc w:val="center"/>
              <w:ind w:right="2350"/>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62-0211340</w:t>
            </w:r>
          </w:p>
        </w:tc>
      </w:tr>
      <w:tr>
        <w:trPr>
          <w:trHeight w:val="135"/>
        </w:trPr>
        <w:tc>
          <w:tcPr>
            <w:tcW w:w="4440" w:type="dxa"/>
            <w:vAlign w:val="bottom"/>
            <w:gridSpan w:val="2"/>
          </w:tcPr>
          <w:p>
            <w:pPr>
              <w:jc w:val="center"/>
              <w:ind w:right="1450"/>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080" w:type="dxa"/>
            <w:vAlign w:val="bottom"/>
          </w:tcPr>
          <w:p>
            <w:pPr>
              <w:jc w:val="center"/>
              <w:ind w:left="1066"/>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4440" w:type="dxa"/>
            <w:vAlign w:val="bottom"/>
            <w:gridSpan w:val="2"/>
          </w:tcPr>
          <w:p>
            <w:pPr>
              <w:jc w:val="center"/>
              <w:ind w:right="1450"/>
              <w:spacing w:after="0"/>
              <w:rPr>
                <w:sz w:val="20"/>
                <w:szCs w:val="20"/>
                <w:color w:val="auto"/>
              </w:rPr>
            </w:pPr>
            <w:r>
              <w:rPr>
                <w:rFonts w:ascii="Times New Roman" w:cs="Times New Roman" w:eastAsia="Times New Roman" w:hAnsi="Times New Roman"/>
                <w:sz w:val="13"/>
                <w:szCs w:val="13"/>
                <w:color w:val="auto"/>
                <w:w w:val="95"/>
              </w:rPr>
              <w:t>incorporation or organization)</w:t>
            </w:r>
          </w:p>
        </w:tc>
        <w:tc>
          <w:tcPr>
            <w:tcW w:w="2080" w:type="dxa"/>
            <w:vAlign w:val="bottom"/>
          </w:tcPr>
          <w:p>
            <w:pPr>
              <w:jc w:val="center"/>
              <w:ind w:left="1066"/>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318"/>
        </w:trPr>
        <w:tc>
          <w:tcPr>
            <w:tcW w:w="900" w:type="dxa"/>
            <w:vAlign w:val="bottom"/>
          </w:tcPr>
          <w:p>
            <w:pPr>
              <w:spacing w:after="0"/>
              <w:rPr>
                <w:sz w:val="24"/>
                <w:szCs w:val="24"/>
                <w:color w:val="auto"/>
              </w:rPr>
            </w:pPr>
          </w:p>
        </w:tc>
        <w:tc>
          <w:tcPr>
            <w:tcW w:w="35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535 Marriott Drive</w:t>
            </w:r>
          </w:p>
        </w:tc>
        <w:tc>
          <w:tcPr>
            <w:tcW w:w="2080" w:type="dxa"/>
            <w:vAlign w:val="bottom"/>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37214</w:t>
            </w: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Nashville,</w:t>
            </w:r>
          </w:p>
        </w:tc>
        <w:tc>
          <w:tcPr>
            <w:tcW w:w="35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2080" w:type="dxa"/>
            <w:vAlign w:val="bottom"/>
          </w:tcPr>
          <w:p>
            <w:pPr>
              <w:jc w:val="center"/>
              <w:ind w:left="1046"/>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63"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1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367-7000</w:t>
      </w:r>
    </w:p>
    <w:p>
      <w:pPr>
        <w:spacing w:after="0" w:line="1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20"/>
          </w:cols>
          <w:pgMar w:left="320" w:top="1132" w:right="459" w:bottom="1440" w:gutter="0" w:footer="0" w:header="0"/>
        </w:sectPr>
      </w:pPr>
    </w:p>
    <w:p>
      <w:pPr>
        <w:spacing w:after="0" w:line="135" w:lineRule="exact"/>
        <w:rPr>
          <w:sz w:val="24"/>
          <w:szCs w:val="24"/>
          <w:color w:val="auto"/>
        </w:rPr>
      </w:pPr>
    </w:p>
    <w:p>
      <w:pPr>
        <w:jc w:val="center"/>
        <w:ind w:left="16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1660"/>
        <w:spacing w:after="0"/>
        <w:rPr>
          <w:sz w:val="20"/>
          <w:szCs w:val="20"/>
          <w:color w:val="auto"/>
        </w:rPr>
      </w:pPr>
      <w:r>
        <w:rPr>
          <w:rFonts w:ascii="Times New Roman" w:cs="Times New Roman" w:eastAsia="Times New Roman" w:hAnsi="Times New Roman"/>
          <w:sz w:val="17"/>
          <w:szCs w:val="17"/>
          <w:b w:val="1"/>
          <w:bCs w:val="1"/>
          <w:color w:val="auto"/>
        </w:rPr>
        <w:t>Common Stock, $1.00 par value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-1134110</wp:posOffset>
            </wp:positionH>
            <wp:positionV relativeFrom="paragraph">
              <wp:posOffset>160020</wp:posOffset>
            </wp:positionV>
            <wp:extent cx="31375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200" w:lineRule="exact"/>
        <w:rPr>
          <w:sz w:val="24"/>
          <w:szCs w:val="24"/>
          <w:color w:val="auto"/>
        </w:rPr>
      </w:pPr>
    </w:p>
    <w:p>
      <w:pPr>
        <w:sectPr>
          <w:pgSz w:w="11900" w:h="16838" w:orient="portrait"/>
          <w:cols w:equalWidth="0" w:num="3">
            <w:col w:w="4220" w:space="720"/>
            <w:col w:w="1360" w:space="420"/>
            <w:col w:w="4400"/>
          </w:cols>
          <w:pgMar w:left="320" w:top="1132" w:right="459" w:bottom="1440" w:gutter="0" w:footer="0" w:header="0"/>
          <w:type w:val="continuous"/>
        </w:sectPr>
      </w:pPr>
    </w:p>
    <w:p>
      <w:pPr>
        <w:spacing w:after="0" w:line="155"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2"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6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29, 2026, there were 11,106,973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32" w:right="45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054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480" w:type="dxa"/>
            <w:vAlign w:val="bottom"/>
            <w:gridSpan w:val="13"/>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21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Financial Statements:</w:t>
            </w:r>
          </w:p>
        </w:tc>
        <w:tc>
          <w:tcPr>
            <w:tcW w:w="7620" w:type="dxa"/>
            <w:vAlign w:val="bottom"/>
            <w:gridSpan w:val="14"/>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9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 May 2, 2026, January 31, 2026 and May 3, 2025</w:t>
            </w: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 Three Months ended May 2, 2026 and May 3, 2025</w:t>
            </w: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 - Three Months ended May 2, 2026 and May 3, 2025</w:t>
            </w: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00" w:type="dxa"/>
            <w:vAlign w:val="bottom"/>
          </w:tcPr>
          <w:p>
            <w:pPr>
              <w:spacing w:after="0"/>
              <w:rPr>
                <w:sz w:val="17"/>
                <w:szCs w:val="17"/>
                <w:color w:val="auto"/>
              </w:rPr>
            </w:pPr>
          </w:p>
        </w:tc>
        <w:tc>
          <w:tcPr>
            <w:tcW w:w="824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 Three Months ended May 2, 2026 and May 3, 2025</w:t>
            </w:r>
          </w:p>
        </w:tc>
        <w:tc>
          <w:tcPr>
            <w:tcW w:w="1200" w:type="dxa"/>
            <w:vAlign w:val="bottom"/>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3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2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Equity - Three Months ended May 2, 2026 and May 3, 2025</w:t>
            </w:r>
          </w:p>
        </w:tc>
        <w:tc>
          <w:tcPr>
            <w:tcW w:w="2220" w:type="dxa"/>
            <w:vAlign w:val="bottom"/>
            <w:gridSpan w:val="4"/>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00" w:type="dxa"/>
            <w:vAlign w:val="bottom"/>
          </w:tcPr>
          <w:p>
            <w:pPr>
              <w:spacing w:after="0"/>
              <w:rPr>
                <w:sz w:val="17"/>
                <w:szCs w:val="17"/>
                <w:color w:val="auto"/>
              </w:rPr>
            </w:pPr>
          </w:p>
        </w:tc>
        <w:tc>
          <w:tcPr>
            <w:tcW w:w="40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0" w:type="dxa"/>
            <w:vAlign w:val="bottom"/>
            <w:tcBorders>
              <w:bottom w:val="single" w:sz="8" w:color="0000EE"/>
            </w:tcBorders>
          </w:tcPr>
          <w:p>
            <w:pPr>
              <w:spacing w:after="0"/>
              <w:rPr>
                <w:sz w:val="17"/>
                <w:szCs w:val="17"/>
                <w:color w:val="auto"/>
              </w:rPr>
            </w:pPr>
          </w:p>
        </w:tc>
        <w:tc>
          <w:tcPr>
            <w:tcW w:w="5400" w:type="dxa"/>
            <w:vAlign w:val="bottom"/>
            <w:gridSpan w:val="10"/>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700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740" w:type="dxa"/>
            <w:vAlign w:val="bottom"/>
            <w:gridSpan w:val="5"/>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34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20" w:type="dxa"/>
            <w:vAlign w:val="bottom"/>
            <w:tcBorders>
              <w:top w:val="single" w:sz="8" w:color="0000FF"/>
            </w:tcBorders>
            <w:gridSpan w:val="3"/>
          </w:tcPr>
          <w:p>
            <w:pPr>
              <w:spacing w:after="0"/>
              <w:rPr>
                <w:sz w:val="17"/>
                <w:szCs w:val="17"/>
                <w:color w:val="auto"/>
              </w:rPr>
            </w:pPr>
          </w:p>
        </w:tc>
        <w:tc>
          <w:tcPr>
            <w:tcW w:w="4880" w:type="dxa"/>
            <w:vAlign w:val="bottom"/>
            <w:gridSpan w:val="9"/>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9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5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top w:val="single" w:sz="8" w:color="0000FF"/>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17"/>
                <w:szCs w:val="17"/>
                <w:color w:val="auto"/>
              </w:rPr>
            </w:pPr>
          </w:p>
        </w:tc>
        <w:tc>
          <w:tcPr>
            <w:tcW w:w="7680" w:type="dxa"/>
            <w:vAlign w:val="bottom"/>
            <w:gridSpan w:val="15"/>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6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8140" w:type="dxa"/>
            <w:vAlign w:val="bottom"/>
            <w:gridSpan w:val="18"/>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920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5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9"/>
          </w:tcPr>
          <w:p>
            <w:pPr>
              <w:spacing w:after="0"/>
              <w:rPr>
                <w:sz w:val="17"/>
                <w:szCs w:val="17"/>
                <w:color w:val="auto"/>
              </w:rPr>
            </w:pPr>
          </w:p>
        </w:tc>
        <w:tc>
          <w:tcPr>
            <w:tcW w:w="4840" w:type="dxa"/>
            <w:vAlign w:val="bottom"/>
            <w:gridSpan w:val="8"/>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920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7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w:t>
            </w:r>
          </w:p>
        </w:tc>
        <w:tc>
          <w:tcPr>
            <w:tcW w:w="460" w:type="dxa"/>
            <w:vAlign w:val="bottom"/>
            <w:tcBorders>
              <w:top w:val="single" w:sz="8" w:color="0000FF"/>
            </w:tcBorders>
          </w:tcPr>
          <w:p>
            <w:pPr>
              <w:spacing w:after="0"/>
              <w:rPr>
                <w:sz w:val="17"/>
                <w:szCs w:val="17"/>
                <w:color w:val="auto"/>
              </w:rPr>
            </w:pPr>
          </w:p>
        </w:tc>
        <w:tc>
          <w:tcPr>
            <w:tcW w:w="8580" w:type="dxa"/>
            <w:vAlign w:val="bottom"/>
            <w:gridSpan w:val="19"/>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885"/>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gridSpan w:val="14"/>
          </w:tcPr>
          <w:p>
            <w:pPr>
              <w:ind w:left="504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60"/>
        <w:spacing w:after="0"/>
        <w:rPr>
          <w:sz w:val="20"/>
          <w:szCs w:val="20"/>
          <w:color w:val="auto"/>
        </w:rPr>
      </w:pPr>
      <w:r>
        <w:rPr>
          <w:rFonts w:ascii="Times New Roman" w:cs="Times New Roman" w:eastAsia="Times New Roman" w:hAnsi="Times New Roman"/>
          <w:sz w:val="22"/>
          <w:szCs w:val="22"/>
          <w:b w:val="1"/>
          <w:bCs w:val="1"/>
          <w:color w:val="212529"/>
        </w:rPr>
        <w:t>CAUTIONARY NOTICE REGARDING FORWARD-LOOKING STATEMENTS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Quarterly Report on Form 10-Q include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Quarterly Report on Form 10-Q and a number of factors may adversely affect the forward-looking statements and our future results, liquidity, capital resources or prospects. These include, but are not limited to, adjustments to projections reflected in forward-looking statements, including those resulting from weakness in store, e-commerce and shopping mall traffic, restrictions on operations imposed by government entities and/or landlords, changes in public safety and health requirements and limitations on our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our ability to pass on price increases to our customers; the imposition of tariffs (including the timing and amount thereof) on products imported by us or our vendors as well as the ability and costs to move production of products in response to tariffs; the amount and timing of any tariff refunds; our ability to obtain from suppliers products that are in-demand on a timely basis and effectively manage disruptions in product supply or distribution, including disruptions as a result of pandemics or geopolitical events, including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 the products we sell; store closures and effects on the business as a result of civil disturbances; our ability to renew our license agreements; impacts of the ongoing geopolitical conflicts around the world including without limitation, the conflict with Iran; other sources of market weakness in the locations in which we operate; the effectiveness of our omni-channel initiatives; costs associated with shareholder activism;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our ability to realize anticipated cost savings in connection with the restructuring of our information technology functions; amount and timing of share repurchases;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or as the result of the restructuring of our information technology functions; risks that our efforts to integrate AI into our business operations may not be successful and could result in reputational harm and /or liability; changes in tax laws and tax rates and our ability to realize any anticipated tax benefits in both the amount and timeframe anticipated; and the cost and outcome of litigation, investigations, environmental matters and other disputes that involve us. For a full discussion of risk factors, see Part II, Item 1A, "Risk Factors" of this Quarterly Report on Form 10-Q.</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Readers are cautioned not to place undue reliance on forward-looking statements as such statements speak only as of the date they were made and involve risks and uncertainties that could cause actual events or results to differ materially from the events or results described in the forward-looking statements. The most important factors which could cause our actual results to differ from our forward-looking statements are set forth in our description of risk factors in Part I, Item 1A </w:t>
      </w:r>
      <w:r>
        <w:rPr>
          <w:rFonts w:ascii="Times New Roman" w:cs="Times New Roman" w:eastAsia="Times New Roman" w:hAnsi="Times New Roman"/>
          <w:sz w:val="18"/>
          <w:szCs w:val="18"/>
          <w:color w:val="000000"/>
        </w:rPr>
        <w:t>contained in our Annual Report on Form 10-K for the fiscal year ended January 31, 2026</w:t>
      </w:r>
      <w:r>
        <w:rPr>
          <w:rFonts w:ascii="Times New Roman" w:cs="Times New Roman" w:eastAsia="Times New Roman" w:hAnsi="Times New Roman"/>
          <w:sz w:val="18"/>
          <w:szCs w:val="18"/>
          <w:color w:val="212529"/>
        </w:rPr>
        <w:t xml:space="preserve"> which should be read in conjunction with the risk factors in Part II, Item 1A and the forward-looking statements in this Quarterly Report on Form 10-Q. Forward-looking statements speak only as of the date they are made, and we do not undertake any obligation to update any forward-looking statement.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events described in the forward-looking statements might not occur or might occur to a different extent or at a different time than we have described.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As a result, our actual results may differ materially from the results contemplated by these forward-looking statements.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212529"/>
        </w:rPr>
        <w:t xml:space="preserve">We maintain a website at </w:t>
      </w:r>
      <w:r>
        <w:rPr>
          <w:rFonts w:ascii="Times New Roman" w:cs="Times New Roman" w:eastAsia="Times New Roman" w:hAnsi="Times New Roman"/>
          <w:sz w:val="18"/>
          <w:szCs w:val="18"/>
          <w:i w:val="1"/>
          <w:iCs w:val="1"/>
          <w:color w:val="212529"/>
        </w:rPr>
        <w:t>www.genesco.com</w:t>
      </w:r>
      <w:r>
        <w:rPr>
          <w:rFonts w:ascii="Times New Roman" w:cs="Times New Roman" w:eastAsia="Times New Roman" w:hAnsi="Times New Roman"/>
          <w:sz w:val="18"/>
          <w:szCs w:val="18"/>
          <w:color w:val="212529"/>
        </w:rPr>
        <w:t xml:space="preserve"> where investors and other interested parties may obtain, free of charge, press releases and other information as well as gain access to our periodic filings with the Securities and Exchange Commission (“SEC”). The information contained on this website should not be considered to be a part of this or any other report filed with or furnished to the SEC.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p>
      <w:pPr>
        <w:ind w:left="3720"/>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Item 1. Financial Statements (unaudited)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Balance Sheets</w:t>
      </w:r>
    </w:p>
    <w:p>
      <w:pPr>
        <w:jc w:val="center"/>
        <w:spacing w:after="0"/>
        <w:rPr>
          <w:sz w:val="20"/>
          <w:szCs w:val="20"/>
          <w:color w:val="auto"/>
        </w:rPr>
      </w:pPr>
      <w:r>
        <w:rPr>
          <w:rFonts w:ascii="Times New Roman" w:cs="Times New Roman" w:eastAsia="Times New Roman" w:hAnsi="Times New Roman"/>
          <w:sz w:val="22"/>
          <w:szCs w:val="22"/>
          <w:color w:val="auto"/>
        </w:rPr>
        <w:t>(In thousands, except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7"/>
                <w:szCs w:val="17"/>
                <w:b w:val="1"/>
                <w:bCs w:val="1"/>
                <w:color w:val="auto"/>
              </w:rPr>
              <w:t>May 2, 2026</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rPr>
              <w:t>January 31, 2026</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7"/>
                <w:szCs w:val="17"/>
                <w:color w:val="auto"/>
              </w:rPr>
              <w:t>May 3, 2025</w:t>
            </w: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27,122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105,405</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21,748</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 of allowances of $2,202 at May 2, 2026,</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$2,377 at January 31, 2026 and $2,841 at May 3, 2025</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47,694</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39,825</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52,815</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476,853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433,878</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450,829</w:t>
            </w:r>
          </w:p>
        </w:tc>
      </w:tr>
      <w:tr>
        <w:trPr>
          <w:trHeight w:val="216"/>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44,109</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39,408</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107,922</w:t>
            </w:r>
          </w:p>
        </w:tc>
      </w:tr>
      <w:tr>
        <w:trPr>
          <w:trHeight w:val="210"/>
        </w:trPr>
        <w:tc>
          <w:tcPr>
            <w:tcW w:w="5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595,778</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618,516</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633,314</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239,701</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237,656</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236,909</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485,669</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472,815</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472,091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9,475</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9,459</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9,319</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27,536</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27,867</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27,538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249</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5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25,621</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26,416</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25,031</w:t>
            </w:r>
          </w:p>
        </w:tc>
      </w:tr>
      <w:tr>
        <w:trPr>
          <w:trHeight w:val="209"/>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1,384,029</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1,392,978</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1,404,591</w:t>
            </w:r>
          </w:p>
        </w:tc>
      </w:tr>
      <w:tr>
        <w:trPr>
          <w:trHeight w:val="187"/>
        </w:trPr>
        <w:tc>
          <w:tcPr>
            <w:tcW w:w="5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129,033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156,735</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122,166</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 long-term debt</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7,299</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 operating lease liabilities</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115,773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119,216</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126,954</w:t>
            </w:r>
          </w:p>
        </w:tc>
      </w:tr>
      <w:tr>
        <w:trPr>
          <w:trHeight w:val="216"/>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80,054</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100,391</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74,504</w:t>
            </w:r>
          </w:p>
        </w:tc>
      </w:tr>
      <w:tr>
        <w:trPr>
          <w:trHeight w:val="210"/>
        </w:trPr>
        <w:tc>
          <w:tcPr>
            <w:tcW w:w="5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324,860</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376,342</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330,923</w:t>
            </w: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45,346</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3,379</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113,733</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414,604</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398,788</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389,384</w:t>
            </w:r>
          </w:p>
        </w:tc>
      </w:tr>
      <w:tr>
        <w:trPr>
          <w:trHeight w:val="216"/>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46,782</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47,425</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48,319</w:t>
            </w:r>
          </w:p>
        </w:tc>
      </w:tr>
      <w:tr>
        <w:trPr>
          <w:trHeight w:val="209"/>
        </w:trPr>
        <w:tc>
          <w:tcPr>
            <w:tcW w:w="5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831,592</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825,934</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882,359</w:t>
            </w: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835</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835</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equity:</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$1 par value:</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Authorized: 80,000,000 shares</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Issued common stock</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11,592</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11,277</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11,268</w:t>
            </w:r>
          </w:p>
        </w:tc>
      </w:tr>
      <w:tr>
        <w:trPr>
          <w:trHeight w:val="216"/>
        </w:trPr>
        <w:tc>
          <w:tcPr>
            <w:tcW w:w="5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346,389</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343,889</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334,651</w:t>
            </w:r>
          </w:p>
        </w:tc>
      </w:tr>
      <w:tr>
        <w:trPr>
          <w:trHeight w:val="216"/>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1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248,870</w:t>
            </w:r>
          </w:p>
        </w:tc>
        <w:tc>
          <w:tcPr>
            <w:tcW w:w="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265,790</w:t>
            </w:r>
          </w:p>
        </w:tc>
        <w:tc>
          <w:tcPr>
            <w:tcW w:w="3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232,035</w:t>
            </w:r>
          </w:p>
        </w:tc>
      </w:tr>
      <w:tr>
        <w:trPr>
          <w:trHeight w:val="216"/>
        </w:trPr>
        <w:tc>
          <w:tcPr>
            <w:tcW w:w="5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(37,392)</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(36,890)</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(38,700)</w:t>
            </w:r>
          </w:p>
        </w:tc>
      </w:tr>
      <w:tr>
        <w:trPr>
          <w:trHeight w:val="216"/>
        </w:trPr>
        <w:tc>
          <w:tcPr>
            <w:tcW w:w="5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Treasury shares, at cost (488,464 shares)</w:t>
            </w:r>
          </w:p>
        </w:tc>
        <w:tc>
          <w:tcPr>
            <w:tcW w:w="1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(17,857)</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(17,857)</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(17,857)</w:t>
            </w:r>
          </w:p>
        </w:tc>
      </w:tr>
      <w:tr>
        <w:trPr>
          <w:trHeight w:val="210"/>
        </w:trPr>
        <w:tc>
          <w:tcPr>
            <w:tcW w:w="5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552,437</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567,044</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522,232</w:t>
            </w:r>
          </w:p>
        </w:tc>
      </w:tr>
      <w:tr>
        <w:trPr>
          <w:trHeight w:val="209"/>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1,384,029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1,392,978</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1,404,591</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2"/>
          <w:szCs w:val="22"/>
          <w:color w:val="auto"/>
        </w:rPr>
        <w:t>(In thousands, except per share amounts)</w:t>
      </w:r>
    </w:p>
    <w:p>
      <w:pPr>
        <w:spacing w:after="0" w:line="200" w:lineRule="exact"/>
        <w:rPr>
          <w:sz w:val="20"/>
          <w:szCs w:val="20"/>
          <w:color w:val="auto"/>
        </w:rPr>
      </w:pPr>
    </w:p>
    <w:p>
      <w:pPr>
        <w:spacing w:after="0" w:line="21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8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7"/>
                <w:szCs w:val="17"/>
                <w:b w:val="1"/>
                <w:bCs w:val="1"/>
                <w:color w:val="auto"/>
              </w:rPr>
              <w:t>May 2, 2026</w:t>
            </w:r>
          </w:p>
        </w:tc>
        <w:tc>
          <w:tcPr>
            <w:tcW w:w="5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7"/>
                <w:szCs w:val="17"/>
                <w:color w:val="auto"/>
              </w:rPr>
              <w:t>May 3, 2025</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487,025</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473,973</w:t>
            </w:r>
          </w:p>
        </w:tc>
      </w:tr>
      <w:tr>
        <w:trPr>
          <w:trHeight w:val="216"/>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258,106</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252,792</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228,919</w:t>
            </w: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221,181</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8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254,403</w:t>
            </w:r>
          </w:p>
        </w:tc>
        <w:tc>
          <w:tcPr>
            <w:tcW w:w="5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249,035</w:t>
            </w:r>
          </w:p>
        </w:tc>
      </w:tr>
      <w:tr>
        <w:trPr>
          <w:trHeight w:val="216"/>
        </w:trPr>
        <w:tc>
          <w:tcPr>
            <w:tcW w:w="7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impairments and other, net</w:t>
            </w: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(10,107)</w:t>
            </w:r>
          </w:p>
        </w:tc>
        <w:tc>
          <w:tcPr>
            <w:tcW w:w="5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(15,377)</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(28,145)</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237</w:t>
            </w: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265</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1,339</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(15,879)</w:t>
            </w: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(29,664)</w:t>
            </w:r>
          </w:p>
        </w:tc>
      </w:tr>
      <w:tr>
        <w:trPr>
          <w:trHeight w:val="216"/>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(1,073)</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(14,806)</w:t>
            </w: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(21,212)</w:t>
            </w:r>
          </w:p>
        </w:tc>
      </w:tr>
      <w:tr>
        <w:trPr>
          <w:trHeight w:val="216"/>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7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(14,814)</w:t>
            </w:r>
          </w:p>
        </w:tc>
        <w:tc>
          <w:tcPr>
            <w:tcW w:w="5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(21,227)</w:t>
            </w:r>
          </w:p>
        </w:tc>
      </w:tr>
      <w:tr>
        <w:trPr>
          <w:trHeight w:val="196"/>
        </w:trPr>
        <w:tc>
          <w:tcPr>
            <w:tcW w:w="7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6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0.00</w:t>
            </w:r>
          </w:p>
        </w:tc>
        <w:tc>
          <w:tcPr>
            <w:tcW w:w="5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r>
      <w:tr>
        <w:trPr>
          <w:trHeight w:val="209"/>
        </w:trPr>
        <w:tc>
          <w:tcPr>
            <w:tcW w:w="7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7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6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0.00</w:t>
            </w:r>
          </w:p>
        </w:tc>
        <w:tc>
          <w:tcPr>
            <w:tcW w:w="5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r>
      <w:tr>
        <w:trPr>
          <w:trHeight w:val="210"/>
        </w:trPr>
        <w:tc>
          <w:tcPr>
            <w:tcW w:w="7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7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10,428</w:t>
            </w:r>
          </w:p>
        </w:tc>
        <w:tc>
          <w:tcPr>
            <w:tcW w:w="5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10,495</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10,428</w:t>
            </w: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10,495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Comprehensive Loss</w:t>
      </w: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00" w:lineRule="exact"/>
        <w:rPr>
          <w:sz w:val="20"/>
          <w:szCs w:val="20"/>
          <w:color w:val="auto"/>
        </w:rPr>
      </w:pPr>
    </w:p>
    <w:p>
      <w:pPr>
        <w:spacing w:after="0" w:line="21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7"/>
                <w:szCs w:val="17"/>
                <w:b w:val="1"/>
                <w:bCs w:val="1"/>
                <w:color w:val="auto"/>
              </w:rPr>
              <w:t>May 2, 2026</w:t>
            </w:r>
          </w:p>
        </w:tc>
        <w:tc>
          <w:tcPr>
            <w:tcW w:w="5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May 3, 2025</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(14,814)</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(21,227)</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Postretirement liability adjustments</w:t>
            </w: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175</w:t>
            </w: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(677)</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6,615</w:t>
            </w:r>
          </w:p>
        </w:tc>
      </w:tr>
      <w:tr>
        <w:trPr>
          <w:trHeight w:val="209"/>
        </w:trPr>
        <w:tc>
          <w:tcPr>
            <w:tcW w:w="762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(502)</w:t>
            </w:r>
          </w:p>
        </w:tc>
        <w:tc>
          <w:tcPr>
            <w:tcW w:w="5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6,724</w:t>
            </w:r>
          </w:p>
        </w:tc>
      </w:tr>
      <w:tr>
        <w:trPr>
          <w:trHeight w:val="210"/>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(15,316)</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(14,503)</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gridSpan w:val="3"/>
          </w:tcPr>
          <w:p>
            <w:pPr>
              <w:jc w:val="right"/>
              <w:ind w:right="97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96"/>
        </w:trPr>
        <w:tc>
          <w:tcPr>
            <w:tcW w:w="7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May 2, 2026</w:t>
            </w: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May 3, 2025</w:t>
            </w:r>
          </w:p>
        </w:tc>
      </w:tr>
      <w:tr>
        <w:trPr>
          <w:trHeight w:val="19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(14,814)</w:t>
            </w: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(21,227)</w:t>
            </w: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13,247</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13,393</w:t>
            </w:r>
          </w:p>
        </w:tc>
      </w:tr>
      <w:tr>
        <w:trPr>
          <w:trHeight w:val="203"/>
        </w:trPr>
        <w:tc>
          <w:tcPr>
            <w:tcW w:w="7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380" w:type="dxa"/>
            <w:vAlign w:val="bottom"/>
          </w:tcPr>
          <w:p>
            <w:pPr>
              <w:spacing w:after="0"/>
              <w:rPr>
                <w:sz w:val="17"/>
                <w:szCs w:val="17"/>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w:t>
            </w:r>
          </w:p>
        </w:tc>
        <w:tc>
          <w:tcPr>
            <w:tcW w:w="32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172</w:t>
            </w:r>
          </w:p>
        </w:tc>
      </w:tr>
      <w:tr>
        <w:trPr>
          <w:trHeight w:val="203"/>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34</w:t>
            </w:r>
          </w:p>
        </w:tc>
      </w:tr>
      <w:tr>
        <w:trPr>
          <w:trHeight w:val="203"/>
        </w:trPr>
        <w:tc>
          <w:tcPr>
            <w:tcW w:w="7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3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2,814</w:t>
            </w:r>
          </w:p>
        </w:tc>
        <w:tc>
          <w:tcPr>
            <w:tcW w:w="32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2,994</w:t>
            </w:r>
          </w:p>
        </w:tc>
      </w:tr>
      <w:tr>
        <w:trPr>
          <w:trHeight w:val="203"/>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1,035</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359</w:t>
            </w: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Changes in working capital and other assets and liabilities:</w:t>
            </w: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Accounts receivable</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(7,962)</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(3,629)</w:t>
            </w:r>
          </w:p>
        </w:tc>
      </w:tr>
      <w:tr>
        <w:trPr>
          <w:trHeight w:val="203"/>
        </w:trPr>
        <w:tc>
          <w:tcPr>
            <w:tcW w:w="75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Inventories</w:t>
            </w:r>
          </w:p>
        </w:tc>
        <w:tc>
          <w:tcPr>
            <w:tcW w:w="380" w:type="dxa"/>
            <w:vAlign w:val="bottom"/>
          </w:tcPr>
          <w:p>
            <w:pPr>
              <w:spacing w:after="0"/>
              <w:rPr>
                <w:sz w:val="17"/>
                <w:szCs w:val="17"/>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(43,220)</w:t>
            </w: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(20,206)</w:t>
            </w:r>
          </w:p>
        </w:tc>
      </w:tr>
      <w:tr>
        <w:trPr>
          <w:trHeight w:val="203"/>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(4,778)</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(6,682)</w:t>
            </w:r>
          </w:p>
        </w:tc>
      </w:tr>
      <w:tr>
        <w:trPr>
          <w:trHeight w:val="203"/>
        </w:trPr>
        <w:tc>
          <w:tcPr>
            <w:tcW w:w="75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Accounts payable</w:t>
            </w:r>
          </w:p>
        </w:tc>
        <w:tc>
          <w:tcPr>
            <w:tcW w:w="380" w:type="dxa"/>
            <w:vAlign w:val="bottom"/>
          </w:tcPr>
          <w:p>
            <w:pPr>
              <w:spacing w:after="0"/>
              <w:rPr>
                <w:sz w:val="17"/>
                <w:szCs w:val="17"/>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(28,127)</w:t>
            </w: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(47,531)</w:t>
            </w:r>
          </w:p>
        </w:tc>
      </w:tr>
      <w:tr>
        <w:trPr>
          <w:trHeight w:val="203"/>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(20,931)</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(15,186)</w:t>
            </w:r>
          </w:p>
        </w:tc>
      </w:tr>
      <w:tr>
        <w:trPr>
          <w:trHeight w:val="203"/>
        </w:trPr>
        <w:tc>
          <w:tcPr>
            <w:tcW w:w="7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15</w:t>
            </w: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(3,527)</w:t>
            </w:r>
          </w:p>
        </w:tc>
      </w:tr>
      <w:tr>
        <w:trPr>
          <w:trHeight w:val="196"/>
        </w:trPr>
        <w:tc>
          <w:tcPr>
            <w:tcW w:w="7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(102,772)</w:t>
            </w:r>
          </w:p>
        </w:tc>
        <w:tc>
          <w:tcPr>
            <w:tcW w:w="3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(101,036)</w:t>
            </w:r>
          </w:p>
        </w:tc>
      </w:tr>
      <w:tr>
        <w:trPr>
          <w:trHeight w:val="196"/>
        </w:trPr>
        <w:tc>
          <w:tcPr>
            <w:tcW w:w="7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52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(15,416)</w:t>
            </w:r>
          </w:p>
        </w:tc>
        <w:tc>
          <w:tcPr>
            <w:tcW w:w="3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(18,898)</w:t>
            </w:r>
          </w:p>
        </w:tc>
      </w:tr>
      <w:tr>
        <w:trPr>
          <w:trHeight w:val="196"/>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(15,416)</w:t>
            </w: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(18,898)</w:t>
            </w:r>
          </w:p>
        </w:tc>
      </w:tr>
      <w:tr>
        <w:trPr>
          <w:trHeight w:val="19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2"/>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under revolving credit facility</w:t>
            </w:r>
          </w:p>
        </w:tc>
        <w:tc>
          <w:tcPr>
            <w:tcW w:w="3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52,670</w:t>
            </w:r>
          </w:p>
        </w:tc>
        <w:tc>
          <w:tcPr>
            <w:tcW w:w="32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188,805</w:t>
            </w: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on revolving credit facility</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(10,933)</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(68,184)</w:t>
            </w: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repurchased related to share repurchase plan</w:t>
            </w:r>
          </w:p>
        </w:tc>
        <w:tc>
          <w:tcPr>
            <w:tcW w:w="3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(12,566)</w:t>
            </w: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Shares repurchased related to taxes for share-based awards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(2,106)</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(664)</w:t>
            </w: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overdraft balances</w:t>
            </w:r>
          </w:p>
        </w:tc>
        <w:tc>
          <w:tcPr>
            <w:tcW w:w="3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525</w:t>
            </w: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3"/>
        </w:trPr>
        <w:tc>
          <w:tcPr>
            <w:tcW w:w="752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Additions to deferred financing costs</w:t>
            </w:r>
          </w:p>
        </w:tc>
        <w:tc>
          <w:tcPr>
            <w:tcW w:w="3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(140)</w:t>
            </w:r>
          </w:p>
        </w:tc>
        <w:tc>
          <w:tcPr>
            <w:tcW w:w="3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40,016</w:t>
            </w: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107,329</w:t>
            </w:r>
          </w:p>
        </w:tc>
      </w:tr>
      <w:tr>
        <w:trPr>
          <w:trHeight w:val="196"/>
        </w:trPr>
        <w:tc>
          <w:tcPr>
            <w:tcW w:w="7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Effect of foreign exchange rate fluctuations on cash</w:t>
            </w:r>
          </w:p>
        </w:tc>
        <w:tc>
          <w:tcPr>
            <w:tcW w:w="3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(111)</w:t>
            </w:r>
          </w:p>
        </w:tc>
        <w:tc>
          <w:tcPr>
            <w:tcW w:w="3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346</w:t>
            </w:r>
          </w:p>
        </w:tc>
      </w:tr>
      <w:tr>
        <w:trPr>
          <w:trHeight w:val="196"/>
        </w:trPr>
        <w:tc>
          <w:tcPr>
            <w:tcW w:w="7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380" w:type="dxa"/>
            <w:vAlign w:val="bottom"/>
          </w:tcPr>
          <w:p>
            <w:pPr>
              <w:spacing w:after="0"/>
              <w:rPr>
                <w:sz w:val="17"/>
                <w:szCs w:val="17"/>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(78,283)</w:t>
            </w: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(12,259)</w:t>
            </w:r>
          </w:p>
        </w:tc>
      </w:tr>
      <w:tr>
        <w:trPr>
          <w:trHeight w:val="203"/>
        </w:trPr>
        <w:tc>
          <w:tcPr>
            <w:tcW w:w="7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105,405</w:t>
            </w:r>
          </w:p>
        </w:tc>
        <w:tc>
          <w:tcPr>
            <w:tcW w:w="3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34,007</w:t>
            </w:r>
          </w:p>
        </w:tc>
      </w:tr>
      <w:tr>
        <w:trPr>
          <w:trHeight w:val="196"/>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27,122</w:t>
            </w:r>
          </w:p>
        </w:tc>
        <w:tc>
          <w:tcPr>
            <w:tcW w:w="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21,748</w:t>
            </w: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752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Supplemental information:</w:t>
            </w:r>
          </w:p>
        </w:tc>
        <w:tc>
          <w:tcPr>
            <w:tcW w:w="3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paid</w:t>
            </w: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384</w:t>
            </w: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736</w:t>
            </w: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Income taxes paid</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221</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385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28"/>
              <w:spacing w:after="0" w:line="139" w:lineRule="exact"/>
              <w:rPr>
                <w:sz w:val="20"/>
                <w:szCs w:val="20"/>
                <w:color w:val="auto"/>
              </w:rPr>
            </w:pPr>
            <w:r>
              <w:rPr>
                <w:rFonts w:ascii="Times New Roman" w:cs="Times New Roman" w:eastAsia="Times New Roman" w:hAnsi="Times New Roman"/>
                <w:sz w:val="14"/>
                <w:szCs w:val="14"/>
                <w:color w:val="auto"/>
                <w:w w:val="97"/>
              </w:rPr>
              <w:t>Non-</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48"/>
              <w:spacing w:after="0" w:line="139" w:lineRule="exact"/>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180" w:type="dxa"/>
            <w:vAlign w:val="bottom"/>
          </w:tcPr>
          <w:p>
            <w:pPr>
              <w:spacing w:after="0"/>
              <w:rPr>
                <w:sz w:val="12"/>
                <w:szCs w:val="12"/>
                <w:color w:val="auto"/>
              </w:rPr>
            </w:pPr>
          </w:p>
        </w:tc>
        <w:tc>
          <w:tcPr>
            <w:tcW w:w="8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Common</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8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Treasury</w:t>
            </w:r>
          </w:p>
        </w:tc>
        <w:tc>
          <w:tcPr>
            <w:tcW w:w="220" w:type="dxa"/>
            <w:vAlign w:val="bottom"/>
          </w:tcPr>
          <w:p>
            <w:pPr>
              <w:spacing w:after="0"/>
              <w:rPr>
                <w:sz w:val="12"/>
                <w:szCs w:val="12"/>
                <w:color w:val="auto"/>
              </w:rPr>
            </w:pPr>
          </w:p>
        </w:tc>
        <w:tc>
          <w:tcPr>
            <w:tcW w:w="98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w w:val="99"/>
              </w:rPr>
              <w:t>Preferred</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Loss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260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February 1, 2025</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835</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11,773</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331,756</w:t>
            </w:r>
          </w:p>
        </w:tc>
        <w:tc>
          <w:tcPr>
            <w:tcW w:w="2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265,887</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(45,424)</w:t>
            </w:r>
          </w:p>
        </w:tc>
        <w:tc>
          <w:tcPr>
            <w:tcW w:w="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(17,857)</w:t>
            </w: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546,970</w:t>
            </w:r>
          </w:p>
        </w:tc>
        <w:tc>
          <w:tcPr>
            <w:tcW w:w="0" w:type="dxa"/>
            <w:vAlign w:val="bottom"/>
          </w:tcPr>
          <w:p>
            <w:pPr>
              <w:spacing w:after="0"/>
              <w:rPr>
                <w:sz w:val="1"/>
                <w:szCs w:val="1"/>
                <w:color w:val="auto"/>
              </w:rPr>
            </w:pPr>
          </w:p>
        </w:tc>
      </w:tr>
      <w:tr>
        <w:trPr>
          <w:trHeight w:val="142"/>
        </w:trPr>
        <w:tc>
          <w:tcPr>
            <w:tcW w:w="2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(21,227)</w:t>
            </w:r>
          </w:p>
        </w:tc>
        <w:tc>
          <w:tcPr>
            <w:tcW w:w="160" w:type="dxa"/>
            <w:vAlign w:val="bottom"/>
          </w:tcPr>
          <w:p>
            <w:pPr>
              <w:spacing w:after="0"/>
              <w:rPr>
                <w:sz w:val="12"/>
                <w:szCs w:val="12"/>
                <w:color w:val="auto"/>
              </w:rPr>
            </w:pPr>
          </w:p>
        </w:tc>
        <w:tc>
          <w:tcPr>
            <w:tcW w:w="1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(21,227)</w:t>
            </w: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6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6,724</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6,724</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2,994</w:t>
            </w:r>
          </w:p>
        </w:tc>
        <w:tc>
          <w:tcPr>
            <w:tcW w:w="20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2,994</w:t>
            </w: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issuance</w:t>
            </w:r>
          </w:p>
        </w:tc>
        <w:tc>
          <w:tcPr>
            <w:tcW w:w="6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shares withheld for taxes</w:t>
            </w:r>
          </w:p>
        </w:tc>
        <w:tc>
          <w:tcPr>
            <w:tcW w:w="6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8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6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repurchased</w:t>
            </w:r>
          </w:p>
        </w:tc>
        <w:tc>
          <w:tcPr>
            <w:tcW w:w="6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(11,961)</w:t>
            </w: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(12,566)</w:t>
            </w:r>
          </w:p>
        </w:tc>
        <w:tc>
          <w:tcPr>
            <w:tcW w:w="0" w:type="dxa"/>
            <w:vAlign w:val="bottom"/>
          </w:tcPr>
          <w:p>
            <w:pPr>
              <w:spacing w:after="0"/>
              <w:rPr>
                <w:sz w:val="1"/>
                <w:szCs w:val="1"/>
                <w:color w:val="auto"/>
              </w:rPr>
            </w:pPr>
          </w:p>
        </w:tc>
      </w:tr>
      <w:tr>
        <w:trPr>
          <w:trHeight w:val="148"/>
        </w:trPr>
        <w:tc>
          <w:tcPr>
            <w:tcW w:w="26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600" w:type="dxa"/>
            <w:vAlign w:val="bottom"/>
            <w:tcBorders>
              <w:bottom w:val="single" w:sz="8" w:color="auto"/>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Balance May 3, 2025</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835</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11,268</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334,651</w:t>
            </w:r>
          </w:p>
        </w:tc>
        <w:tc>
          <w:tcPr>
            <w:tcW w:w="2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232,035</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(38,700)</w:t>
            </w:r>
          </w:p>
        </w:tc>
        <w:tc>
          <w:tcPr>
            <w:tcW w:w="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(17,857)</w:t>
            </w: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522,232</w:t>
            </w:r>
          </w:p>
        </w:tc>
        <w:tc>
          <w:tcPr>
            <w:tcW w:w="0" w:type="dxa"/>
            <w:vAlign w:val="bottom"/>
          </w:tcPr>
          <w:p>
            <w:pPr>
              <w:spacing w:after="0"/>
              <w:rPr>
                <w:sz w:val="1"/>
                <w:szCs w:val="1"/>
                <w:color w:val="auto"/>
              </w:rPr>
            </w:pPr>
          </w:p>
        </w:tc>
      </w:tr>
      <w:tr>
        <w:trPr>
          <w:trHeight w:val="443"/>
        </w:trPr>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7"/>
              </w:rPr>
              <w:t>Non-</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180" w:type="dxa"/>
            <w:vAlign w:val="bottom"/>
          </w:tcPr>
          <w:p>
            <w:pPr>
              <w:spacing w:after="0"/>
              <w:rPr>
                <w:sz w:val="12"/>
                <w:szCs w:val="12"/>
                <w:color w:val="auto"/>
              </w:rPr>
            </w:pPr>
          </w:p>
        </w:tc>
        <w:tc>
          <w:tcPr>
            <w:tcW w:w="8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Common</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8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Treasury</w:t>
            </w:r>
          </w:p>
        </w:tc>
        <w:tc>
          <w:tcPr>
            <w:tcW w:w="220" w:type="dxa"/>
            <w:vAlign w:val="bottom"/>
          </w:tcPr>
          <w:p>
            <w:pPr>
              <w:spacing w:after="0"/>
              <w:rPr>
                <w:sz w:val="12"/>
                <w:szCs w:val="12"/>
                <w:color w:val="auto"/>
              </w:rPr>
            </w:pPr>
          </w:p>
        </w:tc>
        <w:tc>
          <w:tcPr>
            <w:tcW w:w="98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w w:val="99"/>
              </w:rPr>
              <w:t>Preferred</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Loss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26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January 31, 2026</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835</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11,277</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343,889</w:t>
            </w:r>
          </w:p>
        </w:tc>
        <w:tc>
          <w:tcPr>
            <w:tcW w:w="2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265,790</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(36,890)</w:t>
            </w:r>
          </w:p>
        </w:tc>
        <w:tc>
          <w:tcPr>
            <w:tcW w:w="1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(17,857)</w:t>
            </w:r>
          </w:p>
        </w:tc>
        <w:tc>
          <w:tcPr>
            <w:tcW w:w="2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567,044</w:t>
            </w: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(14,814)</w:t>
            </w: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(14,814)</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6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18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2,814</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2,814</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issuance</w:t>
            </w:r>
          </w:p>
        </w:tc>
        <w:tc>
          <w:tcPr>
            <w:tcW w:w="6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20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shares withheld for taxes</w:t>
            </w:r>
          </w:p>
        </w:tc>
        <w:tc>
          <w:tcPr>
            <w:tcW w:w="6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(2,106)</w:t>
            </w: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(2,106)</w:t>
            </w:r>
          </w:p>
        </w:tc>
        <w:tc>
          <w:tcPr>
            <w:tcW w:w="0" w:type="dxa"/>
            <w:vAlign w:val="bottom"/>
          </w:tcPr>
          <w:p>
            <w:pPr>
              <w:spacing w:after="0"/>
              <w:rPr>
                <w:sz w:val="1"/>
                <w:szCs w:val="1"/>
                <w:color w:val="auto"/>
              </w:rPr>
            </w:pPr>
          </w:p>
        </w:tc>
      </w:tr>
      <w:tr>
        <w:trPr>
          <w:trHeight w:val="148"/>
        </w:trPr>
        <w:tc>
          <w:tcPr>
            <w:tcW w:w="26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60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May 2, 2026</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835</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11,592</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346,389</w:t>
            </w:r>
          </w:p>
        </w:tc>
        <w:tc>
          <w:tcPr>
            <w:tcW w:w="2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248,870</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(37,392)</w:t>
            </w:r>
          </w:p>
        </w:tc>
        <w:tc>
          <w:tcPr>
            <w:tcW w:w="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(17,857)</w:t>
            </w: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552,437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our Consolidated Financial Statements and Notes for Fiscal 2026, which are contained in our Annual Report on Form 10-K as filed with the SEC on March 25, 2026. The Condensed Consolidated Financial Statements and Notes contained in this report are unaudited but reflect all adjustments, including normal recurring adjustments, necessary for a fair presentation of the results for the interim periods of the fiscal year ending January 30, 2027 ("Fiscal 2027") and of the fiscal year ended January 31, 2026 ("Fiscal 2026"), both of which are 52-week fiscal years. All subsidiaries are consolidated in the Condensed Consolidated Financial Statements. All significant intercompany transactions and accounts have been eliminated. The results of operations for any interim period are not necessarily indicative of results for the full year. The Condensed Consolidated Financial Statements and the related Notes have been prepared in accordance with the instructions to Form 10-Q and do not include all of the information and notes required by U.S. Generally Accepted Accounting Principles (“GAAP”) for complete financial statements. The Condensed Consolidated Balance Sheet as of January 31, 2026 has been derived from the audited financial statements at that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Genesco Inc. and its subsidiaries (collectively the "Company", "Genesco," "we", "our", or "us") business includes the sourcing and design, marketing and distribution of footwear, apparel and accessories through retail stores in the U.S., Puerto Rico and Canada primarily under the Journeys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Journeys Kidz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Little Burgundy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Johnston &amp; Murphy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banners and under the Schuh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banner in the United Kingdom (“U.K.”) and the Republic of Ireland (“ROI”); through e-commerce websites including the following: journeys.com, journeyskidz.com, journeys.ca, littleburgundyshoes.com, schuh.co.uk, schuh.ie, schuh.eu, johnstonmurphy.com and nashvilleshoewarehouse.com as well as the Johnston &amp; Murphy catalog. We also source, design, market and distribute footwear, apparel and accessories at wholesale, primarily under our Johnston &amp; Murphy brand, the licensed Dockers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the licensed Wrangler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and other brands that we license for footwear. At May 2, 2026, we operated 1,208 retail stores in the U.S., Puerto Rico, Canada, the U.K. and the ROI.</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three months ended May 2, 2026 and May 3, 2025, we operated four reportable business segments (not including corporate): (i) Journeys Group, comprised of the Journeys, Journeys Kidz and Little Burgundy retail footwear chains and e-commerce operations; (ii) Schuh Group, comprised of the Schuh retail footwear chain and e-commerce operations; (iii) Johnston &amp; Murphy Group, comprised of Johnston &amp; Murphy retail operations, e-commerce operations and wholesale distribution of products under the Johnston &amp; Murphy brand; and (iv) Genesco Brands Group, comprised of the licensed Dockers and Wrangler brands, as well as other brands we license for footwear. During Fiscal 2026, we signed a multi-year licensing agreement with Kontoor Brands, Inc. to design, source, market and distribute footwear under the Wrangler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("Wrangler"). We expect to launch the first Wrangler footwear collection in the Fall of calendar year 2026. The Levi's license expired in May 2026 and the exit of that business is almost complete.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Wholesale costs of distribution are included in selling and administrative expenses on the Condensed Consolidated Statements of Operations in the amount of $2.0 million and $2.7 million for the first quarters of Fiscal 2027 and Fiscal 2026, respectively.</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Retail occupancy costs recorded in selling and administrative expenses were $74.1 million and $73.4 million for the first quarters of Fiscal 2027 and Fiscal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included in selling and administrative expenses were $25.5 million and $24.2 million for the first quarters of Fiscal 2027 and Fiscal 2026,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Vendor reimbursements of cooperative advertising costs recognized as a reduction of selling and administrative expenses were $3.3 million and $3.6 million for the first quarters of Fiscal 2027 and Fiscal 2026, respectively. During the first three months of each of Fiscal 2027 and Fiscal 2026, our cooperative advertising reimbursements received were not in excess of the costs incurred.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continuously monitor and review all current accounting pronouncements and standards from the Financial Accounting Standards Board of U.S. GAAP for applicability to our operations and financial reporting. As of May 2, 2026, there were no other new pronouncements or interpretations, other than those disclosed in our </w:t>
      </w:r>
      <w:r>
        <w:rPr>
          <w:rFonts w:ascii="Times New Roman" w:cs="Times New Roman" w:eastAsia="Times New Roman" w:hAnsi="Times New Roman"/>
          <w:sz w:val="18"/>
          <w:szCs w:val="18"/>
          <w:color w:val="212529"/>
        </w:rPr>
        <w:t>Annual Report on Form 10-K for the fiscal year ended January 31, 2026,</w:t>
      </w:r>
      <w:r>
        <w:rPr>
          <w:rFonts w:ascii="Times New Roman" w:cs="Times New Roman" w:eastAsia="Times New Roman" w:hAnsi="Times New Roman"/>
          <w:sz w:val="18"/>
          <w:szCs w:val="18"/>
          <w:color w:val="auto"/>
        </w:rPr>
        <w:t xml:space="preserve"> that had or were expected to have a significant impact on our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Tax Legislation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July 4, 2025, H.R. 1, a bill to provide for reconciliation pursuant to title II of H. Con. Res. 14, informally known as the One Big Beautiful Bill Act ("OBBBA"), which includes several measures affecting corporations and other business entities, was signed into law. Among these measures, the OBBBA modifies and permanently extends certain expiring provisions of the 2017 Tax Cuts and Jobs Act (“TCJA”), including the restoration of 100% bonus depreciation, which was scheduled to phase out in 2027 under the TCJA. The OBBBA also permits immediate expensing of research and development expenditures previously capitalized under the TCJA and modifies various components of the international tax framework. The OBBBA has multiple effective dates, with some provisions taking effect in 2025 and others phased in through 2027. In accordance with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we recognized effects of the OBBBA during the second quarter of Fiscal 2026 for the provisions enacted at that point in time. For the fiscal year ended January 31, 2026, we had a material decrease in both the current tax liability and the effective income tax rate as a result of the enactment of income tax law changes under the OBBBA and their interaction with our valuation allowance in the United States. Including the impact of the OBBBA tax law changes, we recorded an effective income tax rate of 6.8% in the first three months of Fiscal 2027.</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Journeys Group segment were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Goodwill</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31, 2026</w:t>
            </w:r>
          </w:p>
        </w:tc>
        <w:tc>
          <w:tcPr>
            <w:tcW w:w="5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9,459</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May 2, 2026</w:t>
            </w:r>
          </w:p>
        </w:tc>
        <w:tc>
          <w:tcPr>
            <w:tcW w:w="5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9,475</w:t>
            </w:r>
          </w:p>
        </w:tc>
        <w:tc>
          <w:tcPr>
            <w:tcW w:w="0" w:type="dxa"/>
            <w:vAlign w:val="bottom"/>
          </w:tcPr>
          <w:p>
            <w:pPr>
              <w:spacing w:after="0"/>
              <w:rPr>
                <w:sz w:val="1"/>
                <w:szCs w:val="1"/>
                <w:color w:val="auto"/>
              </w:rPr>
            </w:pPr>
          </w:p>
        </w:tc>
      </w:tr>
      <w:tr>
        <w:trPr>
          <w:trHeight w:val="372"/>
        </w:trPr>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intangibles by major classes were as follows: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8"/>
                <w:szCs w:val="18"/>
                <w:color w:val="auto"/>
              </w:rPr>
              <w:t>Customer Lists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Pr>
          <w:p>
            <w:pPr>
              <w:spacing w:after="0"/>
              <w:rPr>
                <w:sz w:val="14"/>
                <w:szCs w:val="14"/>
                <w:color w:val="auto"/>
              </w:rPr>
            </w:pPr>
          </w:p>
        </w:tc>
        <w:tc>
          <w:tcPr>
            <w:tcW w:w="780" w:type="dxa"/>
            <w:vAlign w:val="bottom"/>
          </w:tcPr>
          <w:p>
            <w:pPr>
              <w:jc w:val="right"/>
              <w:ind w:right="72"/>
              <w:spacing w:after="0" w:line="170" w:lineRule="exact"/>
              <w:rPr>
                <w:sz w:val="20"/>
                <w:szCs w:val="20"/>
                <w:color w:val="auto"/>
              </w:rPr>
            </w:pPr>
            <w:r>
              <w:rPr>
                <w:rFonts w:ascii="Times New Roman" w:cs="Times New Roman" w:eastAsia="Times New Roman" w:hAnsi="Times New Roman"/>
                <w:sz w:val="17"/>
                <w:szCs w:val="17"/>
                <w:b w:val="1"/>
                <w:bCs w:val="1"/>
                <w:color w:val="auto"/>
              </w:rPr>
              <w:t>May 2,</w:t>
            </w:r>
          </w:p>
        </w:tc>
        <w:tc>
          <w:tcPr>
            <w:tcW w:w="320" w:type="dxa"/>
            <w:vAlign w:val="bottom"/>
          </w:tcPr>
          <w:p>
            <w:pPr>
              <w:spacing w:after="0"/>
              <w:rPr>
                <w:sz w:val="14"/>
                <w:szCs w:val="14"/>
                <w:color w:val="auto"/>
              </w:rPr>
            </w:pPr>
          </w:p>
        </w:tc>
        <w:tc>
          <w:tcPr>
            <w:tcW w:w="740" w:type="dxa"/>
            <w:vAlign w:val="bottom"/>
          </w:tcPr>
          <w:p>
            <w:pPr>
              <w:jc w:val="right"/>
              <w:ind w:right="12"/>
              <w:spacing w:after="0" w:line="170" w:lineRule="exact"/>
              <w:rPr>
                <w:sz w:val="20"/>
                <w:szCs w:val="20"/>
                <w:color w:val="auto"/>
              </w:rPr>
            </w:pPr>
            <w:r>
              <w:rPr>
                <w:rFonts w:ascii="Times New Roman" w:cs="Times New Roman" w:eastAsia="Times New Roman" w:hAnsi="Times New Roman"/>
                <w:sz w:val="17"/>
                <w:szCs w:val="17"/>
                <w:color w:val="auto"/>
              </w:rPr>
              <w:t>Jan. 31,</w:t>
            </w:r>
          </w:p>
        </w:tc>
        <w:tc>
          <w:tcPr>
            <w:tcW w:w="260" w:type="dxa"/>
            <w:vAlign w:val="bottom"/>
          </w:tcPr>
          <w:p>
            <w:pPr>
              <w:spacing w:after="0"/>
              <w:rPr>
                <w:sz w:val="14"/>
                <w:szCs w:val="14"/>
                <w:color w:val="auto"/>
              </w:rPr>
            </w:pPr>
          </w:p>
        </w:tc>
        <w:tc>
          <w:tcPr>
            <w:tcW w:w="800" w:type="dxa"/>
            <w:vAlign w:val="bottom"/>
          </w:tcPr>
          <w:p>
            <w:pPr>
              <w:jc w:val="right"/>
              <w:ind w:right="92"/>
              <w:spacing w:after="0" w:line="170" w:lineRule="exact"/>
              <w:rPr>
                <w:sz w:val="20"/>
                <w:szCs w:val="20"/>
                <w:color w:val="auto"/>
              </w:rPr>
            </w:pPr>
            <w:r>
              <w:rPr>
                <w:rFonts w:ascii="Times New Roman" w:cs="Times New Roman" w:eastAsia="Times New Roman" w:hAnsi="Times New Roman"/>
                <w:sz w:val="17"/>
                <w:szCs w:val="17"/>
                <w:b w:val="1"/>
                <w:bCs w:val="1"/>
                <w:color w:val="auto"/>
              </w:rPr>
              <w:t>May 2,</w:t>
            </w:r>
          </w:p>
        </w:tc>
        <w:tc>
          <w:tcPr>
            <w:tcW w:w="300" w:type="dxa"/>
            <w:vAlign w:val="bottom"/>
          </w:tcPr>
          <w:p>
            <w:pPr>
              <w:spacing w:after="0"/>
              <w:rPr>
                <w:sz w:val="14"/>
                <w:szCs w:val="14"/>
                <w:color w:val="auto"/>
              </w:rPr>
            </w:pPr>
          </w:p>
        </w:tc>
        <w:tc>
          <w:tcPr>
            <w:tcW w:w="820" w:type="dxa"/>
            <w:vAlign w:val="bottom"/>
          </w:tcPr>
          <w:p>
            <w:pPr>
              <w:jc w:val="right"/>
              <w:ind w:right="112"/>
              <w:spacing w:after="0" w:line="170" w:lineRule="exact"/>
              <w:rPr>
                <w:sz w:val="20"/>
                <w:szCs w:val="20"/>
                <w:color w:val="auto"/>
              </w:rPr>
            </w:pPr>
            <w:r>
              <w:rPr>
                <w:rFonts w:ascii="Times New Roman" w:cs="Times New Roman" w:eastAsia="Times New Roman" w:hAnsi="Times New Roman"/>
                <w:sz w:val="17"/>
                <w:szCs w:val="17"/>
                <w:color w:val="auto"/>
              </w:rPr>
              <w:t>Jan. 31,</w:t>
            </w:r>
          </w:p>
        </w:tc>
        <w:tc>
          <w:tcPr>
            <w:tcW w:w="300" w:type="dxa"/>
            <w:vAlign w:val="bottom"/>
          </w:tcPr>
          <w:p>
            <w:pPr>
              <w:spacing w:after="0"/>
              <w:rPr>
                <w:sz w:val="14"/>
                <w:szCs w:val="14"/>
                <w:color w:val="auto"/>
              </w:rPr>
            </w:pPr>
          </w:p>
        </w:tc>
        <w:tc>
          <w:tcPr>
            <w:tcW w:w="800" w:type="dxa"/>
            <w:vAlign w:val="bottom"/>
          </w:tcPr>
          <w:p>
            <w:pPr>
              <w:jc w:val="right"/>
              <w:ind w:right="91"/>
              <w:spacing w:after="0" w:line="170" w:lineRule="exact"/>
              <w:rPr>
                <w:sz w:val="20"/>
                <w:szCs w:val="20"/>
                <w:color w:val="auto"/>
              </w:rPr>
            </w:pPr>
            <w:r>
              <w:rPr>
                <w:rFonts w:ascii="Times New Roman" w:cs="Times New Roman" w:eastAsia="Times New Roman" w:hAnsi="Times New Roman"/>
                <w:sz w:val="17"/>
                <w:szCs w:val="17"/>
                <w:b w:val="1"/>
                <w:bCs w:val="1"/>
                <w:color w:val="auto"/>
              </w:rPr>
              <w:t>May 2,</w:t>
            </w:r>
          </w:p>
        </w:tc>
        <w:tc>
          <w:tcPr>
            <w:tcW w:w="280" w:type="dxa"/>
            <w:vAlign w:val="bottom"/>
          </w:tcPr>
          <w:p>
            <w:pPr>
              <w:spacing w:after="0"/>
              <w:rPr>
                <w:sz w:val="14"/>
                <w:szCs w:val="14"/>
                <w:color w:val="auto"/>
              </w:rPr>
            </w:pPr>
          </w:p>
        </w:tc>
        <w:tc>
          <w:tcPr>
            <w:tcW w:w="820" w:type="dxa"/>
            <w:vAlign w:val="bottom"/>
          </w:tcPr>
          <w:p>
            <w:pPr>
              <w:jc w:val="right"/>
              <w:ind w:right="91"/>
              <w:spacing w:after="0" w:line="170" w:lineRule="exact"/>
              <w:rPr>
                <w:sz w:val="20"/>
                <w:szCs w:val="20"/>
                <w:color w:val="auto"/>
              </w:rPr>
            </w:pPr>
            <w:r>
              <w:rPr>
                <w:rFonts w:ascii="Times New Roman" w:cs="Times New Roman" w:eastAsia="Times New Roman" w:hAnsi="Times New Roman"/>
                <w:sz w:val="17"/>
                <w:szCs w:val="17"/>
                <w:color w:val="auto"/>
              </w:rPr>
              <w:t>Jan. 31,</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240" w:type="dxa"/>
            <w:vAlign w:val="bottom"/>
            <w:tcBorders>
              <w:bottom w:val="single" w:sz="8" w:color="auto"/>
            </w:tcBorders>
            <w:gridSpan w:val="2"/>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b w:val="1"/>
                <w:bCs w:val="1"/>
                <w:color w:val="auto"/>
              </w:rPr>
              <w:t>2026</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b w:val="1"/>
                <w:bCs w:val="1"/>
                <w:color w:val="auto"/>
              </w:rPr>
              <w:t>2026</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7"/>
                <w:szCs w:val="17"/>
                <w:b w:val="1"/>
                <w:bCs w:val="1"/>
                <w:color w:val="auto"/>
              </w:rPr>
              <w:t>2026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7"/>
                <w:szCs w:val="17"/>
                <w:color w:val="auto"/>
              </w:rPr>
              <w:t>2026</w:t>
            </w: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May 2, 2026</w:t>
            </w: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Jan. 31, 2026</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other intangibles</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26,025</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26,214</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6,599</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6,611</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400</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33,024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33,225</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(5,088)</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(5,488)</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Other Intangibles</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26,025</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26,214</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1,511</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1,653</w:t>
            </w:r>
          </w:p>
        </w:tc>
        <w:tc>
          <w:tcPr>
            <w:tcW w:w="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27,536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27,867</w:t>
            </w:r>
          </w:p>
        </w:tc>
        <w:tc>
          <w:tcPr>
            <w:tcW w:w="0" w:type="dxa"/>
            <w:vAlign w:val="bottom"/>
          </w:tcPr>
          <w:p>
            <w:pPr>
              <w:spacing w:after="0"/>
              <w:rPr>
                <w:sz w:val="1"/>
                <w:szCs w:val="1"/>
                <w:color w:val="auto"/>
              </w:rPr>
            </w:pPr>
          </w:p>
        </w:tc>
      </w:tr>
      <w:tr>
        <w:trPr>
          <w:trHeight w:val="59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Inventories</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Borders>
              <w:top w:val="single" w:sz="8" w:color="auto"/>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8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January 31, 2026</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5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52,750</w:t>
            </w:r>
          </w:p>
        </w:tc>
        <w:tc>
          <w:tcPr>
            <w:tcW w:w="7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68,976</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424,103</w:t>
            </w: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364,902</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5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476,853</w:t>
            </w:r>
          </w:p>
        </w:tc>
        <w:tc>
          <w:tcPr>
            <w:tcW w:w="72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433,878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56"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fair values of our financial instruments at May 2, 2026 and January 31, 2026 are: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7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January 31, 2026</w:t>
            </w:r>
          </w:p>
        </w:tc>
        <w:tc>
          <w:tcPr>
            <w:tcW w:w="660" w:type="dxa"/>
            <w:vAlign w:val="bottom"/>
            <w:tcBorders>
              <w:top w:val="single" w:sz="8" w:color="auto"/>
              <w:bottom w:val="single" w:sz="8" w:color="auto"/>
            </w:tcBorders>
          </w:tcPr>
          <w:p>
            <w:pPr>
              <w:spacing w:after="0"/>
              <w:rPr>
                <w:sz w:val="19"/>
                <w:szCs w:val="19"/>
                <w:color w:val="auto"/>
              </w:rPr>
            </w:pPr>
          </w:p>
        </w:tc>
      </w:tr>
      <w:tr>
        <w:trPr>
          <w:trHeight w:val="187"/>
        </w:trPr>
        <w:tc>
          <w:tcPr>
            <w:tcW w:w="39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620" w:type="dxa"/>
            <w:vAlign w:val="bottom"/>
          </w:tcPr>
          <w:p>
            <w:pPr>
              <w:spacing w:after="0"/>
              <w:rPr>
                <w:sz w:val="16"/>
                <w:szCs w:val="16"/>
                <w:color w:val="auto"/>
              </w:rPr>
            </w:pPr>
          </w:p>
        </w:tc>
        <w:tc>
          <w:tcPr>
            <w:tcW w:w="7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38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Carrying</w:t>
            </w:r>
          </w:p>
        </w:tc>
        <w:tc>
          <w:tcPr>
            <w:tcW w:w="740" w:type="dxa"/>
            <w:vAlign w:val="bottom"/>
          </w:tcPr>
          <w:p>
            <w:pPr>
              <w:spacing w:after="0"/>
              <w:rPr>
                <w:sz w:val="16"/>
                <w:szCs w:val="16"/>
                <w:color w:val="auto"/>
              </w:rPr>
            </w:pPr>
          </w:p>
        </w:tc>
        <w:tc>
          <w:tcPr>
            <w:tcW w:w="6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Fair</w:t>
            </w:r>
          </w:p>
        </w:tc>
      </w:tr>
      <w:tr>
        <w:trPr>
          <w:trHeight w:val="238"/>
        </w:trPr>
        <w:tc>
          <w:tcPr>
            <w:tcW w:w="39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Revolver Borrowings</w:t>
            </w:r>
          </w:p>
        </w:tc>
        <w:tc>
          <w:tcPr>
            <w:tcW w:w="2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22,946</w:t>
            </w:r>
          </w:p>
        </w:tc>
        <w:tc>
          <w:tcPr>
            <w:tcW w:w="6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22,898</w:t>
            </w:r>
          </w:p>
        </w:tc>
        <w:tc>
          <w:tcPr>
            <w:tcW w:w="3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74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3,362</w:t>
            </w:r>
          </w:p>
        </w:tc>
      </w:tr>
      <w:tr>
        <w:trPr>
          <w:trHeight w:val="21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U.K. Revolver Borrowings</w:t>
            </w:r>
          </w:p>
        </w:tc>
        <w:tc>
          <w:tcPr>
            <w:tcW w:w="2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22,400</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22,356</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45,346</w:t>
            </w:r>
          </w:p>
        </w:tc>
        <w:tc>
          <w:tcPr>
            <w:tcW w:w="62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45,254</w:t>
            </w:r>
          </w:p>
        </w:tc>
        <w:tc>
          <w:tcPr>
            <w:tcW w:w="3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74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3,362</w:t>
            </w:r>
          </w:p>
        </w:tc>
      </w:tr>
    </w:tbl>
    <w:p>
      <w:pPr>
        <w:spacing w:after="0" w:line="3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Debt fair values were determined using a discounted cash flow analysis based on current market interest rates for similar types of financial instruments and would be classified in Level 2 within the fair value hierarchy.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2, 2026, we had $7.0 million of investments held and used which were measured using Level 1 inputs within the fair value hierarchy.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revolver borrowings outstanding under the Fourth Amended and Restated Credit Agreement dated as of January 31, 2018, as amended, between us, certain of our subsidiaries, the lenders party thereto and Bank of America, N.A. as agent (the "Credit Facility") as of May 2, 2026 included (i) $15.0 million U.S. revolver borrowings and (ii) $7.9 million (CAD $10.8 million) revolver borrowings related to GCO Canada ULC. In addition, we had revolver borrowings outstanding by and between Schuh and Lloyds Bank PLC (the "Facility Agreement") of $22.4 million (£16.5 million) as of May 2, 2026. We were in compliance with all the relevant terms and conditions of the Credit Facility and Facility Agreement as of May 2, 2026. Excess availability under the Credit Facility was $303.3 million at May 2,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number of shares used to calculate earnings per share are as follows:</w:t>
      </w:r>
    </w:p>
    <w:p>
      <w:pPr>
        <w:spacing w:after="0" w:line="200" w:lineRule="exact"/>
        <w:rPr>
          <w:sz w:val="20"/>
          <w:szCs w:val="20"/>
          <w:color w:val="auto"/>
        </w:rPr>
      </w:pPr>
    </w:p>
    <w:p>
      <w:pPr>
        <w:spacing w:after="0" w:line="21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 in thousands)</w:t>
            </w:r>
          </w:p>
        </w:tc>
        <w:tc>
          <w:tcPr>
            <w:tcW w:w="39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7"/>
                <w:szCs w:val="17"/>
                <w:b w:val="1"/>
                <w:bCs w:val="1"/>
                <w:color w:val="auto"/>
              </w:rPr>
              <w:t>May 2, 2026</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May 3, 2025</w:t>
            </w: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shares - basic</w:t>
            </w:r>
          </w:p>
        </w:tc>
        <w:tc>
          <w:tcPr>
            <w:tcW w:w="3940" w:type="dxa"/>
            <w:vAlign w:val="bottom"/>
            <w:shd w:val="clear" w:color="auto" w:fill="CFF0FC"/>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10,428</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10,495</w:t>
            </w:r>
          </w:p>
        </w:tc>
      </w:tr>
      <w:tr>
        <w:trPr>
          <w:trHeight w:val="216"/>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39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shares - diluted</w:t>
            </w:r>
          </w:p>
        </w:tc>
        <w:tc>
          <w:tcPr>
            <w:tcW w:w="3940" w:type="dxa"/>
            <w:vAlign w:val="bottom"/>
            <w:tcBorders>
              <w:bottom w:val="single" w:sz="8" w:color="auto"/>
            </w:tcBorders>
            <w:shd w:val="clear" w:color="auto" w:fill="CFF0FC"/>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10,428</w:t>
            </w: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10,495</w:t>
            </w: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equivalents of 0.2 million shares are excluded for the three months ended May 2, 2026 and May 3, 2025 due to the loss from continuing operations in those periods.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did not repurchase any shares of our common stock during the first quarter of Fiscal 2027. We repurchased 604,531 shares of our common stock during the first quarter of Fiscal 2026 at a cost of $12.6 million, or an average cost of $20.79 per share. As of May 2, 2026, we had $29.8 million remaining under our expanded share repurchase authorization announced in June 2023. During the second quarter of Fiscal 2027, through June 10, 2026, we have not repurchased any shares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legacy obligations including environmental monitoring and reporting costs related to: (i) a 2016 Consent Judgment entered into with the United States Environmental Protection Agency involving the site of a knitting mill operated by a former subsidiary from 1965 to 1969 in Garden City, New York; and (ii) a 2010 Consent Decree with the Michigan Department of Natural Resources and Environment relating to our former Volunteer Leather Company facility in Whitehall, Michigan. We do not expect that future obligations related to either of these sites will have a material effect on our consolidated financial condition or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 for Environmental Contingencies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to all outstanding environmental contingencies, we had accrued $1.9 million as of May 2, 2026, $1.9 million as of January 31, 2026 and $2.1 million as of May 3, 2025.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for discontinued operations are included in other accrued liabilities and other long-term liabilities on the accompanying Condensed Consolidated Balance Sheets because they relate to former facilities operated by us. We have made pretax accruals for certain of these contingencies which were not material for the first quarter of Fiscal 2027 or Fiscal 2026. These charges are included in loss from discontinued operations, net of tax in the Condensed Consolidated Statements of Operations and represent changes in estimates.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Condensed Consolidated Financial Statements, legal proceedings are subject to inherent uncertainties, and unfavorable rulings could have a material adverse impact on our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Interchange Fee Settlement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we entered into settlement agreements to resolve credit card interchange fee litigation matters in which we were a plaintiff. During the first quarter of Fiscal 2027, as a result of these lump-sum settlements, we received $13.4 million (net of legal fees) related to payment card interchange fee litigation. This gain is reflected in asset impairments and other, net on the Consolidated Statement of Operations in our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IEEPA Tariff Refunds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20, 2026, the U.S. Supreme Court issued a ruling striking down certain tariffs imposed under the International Emergency Economic Powers Act (“IEEPA”). Subsequently, on March 4, 2026, the U.S. Court of International Trade ordered U.S. Customs and Border Protection (“CBP”) to liquidate all non-final entries without regard to IEEPA duties and to refund amounts previously collected, including applicable interest. Additionally, on April 20, 2026, CBP launched Phase 1 of the new Consolidated Administration and Processing of Entries tool in the Automated Commercial Environment portal, creating a process for submitting IEEPA refund claims. We successfully submitted our refund claim in the first quarter of Fiscal 2027. We expect to receive tariff refunds of approximately $23 to $25 million, not including interest, related to our branded businesses. The timing of cash receipts is dependent upon the execution of the refund process by CBP and the U.S. Treasury Department. We will use the gain contingency method to recognize the gain when funds are received. To date, we have received $1.5 million in the second quarter of Fiscal 2027 related to these tariff refunds.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Genesco Brands Group sell primarily our owned and licensed brands. Our chief operating decision maker ("CODM") is our President and Chief Executive Officer. The CODM assesses performance of and allocates resources to each business segment based on segment results without allocating corporate expenses. These corporate expenses include corporate overhead, bank fees, interest expense, interest income, goodwill impairment, asset impairment charges and other, including severance, insurance gains, major litigation and major lease terminations. Reconciling items between segment operating income (loss) and earnings (loss) from continuing operations consist of unallocated corporate expenses. The CODM uses segment operating income (loss) as a measure of profit or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May 2,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Johnston</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03"/>
        </w:trPr>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40" w:type="dxa"/>
            <w:vAlign w:val="bottom"/>
          </w:tcPr>
          <w:p>
            <w:pPr>
              <w:spacing w:after="0"/>
              <w:rPr>
                <w:sz w:val="17"/>
                <w:szCs w:val="17"/>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8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&amp; Murphy</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Genesco Brands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560" w:type="dxa"/>
            <w:vAlign w:val="bottom"/>
          </w:tcPr>
          <w:p>
            <w:pPr>
              <w:spacing w:after="0"/>
              <w:rPr>
                <w:sz w:val="16"/>
                <w:szCs w:val="16"/>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4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8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80" w:type="dxa"/>
            <w:vAlign w:val="bottom"/>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00" w:type="dxa"/>
            <w:vAlign w:val="bottom"/>
          </w:tcPr>
          <w:p>
            <w:pPr>
              <w:spacing w:after="0"/>
              <w:rPr>
                <w:sz w:val="16"/>
                <w:szCs w:val="16"/>
                <w:color w:val="auto"/>
              </w:rPr>
            </w:pP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6"/>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285,323</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90,702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81,310</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487,025</w:t>
            </w:r>
          </w:p>
        </w:tc>
      </w:tr>
      <w:tr>
        <w:trPr>
          <w:trHeight w:val="20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5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147,051</w:t>
            </w:r>
          </w:p>
        </w:tc>
        <w:tc>
          <w:tcPr>
            <w:tcW w:w="2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53,492</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37,122</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20,441</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4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5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149,827</w:t>
            </w: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44,197</w:t>
            </w: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42,681</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8,087</w:t>
            </w: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r>
      <w:tr>
        <w:trPr>
          <w:trHeight w:val="19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(11,555)</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(15,873)</w:t>
            </w:r>
          </w:p>
        </w:tc>
      </w:tr>
      <w:tr>
        <w:trPr>
          <w:trHeight w:val="19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Unallocated selling and administrative expenses</w:t>
            </w: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9,611</w:t>
            </w:r>
          </w:p>
        </w:tc>
      </w:tr>
      <w:tr>
        <w:trPr>
          <w:trHeight w:val="202"/>
        </w:trPr>
        <w:tc>
          <w:tcPr>
            <w:tcW w:w="40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(2)</w:t>
            </w: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(10,107)</w:t>
            </w:r>
          </w:p>
        </w:tc>
      </w:tr>
      <w:tr>
        <w:trPr>
          <w:trHeight w:val="19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(15,377)</w:t>
            </w:r>
          </w:p>
        </w:tc>
      </w:tr>
      <w:tr>
        <w:trPr>
          <w:trHeight w:val="20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237</w:t>
            </w:r>
          </w:p>
        </w:tc>
      </w:tr>
      <w:tr>
        <w:trPr>
          <w:trHeight w:val="203"/>
        </w:trPr>
        <w:tc>
          <w:tcPr>
            <w:tcW w:w="4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5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265</w:t>
            </w:r>
          </w:p>
        </w:tc>
      </w:tr>
      <w:tr>
        <w:trPr>
          <w:trHeight w:val="19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Loss from continuing operations before income taxes</w:t>
            </w: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(15,879)</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0" w:lineRule="exact"/>
        <w:rPr>
          <w:sz w:val="20"/>
          <w:szCs w:val="20"/>
          <w:color w:val="auto"/>
        </w:rPr>
      </w:pPr>
    </w:p>
    <w:p>
      <w:pPr>
        <w:ind w:firstLine="8"/>
        <w:spacing w:after="0" w:line="223" w:lineRule="auto"/>
        <w:tabs>
          <w:tab w:leader="none" w:pos="196"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sales in North America and in the U.K., which includes the ROI, accounted for 81% and 19%, respectively, of our net sales in the first quarter of Fiscal 2027.</w:t>
      </w:r>
    </w:p>
    <w:p>
      <w:pPr>
        <w:spacing w:after="0" w:line="1" w:lineRule="exact"/>
        <w:rPr>
          <w:rFonts w:ascii="Times New Roman" w:cs="Times New Roman" w:eastAsia="Times New Roman" w:hAnsi="Times New Roman"/>
          <w:sz w:val="24"/>
          <w:szCs w:val="24"/>
          <w:color w:val="auto"/>
          <w:vertAlign w:val="superscript"/>
        </w:rPr>
      </w:pPr>
    </w:p>
    <w:p>
      <w:pPr>
        <w:jc w:val="both"/>
        <w:ind w:firstLine="8"/>
        <w:spacing w:after="0" w:line="249" w:lineRule="auto"/>
        <w:tabs>
          <w:tab w:leader="none" w:pos="185"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Asset impairments and other includes a $13.4 million gain related to payment card interchange fee litigation, partially offset by a $3.0 million charge for store restructuring, including $2.9 million in Journeys Group and $0.1 million in Schuh Group, a $0.2 million charge for costs associated with information technology transformation and a $0.1 million charge for severance.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May 2,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Johnston</w:t>
            </w: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Genesco</w:t>
            </w: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r>
      <w:tr>
        <w:trPr>
          <w:trHeight w:val="203"/>
        </w:trPr>
        <w:tc>
          <w:tcPr>
            <w:tcW w:w="2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2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&amp; Murphy</w:t>
            </w:r>
          </w:p>
        </w:tc>
        <w:tc>
          <w:tcPr>
            <w:tcW w:w="160" w:type="dxa"/>
            <w:vAlign w:val="bottom"/>
          </w:tcPr>
          <w:p>
            <w:pPr>
              <w:spacing w:after="0"/>
              <w:rPr>
                <w:sz w:val="17"/>
                <w:szCs w:val="17"/>
                <w:color w:val="auto"/>
              </w:rPr>
            </w:pPr>
          </w:p>
        </w:tc>
        <w:tc>
          <w:tcPr>
            <w:tcW w:w="920" w:type="dxa"/>
            <w:vAlign w:val="bottom"/>
            <w:tcBorders>
              <w:right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Brands</w:t>
            </w:r>
          </w:p>
        </w:tc>
        <w:tc>
          <w:tcPr>
            <w:tcW w:w="80" w:type="dxa"/>
            <w:vAlign w:val="bottom"/>
          </w:tcPr>
          <w:p>
            <w:pPr>
              <w:spacing w:after="0"/>
              <w:rPr>
                <w:sz w:val="17"/>
                <w:szCs w:val="17"/>
                <w:color w:val="auto"/>
              </w:rPr>
            </w:pPr>
          </w:p>
        </w:tc>
        <w:tc>
          <w:tcPr>
            <w:tcW w:w="106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Reportable</w:t>
            </w: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r>
      <w:tr>
        <w:trPr>
          <w:trHeight w:val="21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180" w:type="dxa"/>
            <w:vAlign w:val="bottom"/>
            <w:tcBorders>
              <w:bottom w:val="single" w:sz="8" w:color="auto"/>
              <w:right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9"/>
        </w:trPr>
        <w:tc>
          <w:tcPr>
            <w:tcW w:w="2700" w:type="dxa"/>
            <w:vAlign w:val="bottom"/>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Total assets at quarter end</w:t>
            </w:r>
            <w:r>
              <w:rPr>
                <w:rFonts w:ascii="Times New Roman" w:cs="Times New Roman" w:eastAsia="Times New Roman" w:hAnsi="Times New Roman"/>
                <w:sz w:val="21"/>
                <w:szCs w:val="21"/>
                <w:color w:val="auto"/>
                <w:vertAlign w:val="superscript"/>
              </w:rPr>
              <w:t>(1)</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772,015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221,597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203,998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50,457</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1,248,067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135,962</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1,384,029</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7,960</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160" w:type="dxa"/>
            <w:vAlign w:val="bottom"/>
          </w:tcPr>
          <w:p>
            <w:pPr>
              <w:spacing w:after="0"/>
              <w:rPr>
                <w:sz w:val="17"/>
                <w:szCs w:val="17"/>
                <w:color w:val="auto"/>
              </w:rPr>
            </w:pPr>
          </w:p>
        </w:tc>
        <w:tc>
          <w:tcPr>
            <w:tcW w:w="92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Pr>
          <w:p>
            <w:pPr>
              <w:spacing w:after="0"/>
              <w:rPr>
                <w:sz w:val="17"/>
                <w:szCs w:val="17"/>
                <w:color w:val="auto"/>
              </w:rPr>
            </w:pPr>
          </w:p>
        </w:tc>
        <w:tc>
          <w:tcPr>
            <w:tcW w:w="10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12,311</w:t>
            </w: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936</w:t>
            </w:r>
          </w:p>
        </w:tc>
        <w:tc>
          <w:tcPr>
            <w:tcW w:w="240" w:type="dxa"/>
            <w:vAlign w:val="bottom"/>
          </w:tcPr>
          <w:p>
            <w:pPr>
              <w:spacing w:after="0"/>
              <w:rPr>
                <w:sz w:val="17"/>
                <w:szCs w:val="17"/>
                <w:color w:val="auto"/>
              </w:rPr>
            </w:pPr>
          </w:p>
        </w:tc>
        <w:tc>
          <w:tcPr>
            <w:tcW w:w="9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13,247</w:t>
            </w:r>
          </w:p>
        </w:tc>
      </w:tr>
      <w:tr>
        <w:trPr>
          <w:trHeight w:val="242"/>
        </w:trPr>
        <w:tc>
          <w:tcPr>
            <w:tcW w:w="27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8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9,871</w:t>
            </w: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15,367</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15,416</w:t>
            </w:r>
          </w:p>
        </w:tc>
      </w:tr>
    </w:tbl>
    <w:p>
      <w:pPr>
        <w:spacing w:after="0" w:line="211" w:lineRule="exact"/>
        <w:rPr>
          <w:sz w:val="20"/>
          <w:szCs w:val="20"/>
          <w:color w:val="auto"/>
        </w:rPr>
      </w:pPr>
    </w:p>
    <w:p>
      <w:pPr>
        <w:ind w:firstLine="8"/>
        <w:spacing w:after="0" w:line="223" w:lineRule="auto"/>
        <w:tabs>
          <w:tab w:leader="none" w:pos="199"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$725.4 million of long-lived assets as of May 2, 2026, $87.8 million and $14.5 million relate to long-lived assets in the U.K. and Canada,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Genesco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May 3,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Johnston</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03"/>
        </w:trPr>
        <w:tc>
          <w:tcPr>
            <w:tcW w:w="3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8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Genesco Brands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560" w:type="dxa"/>
            <w:vAlign w:val="bottom"/>
          </w:tcPr>
          <w:p>
            <w:pPr>
              <w:spacing w:after="0"/>
              <w:rPr>
                <w:sz w:val="16"/>
                <w:szCs w:val="16"/>
                <w:color w:val="auto"/>
              </w:rPr>
            </w:pPr>
          </w:p>
        </w:tc>
        <w:tc>
          <w:tcPr>
            <w:tcW w:w="12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80" w:type="dxa"/>
            <w:vAlign w:val="bottom"/>
          </w:tcPr>
          <w:p>
            <w:pPr>
              <w:spacing w:after="0"/>
              <w:rPr>
                <w:sz w:val="16"/>
                <w:szCs w:val="16"/>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8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272,634</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95,915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76,839</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473,973</w:t>
            </w: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5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139,515</w:t>
            </w: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57,738</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35,702</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19,837</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5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148,402</w:t>
            </w: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44,308</w:t>
            </w: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40,637</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r>
      <w:tr>
        <w:trPr>
          <w:trHeight w:val="19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(15,283)</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(20,216)</w:t>
            </w:r>
          </w:p>
        </w:tc>
      </w:tr>
      <w:tr>
        <w:trPr>
          <w:trHeight w:val="19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Unallocated selling and administrative expenses</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7,638</w:t>
            </w:r>
          </w:p>
        </w:tc>
      </w:tr>
      <w:tr>
        <w:trPr>
          <w:trHeight w:val="203"/>
        </w:trPr>
        <w:tc>
          <w:tcPr>
            <w:tcW w:w="39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(2)</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291</w:t>
            </w:r>
          </w:p>
        </w:tc>
      </w:tr>
      <w:tr>
        <w:trPr>
          <w:trHeight w:val="19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(28,145)</w:t>
            </w: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r>
      <w:tr>
        <w:trPr>
          <w:trHeight w:val="203"/>
        </w:trPr>
        <w:tc>
          <w:tcPr>
            <w:tcW w:w="3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5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1,339</w:t>
            </w:r>
          </w:p>
        </w:tc>
      </w:tr>
      <w:tr>
        <w:trPr>
          <w:trHeight w:val="19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Loss from continuing operations before income taxes</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(29,664)</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0" w:lineRule="exact"/>
        <w:rPr>
          <w:sz w:val="20"/>
          <w:szCs w:val="20"/>
          <w:color w:val="auto"/>
        </w:rPr>
      </w:pPr>
    </w:p>
    <w:p>
      <w:pPr>
        <w:ind w:firstLine="8"/>
        <w:spacing w:after="0" w:line="241" w:lineRule="auto"/>
        <w:tabs>
          <w:tab w:leader="none" w:pos="185"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sales in North America and in the U.K., which includes the ROI, accounted for 80% and 20%, respectively, of our net sales for the first quarter of Fiscal 2026.</w:t>
      </w:r>
    </w:p>
    <w:p>
      <w:pPr>
        <w:ind w:left="200" w:hanging="192"/>
        <w:spacing w:after="0" w:line="199" w:lineRule="auto"/>
        <w:tabs>
          <w:tab w:leader="none" w:pos="2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Asset impairments and other includes a $0.3 million charge for severance.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May 3,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Johnston</w:t>
            </w: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Genesco</w:t>
            </w: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spacing w:after="0"/>
              <w:rPr>
                <w:sz w:val="15"/>
                <w:szCs w:val="15"/>
                <w:color w:val="auto"/>
              </w:rPr>
            </w:pPr>
          </w:p>
        </w:tc>
      </w:tr>
      <w:tr>
        <w:trPr>
          <w:trHeight w:val="203"/>
        </w:trPr>
        <w:tc>
          <w:tcPr>
            <w:tcW w:w="2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20" w:type="dxa"/>
            <w:vAlign w:val="bottom"/>
          </w:tcPr>
          <w:p>
            <w:pPr>
              <w:spacing w:after="0"/>
              <w:rPr>
                <w:sz w:val="17"/>
                <w:szCs w:val="17"/>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4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160" w:type="dxa"/>
            <w:vAlign w:val="bottom"/>
          </w:tcPr>
          <w:p>
            <w:pPr>
              <w:spacing w:after="0"/>
              <w:rPr>
                <w:sz w:val="17"/>
                <w:szCs w:val="17"/>
                <w:color w:val="auto"/>
              </w:rPr>
            </w:pPr>
          </w:p>
        </w:tc>
        <w:tc>
          <w:tcPr>
            <w:tcW w:w="920" w:type="dxa"/>
            <w:vAlign w:val="bottom"/>
            <w:tcBorders>
              <w:right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Brands</w:t>
            </w:r>
          </w:p>
        </w:tc>
        <w:tc>
          <w:tcPr>
            <w:tcW w:w="100" w:type="dxa"/>
            <w:vAlign w:val="bottom"/>
          </w:tcPr>
          <w:p>
            <w:pPr>
              <w:spacing w:after="0"/>
              <w:rPr>
                <w:sz w:val="17"/>
                <w:szCs w:val="17"/>
                <w:color w:val="auto"/>
              </w:rPr>
            </w:pPr>
          </w:p>
        </w:tc>
        <w:tc>
          <w:tcPr>
            <w:tcW w:w="1080" w:type="dxa"/>
            <w:vAlign w:val="bottom"/>
            <w:tcBorders>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Reportable</w:t>
            </w:r>
          </w:p>
        </w:tc>
        <w:tc>
          <w:tcPr>
            <w:tcW w:w="120" w:type="dxa"/>
            <w:vAlign w:val="bottom"/>
          </w:tcPr>
          <w:p>
            <w:pPr>
              <w:spacing w:after="0"/>
              <w:rPr>
                <w:sz w:val="17"/>
                <w:szCs w:val="17"/>
                <w:color w:val="auto"/>
              </w:rPr>
            </w:pPr>
          </w:p>
        </w:tc>
        <w:tc>
          <w:tcPr>
            <w:tcW w:w="1040" w:type="dxa"/>
            <w:vAlign w:val="bottom"/>
            <w:tcBorders>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1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80" w:type="dxa"/>
            <w:vAlign w:val="bottom"/>
            <w:tcBorders>
              <w:bottom w:val="single" w:sz="8" w:color="auto"/>
              <w:right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199"/>
        </w:trPr>
        <w:tc>
          <w:tcPr>
            <w:tcW w:w="2700" w:type="dxa"/>
            <w:vAlign w:val="bottom"/>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Total assets at quarter end</w:t>
            </w:r>
            <w:r>
              <w:rPr>
                <w:rFonts w:ascii="Times New Roman" w:cs="Times New Roman" w:eastAsia="Times New Roman" w:hAnsi="Times New Roman"/>
                <w:sz w:val="21"/>
                <w:szCs w:val="21"/>
                <w:color w:val="auto"/>
                <w:vertAlign w:val="superscript"/>
              </w:rPr>
              <w:t>(1)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721,610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224,530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184,944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66,269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1,197,353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207,238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1,404,591</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6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12,303</w:t>
            </w:r>
          </w:p>
        </w:tc>
        <w:tc>
          <w:tcPr>
            <w:tcW w:w="120" w:type="dxa"/>
            <w:vAlign w:val="bottom"/>
          </w:tcPr>
          <w:p>
            <w:pPr>
              <w:spacing w:after="0"/>
              <w:rPr>
                <w:sz w:val="17"/>
                <w:szCs w:val="17"/>
                <w:color w:val="auto"/>
              </w:rPr>
            </w:pPr>
          </w:p>
        </w:tc>
        <w:tc>
          <w:tcPr>
            <w:tcW w:w="10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1,090</w:t>
            </w:r>
          </w:p>
        </w:tc>
        <w:tc>
          <w:tcPr>
            <w:tcW w:w="80" w:type="dxa"/>
            <w:vAlign w:val="bottom"/>
          </w:tcPr>
          <w:p>
            <w:pPr>
              <w:spacing w:after="0"/>
              <w:rPr>
                <w:sz w:val="17"/>
                <w:szCs w:val="17"/>
                <w:color w:val="auto"/>
              </w:rPr>
            </w:pPr>
          </w:p>
        </w:tc>
        <w:tc>
          <w:tcPr>
            <w:tcW w:w="112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13,393</w:t>
            </w:r>
          </w:p>
        </w:tc>
      </w:tr>
      <w:tr>
        <w:trPr>
          <w:trHeight w:val="242"/>
        </w:trPr>
        <w:tc>
          <w:tcPr>
            <w:tcW w:w="27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8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10,405</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18,751</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18,898</w:t>
            </w:r>
          </w:p>
        </w:tc>
      </w:tr>
    </w:tbl>
    <w:p>
      <w:pPr>
        <w:spacing w:after="0" w:line="130" w:lineRule="exact"/>
        <w:rPr>
          <w:sz w:val="20"/>
          <w:szCs w:val="20"/>
          <w:color w:val="auto"/>
        </w:rPr>
      </w:pPr>
    </w:p>
    <w:p>
      <w:pPr>
        <w:ind w:firstLine="8"/>
        <w:spacing w:after="0" w:line="223" w:lineRule="auto"/>
        <w:tabs>
          <w:tab w:leader="none" w:pos="208"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$709.0 million of long-lived assets as of May 3, 2025, $99.1 million and $14.1 million relate to long-lived assets in the U.K. and Canada, respectively.</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This section discusses management’s view of the financial condition, results of operations and cash flows of the Company. This section should be read in conjunction with the information contained in our Annual Report on Form 10-K for the fiscal year ended January 31, 2026, including the Risk Factors section, and information contained elsewhere in this Quarterly Report on Form 10-Q, including the Condensed Consolidated Financial Statements and Notes to those financial statements. The results of operations for any interim period may not necessarily be indicative of the results that may be expected for any future interim period or the entire fiscal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Results of Operations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net sales increased 2.8% to $487.0 million in the first quarter of Fiscal 2027 compared to $474.0 million in the first quarter of Fiscal 2026. The net sales increase compared to last year's first quarter reflects a 2% increase in comparable sales, including a 3% increase in same store sales, other non-comparable gains and a favorable foreign exchange impact, partially offset by the impact of net store closings resulting from our ongoing footprint optimization. The Journeys Group business had a strong first quarter of Fiscal 2027 with comparable sales up 5%, driven by strength in the product assortment and other initiatives. Schuh Group comparable sales were down 9% for the first quarter of Fiscal 2027 reflecting a weaker U.K. consumer market and our decision to prioritize full-price selling. Johnston &amp; Murphy Group comparable sales were up 7% in the first quarter of Fiscal 2027 driven by increased store and e-commerce sales driven by strength in product assortment, both apparel and footwear, as a result of increased brand awareness through marketing and social media campaigns. By segment, Journeys Group sales increased 5%, Schuh Group sales decreased 5%, Johnston &amp; Murphy Group sales increased 6% and Genesco Brands Group sales increased 4% in the first quarter of Fiscal 2027 compared to the first quarter of Fiscal 2026. Schuh Group's sales decreased 9% on a local currency basis for the first quarter of Fiscal 2027.</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increased 3.5% to $228.9 million in the first quarter of Fiscal 2027 from $221.2 million in the first quarter of Fiscal 2026 and increased 30 basis points as a percentage of net sales from 46.7% in the first quarter of Fiscal 2026 to 47.0% in the first quarter of Fiscal 2027. The overall increase in gross margin as a percentage of net sales is due primarily to efficiencies in shipping and warehouse costs and less promotional activity across our businesses, partially offset by changes in brand mix at Journeys Group and Schuh Group.</w:t>
      </w:r>
    </w:p>
    <w:p>
      <w:pPr>
        <w:spacing w:after="0" w:line="180" w:lineRule="exact"/>
        <w:rPr>
          <w:sz w:val="20"/>
          <w:szCs w:val="20"/>
          <w:color w:val="auto"/>
        </w:rPr>
      </w:pPr>
    </w:p>
    <w:p>
      <w:pPr>
        <w:jc w:val="both"/>
        <w:ind w:firstLine="4"/>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in the first quarter of Fiscal 2027 increased 2.2% to $254.4 million from $249.0 million compared to the first quarter of Fiscal 2026, but decreased 30 basis points as a percentage of net sales in the first quarter of Fiscal 2027 compared to the first quarter of Fiscal 2026 from 52.5% to 52.2%. The decrease as a percentage of net sales reflects decreased selling salaries, occupancy, freight and warehouse expenses as well as ongoing cost savings initiatives, partially offset by increased performance-based incentive compensation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was (3.2)% in the first quarter of Fiscal 2027 compared to (5.9)% in the first quarter of Fiscal 2026. The overall improvement in operating margin for the first quarter of Fiscal 2027 compared to the first quarter of Fiscal 2026 primarily reflects increased sales, increased gross margin as a percentage of net sales, decreased expenses as a percentage of net sales and a net gain in asset impairment and other charges.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loss from continuing operations before income taxes (“pretax loss”) for the first quarter of Fiscal 2027 was $15.9 million compared to $29.7 million for the first quarter of Fiscal 2026. The pretax loss for the first quarter of Fiscal 2027 included an asset impairment and other gain of $10.1 million which included a gain of $13.4 million related to payment card interchange fee litigation, partially offset by a $3.0 million charge for store restructuring, a $0.2 million charge for costs associated with information technology transformation and a $0.1 million charge for severance. Pretax loss for the first quarter of Fiscal 2026 included asset impairment and other charges of $0.3 million for severance.</w:t>
      </w:r>
    </w:p>
    <w:p>
      <w:pPr>
        <w:spacing w:after="0" w:line="14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had an effective income tax rate of 6.8% and 28.5% in the first quarter of Fiscal 2027 and Fiscal 2026, respectively. The lower effective tax rate in the first quarter of Fiscal 2027 compared to the first quarter of Fiscal 2026 primarily reflects a lower expected tax rate for Fiscal 2027 versus our expectation for Fiscal 2026 as of the prior year first quarter due to the impact of the valuation allowance in certain jurisdictions combined with the income tax law changes from the OBBBA.</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loss in the first quarter of Fiscal 2027 was $14.8 million, or $1.42 diluted loss per share, compared to a net loss of $21.2 million, or $2.02 diluted loss per share, in the first quarter of Fiscal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discuss our critical accounting estimates in Item 7, "Management’s Discussion and Analysis of Financial Condition and Results of Operations", in our Annual Report on Form 10-K for the fiscal year ended January 31, 2026. We describe our significant accounting policies in Note 1, "Summary of Significant Accounting Policies", of the Notes to Consolidated Financial Statements included in our Annual Report on Form 10-K for the fiscal year ended January 31, 2026. There have been no significant changes in our definition of significant accounting policies or critical accounting estimates since the end of Fiscal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performance indicators we use to evaluate the financial condition and operating performance of our business are comparable sales, net sales, gross margin, operating income and operating margin. These key performance indicators should not be considered superior to, as a substitute for or as an alternative to, and should be considered in conjunction with, the U.S. GAAP financial measures presented herein. These measures may not be comparable to similarly titled performance indicators used by other companies.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comparable sales to be an important indicator of our current performance, and investors may find it useful as such. Comparable sales results are important to achieve leveraging of our costs, including occupancy, selling salaries, depreciation, etc. Comparable sales also have a direct impact on our total net revenue, working capital and cash. We define "comparable sales" as sales from stores open longer than one year, beginning with the first day a store has comparable sales (which we refer to as "same store sales"), and sales from websites operated longer than one year and direct mail catalog sales (which we refer to in this report as "comparable e-commerce sales"). Temporarily closed stores are excluded from the comparable sales calculation if closed for more than seven days. Expanded stores are excluded from the comparable sales calculation until the first day an expanded store has comparable prior year sales. Current year foreign exchange rates are applied to both current year and prior year comparable sales to achieve a consistent basis for comparison.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Margin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is a ratio calculated by dividing operating income (loss) by net sales. We believe operating margin provides investors with useful information related to the profitability of our business after considering all of the selling, general and administrative expenses and other operating charges incurred. We use this measure in making financial, operating and planning decisions and in evaluating our overall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First Quarter of Fiscal 2027 Compared to First Quarter of Fiscal 2026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Journeys Group</w:t>
            </w:r>
          </w:p>
        </w:tc>
        <w:tc>
          <w:tcPr>
            <w:tcW w:w="2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00" w:type="dxa"/>
            <w:vAlign w:val="bottom"/>
          </w:tcPr>
          <w:p>
            <w:pPr>
              <w:spacing w:after="0"/>
              <w:rPr>
                <w:sz w:val="24"/>
                <w:szCs w:val="24"/>
                <w:color w:val="auto"/>
              </w:rPr>
            </w:pPr>
          </w:p>
        </w:tc>
        <w:tc>
          <w:tcPr>
            <w:tcW w:w="336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20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3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p>
        </w:tc>
        <w:tc>
          <w:tcPr>
            <w:tcW w:w="200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3,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6300" w:type="dxa"/>
            <w:vAlign w:val="bottom"/>
          </w:tcPr>
          <w:p>
            <w:pPr>
              <w:spacing w:after="0"/>
              <w:rPr>
                <w:sz w:val="18"/>
                <w:szCs w:val="18"/>
                <w:color w:val="auto"/>
              </w:rPr>
            </w:pPr>
          </w:p>
        </w:tc>
        <w:tc>
          <w:tcPr>
            <w:tcW w:w="33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(dollars in thousands)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$285,323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$272,634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147,051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139,515</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138,272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133,119</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48.5%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48.8%</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149,827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148,402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52.5%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54.4%</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$(11,555)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(4.0)%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from Journeys Group increased 4.7% to $285.3 million in the first quarter of Fiscal 2027, compared to $272.6 million in the first quarter of Fiscal 2026. The net sales increase compared to the first quarter of Fiscal 2026 reflects a 5% increase in comparable sales, with increases in both stores and e-commerce channels, and other non-comparable gains, partially offset by a 4% decrease in the average number of stores in the first quarter of Fiscal 2027. The increased comparable sales in the first quarter of Fiscal 2027 was driven by the continued strength in Journeys Group's product assortment with brands across athletic and casual achieving healthy growth. Journeys Group's strong store performance was driven by gains in conversion and higher average transaction size in the first quarter of Fiscal 2027.</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closed 25 Journeys Group stores in the first quarter of Fiscal 2027. Journeys Group operated 940 stores at the end of the first quarter of Fiscal 2027, including 189 Journeys Kidz stores in the United States, 33 Journeys stores in Canada and 30 Little Burgundy stores in Canada, compared to 989 stores at the end of the first quarter of Fiscal 2026, including 203 Journeys Kidz stores in the United States, 34 Journeys stores in Canada and 29 Little Burgundy stores in Canada.</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160 basis point improvement in operating margin for Journeys Group for the first quarter of Fiscal 2027 compared to the first quarter of Fiscal 2026 was primarily due to a 190 basis point decrease in selling and administrative expenses as a percentage of net sales. This improvement reflects leverage of expenses as a result of increased revenue in the first quarter of Fiscal 2027, especially selling salaries and occupancy expense, partially offset by increased marketing expense. The increase in operating margin was partially offset by a 30 basis point decrease in gross margin as a percentage of net sales, reflecting lower initial margins as a result of changes in brand mix, partially offset by lower markdowns. The decrease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in selling and administrative expenses as a percentage of net sales demonstrates the impact of our cost savings initiatives and closing underperforming stores.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Schuh Group</w:t>
            </w:r>
          </w:p>
        </w:tc>
        <w:tc>
          <w:tcPr>
            <w:tcW w:w="2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00" w:type="dxa"/>
            <w:vAlign w:val="bottom"/>
          </w:tcPr>
          <w:p>
            <w:pPr>
              <w:spacing w:after="0"/>
              <w:rPr>
                <w:sz w:val="24"/>
                <w:szCs w:val="24"/>
                <w:color w:val="auto"/>
              </w:rPr>
            </w:pPr>
          </w:p>
        </w:tc>
        <w:tc>
          <w:tcPr>
            <w:tcW w:w="336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20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3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p>
        </w:tc>
        <w:tc>
          <w:tcPr>
            <w:tcW w:w="200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3,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6300" w:type="dxa"/>
            <w:vAlign w:val="bottom"/>
          </w:tcPr>
          <w:p>
            <w:pPr>
              <w:spacing w:after="0"/>
              <w:rPr>
                <w:sz w:val="18"/>
                <w:szCs w:val="18"/>
                <w:color w:val="auto"/>
              </w:rPr>
            </w:pPr>
          </w:p>
        </w:tc>
        <w:tc>
          <w:tcPr>
            <w:tcW w:w="33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(dollars in thousands)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$90,702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53,492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57,738</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37,210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38,177</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41.0%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39.8%</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44,197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44,308</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48.7%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46.2%</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$(6,987)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from Schuh Group decreased 5.4% to $90.7 million in the first quarter of Fiscal 2027 compared to $95.9 million in the first quarter of Fiscal 2026. The net sales decrease for the first quarter of Fiscal 2027 includes a 9% decrease in comparable sales, reflecting decreased e-commerce comparable sales and same store sales, and a 7% decrease in the average number of stores in the first quarter of Fiscal 2027, partially offset by a favorable impact of $3.7 million due to changes in foreign exchange rates. We prioritized more full-priced selling and controlled markdowns in Schuh Group during the first quarter of Fiscal 2027 but this pressured store traffic in an already weaker U.K. consumer market and especially affected the e-commerce channel which in particular attracts bargain seekers. Schuh Group's sales decreased 9% on a local currency basis for the first quarter of Fiscal 2027. Schuh Group operated 114 stores at the end of the first quarter of Fiscal 2027, compared to 121 stores at the end of the first quarter of Fiscal 2026.</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130 basis point decrease in operating margin for Schuh Group for the first quarter of Fiscal 2027 compared to the first quarter of Fiscal 2026 was due to a 250 basis point increase in selling and administrative expenses as a percentage of net sales, reflecting deleverage of expenses in the first quarter of Fiscal 2027, especially selling salaries, compensation, professional fees and occupancy expense, partially offset by decreased marketing expense. The decrease in operating margin was partially offset by a 120 basis point increase in gross margin as a percentage of net sales, reflecting lower shipping and warehouse costs and decreased promotional activity, partially offset by changes in brand mix. In addition, the operating loss included an unfavorable impact of $0.4 million due to changes in foreign exchange rates compared to last year.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tc>
        <w:tc>
          <w:tcPr>
            <w:tcW w:w="2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00" w:type="dxa"/>
            <w:vAlign w:val="bottom"/>
          </w:tcPr>
          <w:p>
            <w:pPr>
              <w:spacing w:after="0"/>
              <w:rPr>
                <w:sz w:val="24"/>
                <w:szCs w:val="24"/>
                <w:color w:val="auto"/>
              </w:rPr>
            </w:pPr>
          </w:p>
        </w:tc>
        <w:tc>
          <w:tcPr>
            <w:tcW w:w="336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20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3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p>
        </w:tc>
        <w:tc>
          <w:tcPr>
            <w:tcW w:w="200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3,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6300" w:type="dxa"/>
            <w:vAlign w:val="bottom"/>
          </w:tcPr>
          <w:p>
            <w:pPr>
              <w:spacing w:after="0"/>
              <w:rPr>
                <w:sz w:val="18"/>
                <w:szCs w:val="18"/>
                <w:color w:val="auto"/>
              </w:rPr>
            </w:pPr>
          </w:p>
        </w:tc>
        <w:tc>
          <w:tcPr>
            <w:tcW w:w="33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(dollars in thousands)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$81,310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$76,839</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37,122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35,702</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44,188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41,137</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54.3%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53.5%</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42,681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40,637</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52.5%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52.9%</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$1,507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Johnston &amp; Murphy Group net sales increased 5.8% to $81.3 million for the first quarter of Fiscal 2027 from $76.8 million for the first quarter of Fiscal 2026. The net sales increase for the first quarter of Fiscal 2027 includes a 7% increase in comparable sales, reflecting increased store sales, and a 4% increase in the average number of stores in the first quarter of Fiscal 2027, partially offset by decreased wholesale sales. The performance of Johnston &amp; Murphy's product assortment, both apparel and footwear, as a result of an updated product offering and increased brand awareness through marketing and social media campaigns contributed to increased store and e-commerce sales in the first quarter of Fiscal 2027. Retail operations accounted for 75.6% of Johnston &amp; Murphy Group's sales in the first quarter of Fiscal 2027, up from 72.8% in the first quarter of Fiscal 2026. The store count for Johnston &amp; Murphy Group's retail operations at the end of the first quarter of Fiscal 2027 was 154 Johnston &amp; Murphy full-price retail and factory stores, compared to 146 Johnston &amp; Murphy full-price retail and factory stores at the end of the first quarter of Fiscal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The 120 basis point improvement in operating margin for Johnston &amp; Murphy Group for the first quarter of Fiscal 2027 compared to the first quarter of Fiscal 2026 was primarily due to an 80 basis point increase in gross margin as a percentage of net sales due to lower markdowns, a favorable mix change due to lower wholesale sales and decreased shipping and warehouse expense, partially offset by tariff pressure. In addition, selling and administrative expenses as a percentage of net sales decreased 40 basis points for the first quarter of Fiscal 2027 compared to the first quarter of Fiscal 2026 reflecting leverage of expenses, especially marketing and freight expense, partially offset by increased performance-based incentive compensation expenses.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Genesco Brands Group</w:t>
            </w:r>
          </w:p>
        </w:tc>
        <w:tc>
          <w:tcPr>
            <w:tcW w:w="2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00" w:type="dxa"/>
            <w:vAlign w:val="bottom"/>
          </w:tcPr>
          <w:p>
            <w:pPr>
              <w:spacing w:after="0"/>
              <w:rPr>
                <w:sz w:val="24"/>
                <w:szCs w:val="24"/>
                <w:color w:val="auto"/>
              </w:rPr>
            </w:pPr>
          </w:p>
        </w:tc>
        <w:tc>
          <w:tcPr>
            <w:tcW w:w="336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20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3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p>
        </w:tc>
        <w:tc>
          <w:tcPr>
            <w:tcW w:w="200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3,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6300" w:type="dxa"/>
            <w:vAlign w:val="bottom"/>
          </w:tcPr>
          <w:p>
            <w:pPr>
              <w:spacing w:after="0"/>
              <w:rPr>
                <w:sz w:val="18"/>
                <w:szCs w:val="18"/>
                <w:color w:val="auto"/>
              </w:rPr>
            </w:pPr>
          </w:p>
        </w:tc>
        <w:tc>
          <w:tcPr>
            <w:tcW w:w="33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(dollars in thousands)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$29,690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20,441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9,249</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31.2%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30.6%</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8,087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27.2%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28.2%</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$1,162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Genesco Brands Group's net sales increased 3.9% to $29.7 million for the first quarter of Fiscal 2027 from $28.6 million for the first quarter of Fiscal 2026 primarily due to increased footwear sales of Dockers and private label products, partially offset by decreased sales of Levi's as we exited that business. The license for the Levi's brand expired in May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150 basis point improvement in operating margin for Genesco Brands Group for the first quarter of Fiscal 2027 compared to the first quarter of Fiscal 2026 was primarily due to decreased selling and administrative expenses as a percentage of net sales. The decrease reflects leverage of expenses as a result of increased revenue in the first quarter of Fiscal 2027, especially decreased shipping and warehouse and freight expenses, partially offset by increased royalty expenses. Also contributing to the improvement in operating margin is an increase in gross margin as a percentage of net sales due to a favorable change in sales mix and the reversal of an inventory write-down related to the exit of licenses, partially offset by tariff pressure.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Interest Expenses and Other Charges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and other expense for the first quarter of Fiscal 2027 was a gain of $0.5 million compared to an expense of $7.9 million for the first quarter of Fiscal 2026. The gain in corporate in the first quarter of Fiscal 2027 included an asset impairment and other gain of $10.1 million which included a gain from payment card interchange fee litigation, partially offset by store restructuring charges, costs associated with information technology transformation and severance. Corporate expense in the first quarter of Fiscal 2026 included asset impairment and other charges of $0.3 million for severance. The corporate expense increase, excluding asset impairment and other charges, reflects additional information technology transformation expenses and increased performance-based incentive compensation expense in the first quarter of Fiscal 2027 compared to the first quarter of Fiscal 2026.</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expense decreased $1.0 million to $0.3 million in the first quarter of Fiscal 2027 compared to $1.3 million in the first quarter of Fiscal 2026 primarily reflecting decreased revolver borrowings in North America in the first quarter of Fiscal 2027 compared to the first quarter of Fiscal 2026 and increased interest income in the first quarter of Fiscal 2027 as a result of increased investments during the first quarter this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seasonal, with our investment in working capital normally reaching peaks in the summer and fall of each year in anticipation of the back-to-school and holiday selling seasons. Historically, cash flows from operations typically have been generated principally in the fourth quarter of each fiscal year.</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02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34"/>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flow changes:</w:t>
            </w:r>
          </w:p>
        </w:tc>
        <w:tc>
          <w:tcPr>
            <w:tcW w:w="1380" w:type="dxa"/>
            <w:vAlign w:val="bottom"/>
            <w:tcBorders>
              <w:bottom w:val="single" w:sz="8" w:color="auto"/>
            </w:tcBorders>
            <w:vMerge w:val="continue"/>
          </w:tcPr>
          <w:p>
            <w:pPr>
              <w:spacing w:after="0"/>
              <w:rPr>
                <w:sz w:val="20"/>
                <w:szCs w:val="20"/>
                <w:color w:val="auto"/>
              </w:rPr>
            </w:pPr>
          </w:p>
        </w:tc>
        <w:tc>
          <w:tcPr>
            <w:tcW w:w="2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May 3, 2025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$(102,772)</w:t>
            </w:r>
          </w:p>
        </w:tc>
        <w:tc>
          <w:tcPr>
            <w:tcW w:w="20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$(101,036)</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(15,416)</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(18,898)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40,016</w:t>
            </w:r>
          </w:p>
        </w:tc>
        <w:tc>
          <w:tcPr>
            <w:tcW w:w="20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107,329</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(67,313)</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346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$(78,283)</w:t>
            </w:r>
          </w:p>
        </w:tc>
        <w:tc>
          <w:tcPr>
            <w:tcW w:w="202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$(12,259)</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$(66,024)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Reasons for the major variances in cash provided by (used in) the table above are as follows:</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$1.7 million higher in the first three months of Fiscal 2027 compared to the first three months of Fiscal 2026, reflecting primarily the following factors:</w:t>
      </w:r>
    </w:p>
    <w:p>
      <w:pPr>
        <w:ind w:left="380" w:hanging="372"/>
        <w:spacing w:after="0" w:line="26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$23.0 million decrease in cash flow from changes in inventory, primarily reflecting a $43.2 million increase in inventory in the first three months of Fiscal 2027 compared to a $20.2 million increase in inventory in the first three months of Fiscal 2026; partially offset by</w:t>
      </w:r>
    </w:p>
    <w:p>
      <w:pPr>
        <w:spacing w:after="0" w:line="18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$19.4 million increase in cash flow from changes in accounts payable, primarily reflecting changes in buying and receipt patterns in the first three months of Fiscal 2027 compared to the first three months of Fiscal 2026.</w:t>
      </w:r>
    </w:p>
    <w:p>
      <w:pPr>
        <w:spacing w:after="0" w:line="3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$3.5 million lower for the first three months of Fiscal 2027 as compared to the first three months of Fiscal 2026 reflecting decreased capital expenditures primarily related to omni-channel capabilities and investments in retail stores.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$67.3 million lower in the first three months of Fiscal 2027 as compared to the first three months of Fiscal 2026 primarily reflecting decreased net borrowings, partially offset by decreased share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 and Future Capital Needs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principal sources of liquidity: cash flow from operations, cash on hand and our credit facilities discussed in Item 8, Note 8, "Long-Term Debt", to our Consolidated Financial Statements included in our Annual Report on Form 10-K for Fiscal 2026.</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 2026, we have borrowed $15.0 million U.S. revolver borrowings, $7.9 million (CAD $10.8 million) revolver borrowings related to GCO Canada ULC and $22.4 million (£16.5 million) related to Schuh revolver borrowings. We were in compliance with all the relevant terms and conditions of the Credit Facility and the Facility Agreement as of May 2, 2026.</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cash on hand, cash provided by operations and borrowings under our Credit Facility and the Facility Agreement will be sufficient to support our liquidity needs in Fiscal 2027 and the foreseeable future.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discussed in Item I, Note 7, “Legal Proceedings,” to our Condensed Consolidated Financial Statements included in this Quarterly Report on Form 10-Q, we expect to receive refunds of approximately $23 to $25 million, not including interest, related to tariffs previously collected under IEEPA. The timing of cash receipts is dependent upon the execution of the refund process by CBP and the U.S. Treasury Department.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at May 2, 2026 increased 9% compared to January 31, 2026, primarily due to increased long-term debt and lease obligations.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capital expenditures in Fiscal 2027 are expected to be approximately $65 to $70 million of which approximately 90% is for new stores and renovations and 10% is for other initiatives. We do not currently have any longer-term capital expenditures or other cash requirements other than as set forth above and in the contractual obligations table as disclosed in Item 7 of our Annual Report on Form 10-K for the fiscal year ended January 31, 2026. We also do not currently have any off-balance sheet arrangements.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repurchase any shares of our common stock during the first quarter of Fiscal 2027. We repurchased 604,531 shares of our common stock during the first three months of Fiscal 2026 at a cost of $12.6 million, or an average cost of $20.79 per share. We have $29.8 million remaining as of May 2, 2026 under our expanded share repurchase authorization announced in June 2023. During the second quarter of Fiscal 2027, through June 10, 2026, we have not repurchased any shares of our common stock. We continue to view share repurchases as an important component of our balanced capital allocation strategy and are committed to deploying excess capital.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Contingencies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certain loss contingencies related to environmental proceedings and other legal matters, including those disclosed in Item 1, Note 7, "Legal Proceedings", to our Condensed Consolidated Financial Statements included in this Quarterly Report on Form 10-Q.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Descriptions of recently issued accounting pronouncements, if any, and the accounting pronouncements adopted by us during the first quarter of Fiscal 2027 are included in Note 1 to our Condensed Consolidated Financial Statements included in this Quarterly Report on Form 10-Q.</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incorporate by reference the information regarding market risk appearing in Item 7, “Management’s Discussion and Analysis of Financial Condition and Results of Operations” under the heading “Financial Market Risk” in our Annual Report on Form 10-K for the fiscal year ended January 31, 2026. There have been no material changes to our exposure to market risks from those disclosed in the Annual Report on Form 10-K for the fiscal year ended January 31,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information required to be disclosed by us, including our consolidated subsidiaries, in the reports we file or submit under the Securities Exchange Act of 1934, as amended (the "Exchange Act"), is made known to the officers who certify our financial reports and to other members of senior management. Any controls and procedures, no matter how well designed and operated, can provide only reasonable assurance of achieving desired objectives.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their evaluation as of May 2, 2026, the principal executive officer and principal financial officer of the Company have concluded that our disclosure controls and procedures (as defined in Rules 13a-15(e) and 15d-15(e) promulgated under the Exchange Act) were effective to ensure that the information required to be disclosed by us in the reports that we file or submit under the Exchange Act is (i) recorded, processed, summarized and reported within time periods specified in SEC rules and forms and (ii) accumulated and communicated to our management, including our principal executive officer and principal financial officer, to allow timely decisions regarding required disclosure.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first quarter of Fiscal 2027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regarding legal proceedings in Item 1, Note 7, “Legal Proceedings”, to our Condensed Consolidated Financial Statements included in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 is made to the factors set forth under the caption “Cautionary Notice Regarding Forward-Looking Statements” in this Quarterly Report on Form 10-Q and other risk factors described in our Annual Report on Form 10-K for the fiscal year ended January 31, 2026, which are incorporated herein by reference. There have not been any material changes to the risk factors previously disclosed in our Annual Report on Form 10-K for the year ended January 31, 2026.</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these risk factors, all or any of which could materially affect our business, financial condition or future results. The risks described in this report and in our Annual Report are not the only risks facing our Company. Additional risks and uncertainties not currently known to us or that we currently deem to be immaterial also may materially adversely affect our business, financial condition and/or operating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Repurchases</w:t>
      </w:r>
      <w:r>
        <w:rPr>
          <w:rFonts w:ascii="Times New Roman" w:cs="Times New Roman" w:eastAsia="Times New Roman" w:hAnsi="Times New Roman"/>
          <w:sz w:val="18"/>
          <w:szCs w:val="18"/>
          <w:color w:val="auto"/>
        </w:rPr>
        <w:t xml:space="preserve"> (shown in thousands except share and per share amounts):</w:t>
      </w:r>
    </w:p>
    <w:p>
      <w:pPr>
        <w:spacing w:after="0" w:line="2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 Maximum</w:t>
            </w:r>
          </w:p>
        </w:tc>
      </w:tr>
      <w:tr>
        <w:trPr>
          <w:trHeight w:val="216"/>
        </w:trPr>
        <w:tc>
          <w:tcPr>
            <w:tcW w:w="4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 Total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Number</w:t>
            </w:r>
          </w:p>
        </w:tc>
      </w:tr>
      <w:tr>
        <w:trPr>
          <w:trHeight w:val="216"/>
        </w:trPr>
        <w:tc>
          <w:tcPr>
            <w:tcW w:w="4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(or Approximate</w:t>
            </w:r>
          </w:p>
        </w:tc>
      </w:tr>
      <w:tr>
        <w:trPr>
          <w:trHeight w:val="216"/>
        </w:trPr>
        <w:tc>
          <w:tcPr>
            <w:tcW w:w="4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Dollar Value)</w:t>
            </w:r>
          </w:p>
        </w:tc>
      </w:tr>
      <w:tr>
        <w:trPr>
          <w:trHeight w:val="216"/>
        </w:trPr>
        <w:tc>
          <w:tcPr>
            <w:tcW w:w="4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Purchased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of Shares that</w:t>
            </w:r>
          </w:p>
        </w:tc>
      </w:tr>
      <w:tr>
        <w:trPr>
          <w:trHeight w:val="216"/>
        </w:trPr>
        <w:tc>
          <w:tcPr>
            <w:tcW w:w="4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as Part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May Yet Be</w:t>
            </w:r>
          </w:p>
        </w:tc>
      </w:tr>
      <w:tr>
        <w:trPr>
          <w:trHeight w:val="216"/>
        </w:trPr>
        <w:tc>
          <w:tcPr>
            <w:tcW w:w="4560" w:type="dxa"/>
            <w:vAlign w:val="bottom"/>
          </w:tcPr>
          <w:p>
            <w:pPr>
              <w:spacing w:after="0"/>
              <w:rPr>
                <w:sz w:val="18"/>
                <w:szCs w:val="18"/>
                <w:color w:val="auto"/>
              </w:rPr>
            </w:pPr>
          </w:p>
        </w:tc>
        <w:tc>
          <w:tcPr>
            <w:tcW w:w="25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(a) Total</w:t>
            </w:r>
          </w:p>
        </w:tc>
        <w:tc>
          <w:tcPr>
            <w:tcW w:w="18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(b) Average</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of Publicly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6"/>
        </w:trPr>
        <w:tc>
          <w:tcPr>
            <w:tcW w:w="4560" w:type="dxa"/>
            <w:vAlign w:val="bottom"/>
          </w:tcPr>
          <w:p>
            <w:pPr>
              <w:spacing w:after="0"/>
              <w:rPr>
                <w:sz w:val="18"/>
                <w:szCs w:val="18"/>
                <w:color w:val="auto"/>
              </w:rPr>
            </w:pPr>
          </w:p>
        </w:tc>
        <w:tc>
          <w:tcPr>
            <w:tcW w:w="25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Price</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Announced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Under the</w:t>
            </w:r>
          </w:p>
        </w:tc>
      </w:tr>
      <w:tr>
        <w:trPr>
          <w:trHeight w:val="216"/>
        </w:trPr>
        <w:tc>
          <w:tcPr>
            <w:tcW w:w="4560" w:type="dxa"/>
            <w:vAlign w:val="bottom"/>
          </w:tcPr>
          <w:p>
            <w:pPr>
              <w:spacing w:after="0"/>
              <w:rPr>
                <w:sz w:val="18"/>
                <w:szCs w:val="18"/>
                <w:color w:val="auto"/>
              </w:rPr>
            </w:pPr>
          </w:p>
        </w:tc>
        <w:tc>
          <w:tcPr>
            <w:tcW w:w="25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Shares</w:t>
            </w:r>
          </w:p>
        </w:tc>
        <w:tc>
          <w:tcPr>
            <w:tcW w:w="18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Paid</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Plans or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Plans or</w:t>
            </w:r>
          </w:p>
        </w:tc>
      </w:tr>
      <w:tr>
        <w:trPr>
          <w:trHeight w:val="234"/>
        </w:trPr>
        <w:tc>
          <w:tcPr>
            <w:tcW w:w="45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Period</w:t>
            </w:r>
          </w:p>
        </w:tc>
        <w:tc>
          <w:tcPr>
            <w:tcW w:w="25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9"/>
              </w:rPr>
              <w:t>Purchased</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per Share</w:t>
            </w:r>
          </w:p>
        </w:tc>
        <w:tc>
          <w:tcPr>
            <w:tcW w:w="10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Programs</w:t>
            </w: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2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2-1-26 to 2-28-26 </w:t>
            </w:r>
            <w:r>
              <w:rPr>
                <w:rFonts w:ascii="Times New Roman" w:cs="Times New Roman" w:eastAsia="Times New Roman" w:hAnsi="Times New Roman"/>
                <w:sz w:val="24"/>
                <w:szCs w:val="24"/>
                <w:color w:val="auto"/>
                <w:vertAlign w:val="superscript"/>
              </w:rPr>
              <w:t>(1)</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29,755</w:t>
            </w:r>
          </w:p>
        </w:tc>
      </w:tr>
      <w:tr>
        <w:trPr>
          <w:trHeight w:val="216"/>
        </w:trPr>
        <w:tc>
          <w:tcPr>
            <w:tcW w:w="4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2-1-26 to 2-28-26 </w:t>
            </w:r>
            <w:r>
              <w:rPr>
                <w:rFonts w:ascii="Times New Roman" w:cs="Times New Roman" w:eastAsia="Times New Roman" w:hAnsi="Times New Roman"/>
                <w:sz w:val="24"/>
                <w:szCs w:val="24"/>
                <w:color w:val="auto"/>
                <w:vertAlign w:val="superscript"/>
              </w:rPr>
              <w:t>(2)</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28.91</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2026</w:t>
            </w:r>
          </w:p>
        </w:tc>
        <w:tc>
          <w:tcPr>
            <w:tcW w:w="2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3-1-26 to 3-28-26 </w:t>
            </w:r>
            <w:r>
              <w:rPr>
                <w:rFonts w:ascii="Times New Roman" w:cs="Times New Roman" w:eastAsia="Times New Roman" w:hAnsi="Times New Roman"/>
                <w:sz w:val="24"/>
                <w:szCs w:val="24"/>
                <w:color w:val="auto"/>
                <w:vertAlign w:val="superscript"/>
              </w:rPr>
              <w:t>(1)</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29,755</w:t>
            </w:r>
          </w:p>
        </w:tc>
      </w:tr>
      <w:tr>
        <w:trPr>
          <w:trHeight w:val="216"/>
        </w:trPr>
        <w:tc>
          <w:tcPr>
            <w:tcW w:w="456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April 2026</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3-29-26 to 5-2-26 </w:t>
            </w:r>
            <w:r>
              <w:rPr>
                <w:rFonts w:ascii="Times New Roman" w:cs="Times New Roman" w:eastAsia="Times New Roman" w:hAnsi="Times New Roman"/>
                <w:sz w:val="24"/>
                <w:szCs w:val="24"/>
                <w:color w:val="auto"/>
                <w:vertAlign w:val="superscript"/>
              </w:rPr>
              <w:t>(1)</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29,755</w:t>
            </w:r>
          </w:p>
        </w:tc>
      </w:tr>
      <w:tr>
        <w:trPr>
          <w:trHeight w:val="216"/>
        </w:trPr>
        <w:tc>
          <w:tcPr>
            <w:tcW w:w="456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8"/>
                <w:szCs w:val="18"/>
                <w:color w:val="auto"/>
              </w:rPr>
              <w:t xml:space="preserve">3-29-26 to 5-2-26 </w:t>
            </w:r>
            <w:r>
              <w:rPr>
                <w:rFonts w:ascii="Times New Roman" w:cs="Times New Roman" w:eastAsia="Times New Roman" w:hAnsi="Times New Roman"/>
                <w:sz w:val="24"/>
                <w:szCs w:val="24"/>
                <w:color w:val="auto"/>
                <w:vertAlign w:val="superscript"/>
              </w:rPr>
              <w:t>(2)</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28.67</w:t>
            </w: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28.73</w:t>
            </w:r>
          </w:p>
        </w:tc>
        <w:tc>
          <w:tcPr>
            <w:tcW w:w="10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29,755</w:t>
            </w:r>
          </w:p>
        </w:tc>
      </w:tr>
    </w:tbl>
    <w:p>
      <w:pPr>
        <w:spacing w:after="0" w:line="198" w:lineRule="exact"/>
        <w:rPr>
          <w:sz w:val="20"/>
          <w:szCs w:val="20"/>
          <w:color w:val="auto"/>
        </w:rPr>
      </w:pPr>
    </w:p>
    <w:p>
      <w:pPr>
        <w:ind w:right="240" w:firstLine="8"/>
        <w:spacing w:after="0" w:line="256" w:lineRule="auto"/>
        <w:tabs>
          <w:tab w:leader="none" w:pos="185"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February 2022, a $100.0 million share repurchase program was approved by the Board of Directors and announced in February 2022, and in June 2023, the Board of Directors approved an additional $50.0 million for share repurchases. We expect to implement the balance of the repurchase program through purchases made from time to time either in the open market or through private transactions, in accordance with the regulations of the SEC and other applicable legal requirements. The timing and amount of any shares repurchased under the program will depend on a variety of factors, including price, corporate and regulatory requirements, capital availability, and other market conditions. The repurchase program may be limited, temporarily paused, or terminated by our Board of Directors at any time without prior notice.</w:t>
      </w:r>
    </w:p>
    <w:p>
      <w:pPr>
        <w:spacing w:after="0" w:line="1" w:lineRule="exact"/>
        <w:rPr>
          <w:rFonts w:ascii="Times New Roman" w:cs="Times New Roman" w:eastAsia="Times New Roman" w:hAnsi="Times New Roman"/>
          <w:sz w:val="22"/>
          <w:szCs w:val="22"/>
          <w:color w:val="auto"/>
          <w:vertAlign w:val="superscript"/>
        </w:rPr>
      </w:pPr>
    </w:p>
    <w:p>
      <w:pPr>
        <w:ind w:left="200" w:hanging="192"/>
        <w:spacing w:after="0" w:line="187" w:lineRule="auto"/>
        <w:tabs>
          <w:tab w:leader="none" w:pos="20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shares represent shares withheld from vested restricted stock to satisfy the minimum withholding requirement for federal and state taxes.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Arrangements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2027, no director or officer (as defined in Section 16 of the Exchange Act) of the Company adopted or terminated any "Rule 10b5-1 trading arrangement" or "non-Rule 10b5-1 trading arrangement" (in each case, as defined in Item 408 (a) and (c)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64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1"/>
        </w:trPr>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31.1</w:t>
            </w:r>
          </w:p>
        </w:tc>
        <w:tc>
          <w:tcPr>
            <w:tcW w:w="9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and Interim Chief Financial Officer Pursuant to Section 302 of the Sarbanes-Oxley Act of</w:t>
            </w:r>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9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32.1</w:t>
            </w:r>
          </w:p>
        </w:tc>
        <w:tc>
          <w:tcPr>
            <w:tcW w:w="9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Interim Chief Financial Officer Pursuant to 18 U.S.C. Section 1350, as Adopted</w:t>
            </w:r>
          </w:p>
        </w:tc>
      </w:tr>
      <w:tr>
        <w:trPr>
          <w:trHeight w:val="20"/>
        </w:trPr>
        <w:tc>
          <w:tcPr>
            <w:tcW w:w="1400" w:type="dxa"/>
            <w:vAlign w:val="bottom"/>
          </w:tcPr>
          <w:p>
            <w:pPr>
              <w:spacing w:after="0" w:line="20" w:lineRule="exact"/>
              <w:rPr>
                <w:sz w:val="1"/>
                <w:szCs w:val="1"/>
                <w:color w:val="auto"/>
              </w:rPr>
            </w:pPr>
          </w:p>
        </w:tc>
        <w:tc>
          <w:tcPr>
            <w:tcW w:w="4320" w:type="dxa"/>
            <w:vAlign w:val="bottom"/>
            <w:tcBorders>
              <w:right w:val="single" w:sz="8" w:color="0000FF"/>
            </w:tcBorders>
            <w:gridSpan w:val="2"/>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30" w:lineRule="exact"/>
        <w:rPr>
          <w:sz w:val="20"/>
          <w:szCs w:val="20"/>
          <w:color w:val="auto"/>
        </w:rPr>
      </w:pPr>
    </w:p>
    <w:p>
      <w:pPr>
        <w:ind w:left="1380" w:hanging="938"/>
        <w:spacing w:after="0" w:line="255"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Genesco Inc.'s Quarterly Report on Form 10-Q for the quarter ended May 2, 2026, formatted in Inline XBRL (eXtensible Business Reporting Language): (i) Condensed Consolidated Balance Sheets at May 2, 2026, January 31, 2026 and May 3, 2025, (ii) Condensed Consolidated Statements of Operations for each of the three months ended May 2, 2026 and May 3, 2025, (iii) Condensed Consolidated Statements of Comprehensive Loss for each of the three months ended May 2, 2026 and May 3, 2025, (iv) Condensed Consolidated Statements of Cash Flows for the three months ended May 2, 2026 and May 3, 2025, (v) Condensed Consolidated Statements of Equity for each of the three months ended May 2, 2026 and May 3, 2025, and (vi) Notes to the Condensed Consolidated Financial Statements.</w:t>
      </w:r>
    </w:p>
    <w:p>
      <w:pPr>
        <w:spacing w:after="0" w:line="216" w:lineRule="exact"/>
        <w:rPr>
          <w:sz w:val="20"/>
          <w:szCs w:val="20"/>
          <w:color w:val="auto"/>
        </w:rPr>
      </w:pPr>
    </w:p>
    <w:p>
      <w:pPr>
        <w:ind w:left="5540" w:right="3240" w:hanging="5098"/>
        <w:spacing w:after="0" w:line="783" w:lineRule="auto"/>
        <w:tabs>
          <w:tab w:leader="none" w:pos="13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Genesco Inc.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Mimi E. Vaughn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Board Chair, President, 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and Interim 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ind w:right="1520" w:firstLine="1527"/>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CERTIFICATION OF PRINCIPAL EXECUTIVE OFFICER AND PRINCIPAL FINANCIAL OFFICER </w:t>
      </w:r>
      <w:r>
        <w:rPr>
          <w:rFonts w:ascii="Times New Roman" w:cs="Times New Roman" w:eastAsia="Times New Roman" w:hAnsi="Times New Roman"/>
          <w:sz w:val="18"/>
          <w:szCs w:val="18"/>
          <w:color w:val="auto"/>
        </w:rPr>
        <w:t>I, Mimi E. Vaughn, certify that:</w:t>
      </w:r>
    </w:p>
    <w:p>
      <w:pPr>
        <w:spacing w:after="0" w:line="2"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Genesco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8"/>
          <w:szCs w:val="18"/>
          <w:color w:val="auto"/>
        </w:rPr>
      </w:pPr>
    </w:p>
    <w:p>
      <w:pPr>
        <w:ind w:right="340" w:firstLine="507"/>
        <w:spacing w:after="0" w:line="266" w:lineRule="auto"/>
        <w:tabs>
          <w:tab w:leader="none" w:pos="6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00" w:hanging="193"/>
        <w:spacing w:after="0"/>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60" w:firstLine="507"/>
        <w:spacing w:after="0" w:line="282" w:lineRule="auto"/>
        <w:tabs>
          <w:tab w:leader="none" w:pos="6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40" w:firstLine="507"/>
        <w:spacing w:after="0" w:line="266" w:lineRule="auto"/>
        <w:tabs>
          <w:tab w:leader="none" w:pos="6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40" w:firstLine="507"/>
        <w:spacing w:after="0" w:line="282" w:lineRule="auto"/>
        <w:tabs>
          <w:tab w:leader="none" w:pos="6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00" w:firstLine="507"/>
        <w:spacing w:after="0" w:line="282" w:lineRule="auto"/>
        <w:tabs>
          <w:tab w:leader="none" w:pos="6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Mimi E. Vaughn</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Genesco Inc. (the “Company”) on Form 10-Q for the period ended May 2, 2026, as filed with the Securities and Exchange Commission on the date hereof (the “Report”), I, Mimi E. Vaughn, Chief Executive Officer and Interim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hanging="25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Mimi E. Vaughn</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2026-06-11T09:50:03Z</dcterms:created>
  <dcterms:modified xsi:type="dcterms:W3CDTF">2026-06-11T09:50:03Z</dcterms:modified>
</cp:coreProperties>
</file>