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VAUGHN MIMI ECKEL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GENESCO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535 MARRIOTT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GENESCO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Board Chair, President &amp; CEO</w:t>
      </w:r>
    </w:p>
    <w:p>
      <w:pPr>
        <w:spacing w:after="0" w:line="4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37214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28.93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398,079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satisfy minimum tax withholding liability upon the vesting of restricted stock granted under the Second Amended and Restated 2020 Equity Incentive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Scott E. Becker,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5233" TargetMode="External"/><Relationship Id="rId14" Type="http://schemas.openxmlformats.org/officeDocument/2006/relationships/hyperlink" Target="http://www.sec.gov/cgi-bin/browse-edgar?action=getcompany&amp;CIK=0000018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2026-02-02T15:07:50Z</dcterms:created>
  <dcterms:modified xsi:type="dcterms:W3CDTF">2026-02-02T15:07:50Z</dcterms:modified>
</cp:coreProperties>
</file>