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right="5300"/>
        <w:spacing w:after="0" w:line="270" w:lineRule="auto"/>
        <w:rPr>
          <w:sz w:val="20"/>
          <w:szCs w:val="20"/>
          <w:color w:val="auto"/>
        </w:rPr>
      </w:pPr>
      <w:r>
        <w:rPr>
          <w:rFonts w:ascii="Times New Roman" w:cs="Times New Roman" w:eastAsia="Times New Roman" w:hAnsi="Times New Roman"/>
          <w:sz w:val="29"/>
          <w:szCs w:val="29"/>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327660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t>SECURITIES AND EXCHANGE COMMISSION Washington, D.C. 20549</w:t>
      </w: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2"/>
          <w:szCs w:val="22"/>
          <w:color w:val="auto"/>
        </w:rPr>
        <w:t>SCHEDULE 13G</w:t>
      </w:r>
    </w:p>
    <w:p>
      <w:pPr>
        <w:spacing w:after="0" w:line="35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39"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auto"/>
        </w:rPr>
        <w:t xml:space="preserve">(Amendment No. </w:t>
      </w:r>
      <w:r>
        <w:rPr>
          <w:rFonts w:ascii="Times New Roman" w:cs="Times New Roman" w:eastAsia="Times New Roman" w:hAnsi="Times New Roman"/>
          <w:sz w:val="14"/>
          <w:szCs w:val="14"/>
          <w:b w:val="1"/>
          <w:bCs w:val="1"/>
          <w:color w:val="0000FF"/>
        </w:rPr>
        <w:t>1</w:t>
      </w:r>
      <w:r>
        <w:rPr>
          <w:rFonts w:ascii="Times New Roman" w:cs="Times New Roman" w:eastAsia="Times New Roman" w:hAnsi="Times New Roman"/>
          <w:sz w:val="14"/>
          <w:szCs w:val="14"/>
          <w:b w:val="1"/>
          <w:bCs w:val="1"/>
          <w:color w:val="auto"/>
        </w:rPr>
        <w:t>)*</w:t>
      </w:r>
    </w:p>
    <w:p>
      <w:pPr>
        <w:spacing w:after="0" w:line="36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(Name of Issuer)</w:t>
      </w:r>
    </w:p>
    <w:p>
      <w:pPr>
        <w:spacing w:after="0" w:line="361" w:lineRule="exact"/>
        <w:rPr>
          <w:sz w:val="24"/>
          <w:szCs w:val="24"/>
          <w:color w:val="auto"/>
        </w:rPr>
      </w:pPr>
    </w:p>
    <w:p>
      <w:pPr>
        <w:jc w:val="center"/>
        <w:ind w:right="5200"/>
        <w:spacing w:after="0"/>
        <w:rPr>
          <w:sz w:val="20"/>
          <w:szCs w:val="20"/>
          <w:color w:val="auto"/>
        </w:rPr>
      </w:pPr>
      <w:r>
        <w:rPr>
          <w:rFonts w:ascii="Times New Roman" w:cs="Times New Roman" w:eastAsia="Times New Roman" w:hAnsi="Times New Roman"/>
          <w:sz w:val="14"/>
          <w:szCs w:val="14"/>
          <w:b w:val="1"/>
          <w:bCs w:val="1"/>
          <w:color w:val="0000FF"/>
        </w:rPr>
        <w:t>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361" w:lineRule="exact"/>
        <w:rPr>
          <w:sz w:val="24"/>
          <w:szCs w:val="24"/>
          <w:color w:val="auto"/>
        </w:rPr>
      </w:pPr>
    </w:p>
    <w:p>
      <w:pPr>
        <w:jc w:val="center"/>
        <w:ind w:right="5200"/>
        <w:spacing w:after="0"/>
        <w:rPr>
          <w:sz w:val="20"/>
          <w:szCs w:val="20"/>
          <w:color w:val="auto"/>
        </w:rPr>
      </w:pPr>
      <w:r>
        <w:rPr>
          <w:rFonts w:ascii="Times New Roman" w:cs="Times New Roman" w:eastAsia="Times New Roman" w:hAnsi="Times New Roman"/>
          <w:sz w:val="14"/>
          <w:szCs w:val="14"/>
          <w:b w:val="1"/>
          <w:bCs w:val="1"/>
          <w:color w:val="0000FF"/>
        </w:rPr>
        <w:t>371532102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361" w:lineRule="exact"/>
        <w:rPr>
          <w:sz w:val="24"/>
          <w:szCs w:val="24"/>
          <w:color w:val="auto"/>
        </w:rPr>
      </w:pPr>
    </w:p>
    <w:p>
      <w:pPr>
        <w:jc w:val="center"/>
        <w:ind w:right="5200"/>
        <w:spacing w:after="0"/>
        <w:rPr>
          <w:sz w:val="20"/>
          <w:szCs w:val="20"/>
          <w:color w:val="auto"/>
        </w:rPr>
      </w:pPr>
      <w:r>
        <w:rPr>
          <w:rFonts w:ascii="Times New Roman" w:cs="Times New Roman" w:eastAsia="Times New Roman" w:hAnsi="Times New Roman"/>
          <w:sz w:val="14"/>
          <w:szCs w:val="14"/>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382016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20160" cy="36830"/>
                    </a:xfrm>
                    <a:prstGeom prst="rect">
                      <a:avLst/>
                    </a:prstGeom>
                    <a:noFill/>
                  </pic:spPr>
                </pic:pic>
              </a:graphicData>
            </a:graphic>
          </wp:anchor>
        </w:drawing>
      </w:r>
    </w:p>
    <w:p>
      <w:pPr>
        <w:spacing w:after="0" w:line="14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3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Check the appropriate box to designate the rule pursuant to which this Schedule is filed:</w:t>
      </w:r>
    </w:p>
    <w:p>
      <w:pPr>
        <w:spacing w:after="0" w:line="4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4"/>
          <w:szCs w:val="14"/>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62230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-95885</wp:posOffset>
            </wp:positionV>
            <wp:extent cx="8572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371532102</w:t>
      </w:r>
    </w:p>
    <w:p>
      <w:pPr>
        <w:spacing w:after="0" w:line="38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21"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4"/>
          <w:szCs w:val="24"/>
          <w:color w:val="auto"/>
        </w:rPr>
      </w:pPr>
    </w:p>
    <w:p>
      <w:pPr>
        <w:ind w:left="940" w:hanging="921"/>
        <w:spacing w:after="0"/>
        <w:tabs>
          <w:tab w:leader="none" w:pos="940" w:val="left"/>
        </w:tabs>
        <w:numPr>
          <w:ilvl w:val="0"/>
          <w:numId w:val="1"/>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4"/>
          <w:szCs w:val="24"/>
          <w:color w:val="auto"/>
        </w:rPr>
      </w:pPr>
    </w:p>
    <w:p>
      <w:pPr>
        <w:ind w:left="940" w:hanging="921"/>
        <w:spacing w:after="0"/>
        <w:tabs>
          <w:tab w:leader="none" w:pos="9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4"/>
          <w:szCs w:val="24"/>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JAPAN</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422,732.00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422,732.00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422,732.00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HC</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(1) Shared voting and dispositive power represents (i) 422,678 shares of Common Stock beneficially owned by Nomura Global Financial Products,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 ("NGFP") and (ii) 54 shares of Common Stock beneficially owned by Nomura Securities International, Inc. ("NSI"). NGFP and NSI are wholly owned subsidiaries of Nomura Holdings, Inc., which accordingly may be deemed to beneficially own the shares of Common Stock beneficially owned by NGFP and NSI. (2) The percent of class is calculated based on 10,778,805 shares of Common Stock outstanding as of May 30, 2025, as reported in the Issuer's quarterly report on Form 10-Q for the fiscal quarter ended May 3, 2025 filed with the SEC on June 12, 2025.</w:t>
      </w:r>
    </w:p>
    <w:p>
      <w:pPr>
        <w:sectPr>
          <w:pgSz w:w="11900" w:h="16838" w:orient="portrait"/>
          <w:cols w:equalWidth="0" w:num="1">
            <w:col w:w="11220"/>
          </w:cols>
          <w:pgMar w:left="300" w:top="625" w:right="379" w:bottom="0" w:gutter="0" w:footer="0" w:header="0"/>
        </w:sectPr>
      </w:pPr>
    </w:p>
    <w:bookmarkStart w:id="1" w:name="page2"/>
    <w:bookmarkEnd w:id="1"/>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CUSIP No. </w:t>
      </w:r>
      <w:r>
        <w:rPr>
          <w:rFonts w:ascii="Times New Roman" w:cs="Times New Roman" w:eastAsia="Times New Roman" w:hAnsi="Times New Roman"/>
          <w:sz w:val="12"/>
          <w:szCs w:val="12"/>
          <w:color w:val="auto"/>
        </w:rPr>
        <w:t>371532102</w:t>
      </w:r>
    </w:p>
    <w:p>
      <w:pPr>
        <w:spacing w:after="0" w:line="38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Names of Reporting Persons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Check the appropriate box if a member of a Group (see instructions)</w:t>
      </w:r>
    </w:p>
    <w:p>
      <w:pPr>
        <w:spacing w:after="0" w:line="26" w:lineRule="exact"/>
        <w:rPr>
          <w:sz w:val="20"/>
          <w:szCs w:val="20"/>
          <w:color w:val="auto"/>
        </w:rPr>
      </w:pPr>
    </w:p>
    <w:p>
      <w:pPr>
        <w:ind w:left="940" w:hanging="921"/>
        <w:spacing w:after="0"/>
        <w:tabs>
          <w:tab w:leader="none" w:pos="940" w:val="left"/>
        </w:tabs>
        <w:numPr>
          <w:ilvl w:val="0"/>
          <w:numId w:val="3"/>
        </w:numPr>
        <w:rPr>
          <w:rFonts w:ascii="Times New Roman" w:cs="Times New Roman" w:eastAsia="Times New Roman" w:hAnsi="Times New Roman"/>
          <w:sz w:val="29"/>
          <w:szCs w:val="29"/>
          <w:color w:val="auto"/>
          <w:vertAlign w:val="superscript"/>
        </w:rPr>
      </w:pPr>
      <w:r>
        <w:rPr>
          <w:sz w:val="1"/>
          <w:szCs w:val="1"/>
          <w:color w:val="auto"/>
        </w:rPr>
        <w:drawing>
          <wp:inline distT="0" distB="0" distL="0" distR="0">
            <wp:extent cx="85725" cy="857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(a)</w:t>
      </w:r>
    </w:p>
    <w:p>
      <w:pPr>
        <w:ind w:left="94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8572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(b)</w:t>
      </w:r>
    </w:p>
    <w:p>
      <w:pPr>
        <w:spacing w:after="0" w:line="23" w:lineRule="exact"/>
        <w:rPr>
          <w:sz w:val="20"/>
          <w:szCs w:val="20"/>
          <w:color w:val="auto"/>
        </w:rPr>
      </w:pPr>
    </w:p>
    <w:p>
      <w:pPr>
        <w:ind w:left="940" w:hanging="921"/>
        <w:spacing w:after="0"/>
        <w:tabs>
          <w:tab w:leader="none" w:pos="9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Use Only</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 or Place of Organization</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4</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840" w:type="dxa"/>
            <w:vAlign w:val="bottom"/>
          </w:tcPr>
          <w:p>
            <w:pPr>
              <w:spacing w:after="0"/>
              <w:rPr>
                <w:sz w:val="16"/>
                <w:szCs w:val="16"/>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DELAWARE</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Number of</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Voting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80"/>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Beneficially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422,678.00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Owned by</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Sole Dispositive Power</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Each</w:t>
            </w:r>
          </w:p>
        </w:tc>
        <w:tc>
          <w:tcPr>
            <w:tcW w:w="51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Reporting</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Person With:</w:t>
            </w: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Shared Dispositive</w:t>
            </w:r>
          </w:p>
        </w:tc>
        <w:tc>
          <w:tcPr>
            <w:tcW w:w="0" w:type="dxa"/>
            <w:vAlign w:val="bottom"/>
          </w:tcPr>
          <w:p>
            <w:pPr>
              <w:spacing w:after="0"/>
              <w:rPr>
                <w:sz w:val="1"/>
                <w:szCs w:val="1"/>
                <w:color w:val="auto"/>
              </w:rPr>
            </w:pPr>
          </w:p>
        </w:tc>
      </w:tr>
      <w:tr>
        <w:trPr>
          <w:trHeight w:val="324"/>
        </w:trPr>
        <w:tc>
          <w:tcPr>
            <w:tcW w:w="840" w:type="dxa"/>
            <w:vAlign w:val="bottom"/>
          </w:tcPr>
          <w:p>
            <w:pPr>
              <w:spacing w:after="0"/>
              <w:rPr>
                <w:sz w:val="24"/>
                <w:szCs w:val="24"/>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28"/>
                <w:szCs w:val="28"/>
                <w:color w:val="auto"/>
                <w:vertAlign w:val="subscript"/>
              </w:rPr>
              <w:t>8</w:t>
            </w:r>
            <w:r>
              <w:rPr>
                <w:rFonts w:ascii="Times New Roman" w:cs="Times New Roman" w:eastAsia="Times New Roman" w:hAnsi="Times New Roman"/>
                <w:sz w:val="14"/>
                <w:szCs w:val="14"/>
                <w:color w:val="auto"/>
              </w:rPr>
              <w:t xml:space="preserve"> Power</w:t>
            </w:r>
          </w:p>
        </w:tc>
        <w:tc>
          <w:tcPr>
            <w:tcW w:w="0" w:type="dxa"/>
            <w:vAlign w:val="bottom"/>
          </w:tcPr>
          <w:p>
            <w:pPr>
              <w:spacing w:after="0"/>
              <w:rPr>
                <w:sz w:val="1"/>
                <w:szCs w:val="1"/>
                <w:color w:val="auto"/>
              </w:rPr>
            </w:pPr>
          </w:p>
        </w:tc>
      </w:tr>
      <w:tr>
        <w:trPr>
          <w:trHeight w:val="188"/>
        </w:trPr>
        <w:tc>
          <w:tcPr>
            <w:tcW w:w="840" w:type="dxa"/>
            <w:vAlign w:val="bottom"/>
          </w:tcPr>
          <w:p>
            <w:pPr>
              <w:spacing w:after="0"/>
              <w:rPr>
                <w:sz w:val="16"/>
                <w:szCs w:val="16"/>
                <w:color w:val="auto"/>
              </w:rPr>
            </w:pPr>
          </w:p>
        </w:tc>
        <w:tc>
          <w:tcPr>
            <w:tcW w:w="5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422,678.00</w:t>
            </w:r>
          </w:p>
        </w:tc>
        <w:tc>
          <w:tcPr>
            <w:tcW w:w="0" w:type="dxa"/>
            <w:vAlign w:val="bottom"/>
          </w:tcPr>
          <w:p>
            <w:pPr>
              <w:spacing w:after="0"/>
              <w:rPr>
                <w:sz w:val="1"/>
                <w:szCs w:val="1"/>
                <w:color w:val="auto"/>
              </w:rPr>
            </w:pPr>
          </w:p>
        </w:tc>
      </w:tr>
      <w:tr>
        <w:trPr>
          <w:trHeight w:val="225"/>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9</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Aggregate Amount Beneficially Owned by Each Reporting Person</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422,678.00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144"/>
        </w:trPr>
        <w:tc>
          <w:tcPr>
            <w:tcW w:w="840" w:type="dxa"/>
            <w:vAlign w:val="bottom"/>
            <w:vMerge w:val="continue"/>
          </w:tcPr>
          <w:p>
            <w:pPr>
              <w:spacing w:after="0"/>
              <w:rPr>
                <w:sz w:val="12"/>
                <w:szCs w:val="12"/>
                <w:color w:val="auto"/>
              </w:rPr>
            </w:pPr>
          </w:p>
        </w:tc>
        <w:tc>
          <w:tcPr>
            <w:tcW w:w="5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11</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Percent of class represented by amount in row (9)</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3.9 %</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12</w:t>
            </w:r>
          </w:p>
        </w:tc>
        <w:tc>
          <w:tcPr>
            <w:tcW w:w="5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Type of Reporting Person (See Instructions)</w:t>
            </w:r>
          </w:p>
        </w:tc>
        <w:tc>
          <w:tcPr>
            <w:tcW w:w="0" w:type="dxa"/>
            <w:vAlign w:val="bottom"/>
          </w:tcPr>
          <w:p>
            <w:pPr>
              <w:spacing w:after="0"/>
              <w:rPr>
                <w:sz w:val="1"/>
                <w:szCs w:val="1"/>
                <w:color w:val="auto"/>
              </w:rPr>
            </w:pPr>
          </w:p>
        </w:tc>
      </w:tr>
      <w:tr>
        <w:trPr>
          <w:trHeight w:val="162"/>
        </w:trPr>
        <w:tc>
          <w:tcPr>
            <w:tcW w:w="840" w:type="dxa"/>
            <w:vAlign w:val="bottom"/>
            <w:vMerge w:val="continue"/>
          </w:tcPr>
          <w:p>
            <w:pPr>
              <w:spacing w:after="0"/>
              <w:rPr>
                <w:sz w:val="14"/>
                <w:szCs w:val="14"/>
                <w:color w:val="auto"/>
              </w:rPr>
            </w:pPr>
          </w:p>
        </w:tc>
        <w:tc>
          <w:tcPr>
            <w:tcW w:w="51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BD</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-753110</wp:posOffset>
            </wp:positionV>
            <wp:extent cx="85725" cy="85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41" w:lineRule="exact"/>
        <w:rPr>
          <w:sz w:val="20"/>
          <w:szCs w:val="20"/>
          <w:color w:val="auto"/>
        </w:rPr>
      </w:pPr>
    </w:p>
    <w:p>
      <w:pPr>
        <w:ind w:right="42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Comment for Type of Reporting Person: </w:t>
      </w:r>
      <w:r>
        <w:rPr>
          <w:rFonts w:ascii="Times New Roman" w:cs="Times New Roman" w:eastAsia="Times New Roman" w:hAnsi="Times New Roman"/>
          <w:sz w:val="14"/>
          <w:szCs w:val="14"/>
          <w:color w:val="auto"/>
        </w:rPr>
        <w:t>(3) The percent of class is calculated based on 10,778,805 shares of Common Stock outstanding as of May 30, 2025, as reported in the Issuer's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quarterly report on Form 10-Q for the fiscal quarter ended May 3, 2025 filed with the SEC on June 12, 2025.</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SCHEDULE 13G</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1.</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issuer: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GENESCO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of issuer's principal executive offices: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535 Marriott Drive, Nashville, Tennessee, 37214</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Item 2.</w:t>
      </w:r>
    </w:p>
    <w:p>
      <w:pPr>
        <w:spacing w:after="0" w:line="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Name of person filing:</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t>
      </w:r>
    </w:p>
    <w:p>
      <w:pPr>
        <w:spacing w:after="0" w:line="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Nomura Holdings, Inc. Nomura Global Financial Products, Inc.</w:t>
      </w:r>
    </w:p>
    <w:p>
      <w:pPr>
        <w:spacing w:after="0" w:line="2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Address or principal business office or, if none, residence:</w:t>
      </w:r>
    </w:p>
    <w:p>
      <w:pPr>
        <w:spacing w:after="0" w:line="163" w:lineRule="exact"/>
        <w:rPr>
          <w:sz w:val="20"/>
          <w:szCs w:val="20"/>
          <w:color w:val="auto"/>
        </w:rPr>
      </w:pPr>
    </w:p>
    <w:p>
      <w:pPr>
        <w:ind w:left="940" w:hanging="921"/>
        <w:spacing w:after="0"/>
        <w:tabs>
          <w:tab w:leader="none" w:pos="94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Nomura Holdings, Inc.: 13-1, Nihonbashi 1-chome, Chuo-ku, Tokyo 103-8645, Japan Nomura Global Financial Products, Inc.: Worldwide Plaza 309 West 49th Street New York, NY 10019</w:t>
      </w:r>
    </w:p>
    <w:p>
      <w:pPr>
        <w:spacing w:after="0" w:line="6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color w:val="auto"/>
        </w:rPr>
        <w:t>Citizenship: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Nomura Holdings, Inc.: Japan Nomura Global Financial Products, Inc.: Delaware</w:t>
            </w:r>
          </w:p>
        </w:tc>
        <w:tc>
          <w:tcPr>
            <w:tcW w:w="0" w:type="dxa"/>
            <w:vAlign w:val="bottom"/>
          </w:tcPr>
          <w:p>
            <w:pPr>
              <w:spacing w:after="0"/>
              <w:rPr>
                <w:sz w:val="1"/>
                <w:szCs w:val="1"/>
                <w:color w:val="auto"/>
              </w:rPr>
            </w:pPr>
          </w:p>
        </w:tc>
      </w:tr>
      <w:tr>
        <w:trPr>
          <w:trHeight w:val="18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Title of class of securities:</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CUSIP No.:</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9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371532102</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9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3.</w:t>
            </w:r>
          </w:p>
        </w:tc>
        <w:tc>
          <w:tcPr>
            <w:tcW w:w="9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If this statement is filed pursuant to §§ 240.13d-1(b) or 240.13d-2(b) or (c), check whether the person filing is a:</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(a)</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Broker or dealer registered under section 15 of the Act (15 U.S.C. 78o);</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Bank as defined in section 3(a)(6)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Insurance company as defined in section 3(a)(19) of the Act (15 U.S.C. 78c);</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investment adviser in accordance with § 240.13d-1(b)(1)(ii)(E);</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(f)</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 employee benefit plan or endowment fund in accordance with § 240.13d-1(b)(1)(ii)(F);</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parent holding company or control person in accordance with § 240.13d-1(b)(1)(ii)(G);</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(h)</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savings associations as defined in Section 3(b) of the Federal Deposit Insurance Act (12 U.S.C. 1813);</w:t>
            </w:r>
          </w:p>
        </w:tc>
        <w:tc>
          <w:tcPr>
            <w:tcW w:w="0" w:type="dxa"/>
            <w:vAlign w:val="bottom"/>
          </w:tcPr>
          <w:p>
            <w:pPr>
              <w:spacing w:after="0"/>
              <w:rPr>
                <w:sz w:val="1"/>
                <w:szCs w:val="1"/>
                <w:color w:val="auto"/>
              </w:rPr>
            </w:pPr>
          </w:p>
        </w:tc>
      </w:t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church plan that is excluded from the definition of an investment company under section 3(c)(14) of the Investment Company Act of 1940 (15 U.S.C. 80a-3);</w:t>
            </w:r>
          </w:p>
        </w:tc>
        <w:tc>
          <w:tcPr>
            <w:tcW w:w="0" w:type="dxa"/>
            <w:vAlign w:val="bottom"/>
          </w:tcPr>
          <w:p>
            <w:pPr>
              <w:spacing w:after="0"/>
              <w:rPr>
                <w:sz w:val="1"/>
                <w:szCs w:val="1"/>
                <w:color w:val="auto"/>
              </w:rPr>
            </w:pPr>
          </w:p>
        </w:tc>
      </w:tr>
      <w:tr>
        <w:trPr>
          <w:trHeight w:val="181"/>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w:t>
            </w:r>
          </w:p>
        </w:tc>
        <w:tc>
          <w:tcPr>
            <w:tcW w:w="9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non-U.S. institution in accordance with § 240.13d-1(b)(1)(ii)(J). If filing as a non-U.S. institution in accordance with § 240.13d-1(b)(1)(ii)(J),</w:t>
            </w:r>
          </w:p>
        </w:tc>
        <w:tc>
          <w:tcPr>
            <w:tcW w:w="0" w:type="dxa"/>
            <w:vAlign w:val="bottom"/>
          </w:tcPr>
          <w:p>
            <w:pPr>
              <w:spacing w:after="0"/>
              <w:rPr>
                <w:sz w:val="1"/>
                <w:szCs w:val="1"/>
                <w:color w:val="auto"/>
              </w:rPr>
            </w:pPr>
          </w:p>
        </w:tc>
      </w:tr>
      <w:tr>
        <w:trPr>
          <w:trHeight w:val="98"/>
        </w:trPr>
        <w:tc>
          <w:tcPr>
            <w:tcW w:w="660" w:type="dxa"/>
            <w:vAlign w:val="bottom"/>
            <w:vMerge w:val="continue"/>
          </w:tcPr>
          <w:p>
            <w:pPr>
              <w:spacing w:after="0"/>
              <w:rPr>
                <w:sz w:val="8"/>
                <w:szCs w:val="8"/>
                <w:color w:val="auto"/>
              </w:rPr>
            </w:pPr>
          </w:p>
        </w:tc>
        <w:tc>
          <w:tcPr>
            <w:tcW w:w="9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please specify the type of institution:</w:t>
            </w:r>
          </w:p>
        </w:tc>
        <w:tc>
          <w:tcPr>
            <w:tcW w:w="0" w:type="dxa"/>
            <w:vAlign w:val="bottom"/>
          </w:tcPr>
          <w:p>
            <w:pPr>
              <w:spacing w:after="0"/>
              <w:rPr>
                <w:sz w:val="1"/>
                <w:szCs w:val="1"/>
                <w:color w:val="auto"/>
              </w:rPr>
            </w:pPr>
          </w:p>
        </w:tc>
      </w:tr>
      <w:tr>
        <w:trPr>
          <w:trHeight w:val="90"/>
        </w:trPr>
        <w:tc>
          <w:tcPr>
            <w:tcW w:w="660" w:type="dxa"/>
            <w:vAlign w:val="bottom"/>
          </w:tcPr>
          <w:p>
            <w:pPr>
              <w:spacing w:after="0"/>
              <w:rPr>
                <w:sz w:val="7"/>
                <w:szCs w:val="7"/>
                <w:color w:val="auto"/>
              </w:rPr>
            </w:pP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594995</wp:posOffset>
            </wp:positionH>
            <wp:positionV relativeFrom="paragraph">
              <wp:posOffset>-1398905</wp:posOffset>
            </wp:positionV>
            <wp:extent cx="85725" cy="8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-1267460</wp:posOffset>
            </wp:positionV>
            <wp:extent cx="8572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-1136015</wp:posOffset>
            </wp:positionV>
            <wp:extent cx="8572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-1004570</wp:posOffset>
            </wp:positionV>
            <wp:extent cx="85725"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-873125</wp:posOffset>
            </wp:positionV>
            <wp:extent cx="85725"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-741680</wp:posOffset>
            </wp:positionV>
            <wp:extent cx="8572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-610235</wp:posOffset>
            </wp:positionV>
            <wp:extent cx="85725" cy="857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-478790</wp:posOffset>
            </wp:positionV>
            <wp:extent cx="85725" cy="85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-347345</wp:posOffset>
            </wp:positionV>
            <wp:extent cx="85725"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594995</wp:posOffset>
            </wp:positionH>
            <wp:positionV relativeFrom="paragraph">
              <wp:posOffset>-215900</wp:posOffset>
            </wp:positionV>
            <wp:extent cx="8572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940" w:hanging="921"/>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
          <w:szCs w:val="1"/>
          <w:color w:val="auto"/>
        </w:rPr>
        <w:drawing>
          <wp:inline distT="0" distB="0" distL="0" distR="0">
            <wp:extent cx="85725" cy="857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Group, in accordance with Rule 240.13d-1(b)(1)(ii)(K).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 w:type="dxa"/>
            <w:vAlign w:val="bottom"/>
          </w:tcPr>
          <w:p>
            <w:pPr>
              <w:spacing w:after="0"/>
              <w:rPr>
                <w:sz w:val="20"/>
                <w:szCs w:val="20"/>
                <w:color w:val="auto"/>
              </w:rPr>
            </w:pPr>
            <w:r>
              <w:rPr>
                <w:rFonts w:ascii="Times New Roman" w:cs="Times New Roman" w:eastAsia="Times New Roman" w:hAnsi="Times New Roman"/>
                <w:sz w:val="14"/>
                <w:szCs w:val="14"/>
                <w:color w:val="auto"/>
              </w:rPr>
              <w:t>Item 4.</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Ownership</w:t>
            </w:r>
          </w:p>
        </w:tc>
        <w:tc>
          <w:tcPr>
            <w:tcW w:w="0" w:type="dxa"/>
            <w:vAlign w:val="bottom"/>
          </w:tcPr>
          <w:p>
            <w:pPr>
              <w:spacing w:after="0"/>
              <w:rPr>
                <w:sz w:val="1"/>
                <w:szCs w:val="1"/>
                <w:color w:val="auto"/>
              </w:rPr>
            </w:pPr>
          </w:p>
        </w:tc>
      </w:tr>
      <w:tr>
        <w:trPr>
          <w:trHeight w:val="198"/>
        </w:trPr>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t>
            </w:r>
          </w:p>
        </w:tc>
        <w:tc>
          <w:tcPr>
            <w:tcW w:w="3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Amount beneficially owned:</w:t>
            </w:r>
          </w:p>
        </w:tc>
        <w:tc>
          <w:tcPr>
            <w:tcW w:w="0" w:type="dxa"/>
            <w:vAlign w:val="bottom"/>
          </w:tcPr>
          <w:p>
            <w:pPr>
              <w:spacing w:after="0"/>
              <w:rPr>
                <w:sz w:val="1"/>
                <w:szCs w:val="1"/>
                <w:color w:val="auto"/>
              </w:rPr>
            </w:pPr>
          </w:p>
        </w:tc>
      </w:tr>
      <w:tr>
        <w:trPr>
          <w:trHeight w:val="162"/>
        </w:trPr>
        <w:tc>
          <w:tcPr>
            <w:tcW w:w="660" w:type="dxa"/>
            <w:vAlign w:val="bottom"/>
            <w:vMerge w:val="continue"/>
          </w:tcPr>
          <w:p>
            <w:pPr>
              <w:spacing w:after="0"/>
              <w:rPr>
                <w:sz w:val="14"/>
                <w:szCs w:val="14"/>
                <w:color w:val="auto"/>
              </w:rPr>
            </w:pPr>
          </w:p>
        </w:tc>
        <w:tc>
          <w:tcPr>
            <w:tcW w:w="37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940" w:hanging="921"/>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 of class:</w:t>
      </w:r>
    </w:p>
    <w:p>
      <w:pPr>
        <w:sectPr>
          <w:pgSz w:w="11900" w:h="16863" w:orient="portrait"/>
          <w:cols w:equalWidth="0" w:num="1">
            <w:col w:w="11180"/>
          </w:cols>
          <w:pgMar w:left="300" w:top="120" w:right="419" w:bottom="0" w:gutter="0" w:footer="0" w:header="0"/>
        </w:sectPr>
      </w:pPr>
    </w:p>
    <w:bookmarkStart w:id="2" w:name="page3"/>
    <w:bookmarkEnd w:id="2"/>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 %</w:t>
      </w:r>
    </w:p>
    <w:p>
      <w:pPr>
        <w:spacing w:after="0" w:line="37" w:lineRule="exact"/>
        <w:rPr>
          <w:sz w:val="20"/>
          <w:szCs w:val="20"/>
          <w:color w:val="auto"/>
        </w:rPr>
      </w:pPr>
    </w:p>
    <w:p>
      <w:pPr>
        <w:ind w:left="921" w:hanging="921"/>
        <w:spacing w:after="0"/>
        <w:tabs>
          <w:tab w:leader="none" w:pos="9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as to which the person has:</w:t>
      </w:r>
    </w:p>
    <w:p>
      <w:pPr>
        <w:spacing w:after="0" w:line="37" w:lineRule="exact"/>
        <w:rPr>
          <w:rFonts w:ascii="Times New Roman" w:cs="Times New Roman" w:eastAsia="Times New Roman" w:hAnsi="Times New Roman"/>
          <w:sz w:val="14"/>
          <w:szCs w:val="14"/>
          <w:color w:val="auto"/>
        </w:rPr>
      </w:pPr>
    </w:p>
    <w:p>
      <w:pPr>
        <w:ind w:left="921"/>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Sole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(ii) Shared power to vote or to direct the vote:</w:t>
      </w:r>
    </w:p>
    <w:p>
      <w:pPr>
        <w:spacing w:after="0" w:line="163"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Items 5-11 of the cover pages are incorporated by reference.</w:t>
      </w:r>
    </w:p>
    <w:p>
      <w:pPr>
        <w:spacing w:after="0" w:line="199" w:lineRule="exact"/>
        <w:rPr>
          <w:sz w:val="20"/>
          <w:szCs w:val="20"/>
          <w:color w:val="auto"/>
        </w:rPr>
      </w:pPr>
    </w:p>
    <w:p>
      <w:pPr>
        <w:ind w:left="921" w:right="6840" w:hanging="3"/>
        <w:spacing w:after="0" w:line="509" w:lineRule="auto"/>
        <w:tabs>
          <w:tab w:leader="none" w:pos="1173"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 power to dispose or to direct the disposition of: Items 5-11 of the cover pages are incorporated by reference.</w:t>
      </w:r>
    </w:p>
    <w:p>
      <w:pPr>
        <w:spacing w:after="0" w:line="1" w:lineRule="exact"/>
        <w:rPr>
          <w:rFonts w:ascii="Times New Roman" w:cs="Times New Roman" w:eastAsia="Times New Roman" w:hAnsi="Times New Roman"/>
          <w:sz w:val="14"/>
          <w:szCs w:val="14"/>
          <w:color w:val="auto"/>
        </w:rPr>
      </w:pPr>
    </w:p>
    <w:p>
      <w:pPr>
        <w:ind w:left="921" w:right="6840" w:hanging="3"/>
        <w:spacing w:after="0" w:line="509" w:lineRule="auto"/>
        <w:tabs>
          <w:tab w:leader="none" w:pos="1165"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Shared power to dispose or to direct the disposition of: Items 5-11 of the cover pages are incorporated by reference.</w:t>
      </w:r>
    </w:p>
    <w:p>
      <w:pPr>
        <w:spacing w:after="0" w:line="1"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color w:val="auto"/>
        </w:rPr>
        <w:t>Ownership of 5 Percent or Less of a Class.</w:t>
      </w:r>
    </w:p>
    <w:p>
      <w:pPr>
        <w:spacing w:after="0" w:line="46" w:lineRule="exact"/>
        <w:rPr>
          <w:sz w:val="20"/>
          <w:szCs w:val="20"/>
          <w:color w:val="auto"/>
        </w:rPr>
      </w:pPr>
    </w:p>
    <w:p>
      <w:pPr>
        <w:jc w:val="center"/>
        <w:ind w:right="6499"/>
        <w:spacing w:after="0"/>
        <w:rPr>
          <w:sz w:val="20"/>
          <w:szCs w:val="20"/>
          <w:color w:val="auto"/>
        </w:rPr>
      </w:pPr>
      <w:r>
        <w:rPr>
          <w:rFonts w:ascii="Times New Roman" w:cs="Times New Roman" w:eastAsia="Times New Roman" w:hAnsi="Times New Roman"/>
          <w:sz w:val="14"/>
          <w:szCs w:val="14"/>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-95885</wp:posOffset>
            </wp:positionV>
            <wp:extent cx="85725"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color w:val="auto"/>
        </w:rPr>
        <w:t>Ownership of more than 5 Percent on Behalf of Another Person.</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color w:val="auto"/>
        </w:rPr>
        <w:t>Identification and Classification of the Subsidiary Which Acquired the Security Being Reported on by the Parent Holding Company or Control Person.</w:t>
      </w:r>
    </w:p>
    <w:p>
      <w:pPr>
        <w:spacing w:after="0" w:line="37" w:lineRule="exact"/>
        <w:rPr>
          <w:sz w:val="20"/>
          <w:szCs w:val="20"/>
          <w:color w:val="auto"/>
        </w:rPr>
      </w:pPr>
    </w:p>
    <w:p>
      <w:pPr>
        <w:jc w:val="both"/>
        <w:ind w:left="921"/>
        <w:spacing w:after="0" w:line="261" w:lineRule="auto"/>
        <w:rPr>
          <w:sz w:val="20"/>
          <w:szCs w:val="20"/>
          <w:color w:val="auto"/>
        </w:rPr>
      </w:pPr>
      <w:r>
        <w:rPr>
          <w:rFonts w:ascii="Times New Roman" w:cs="Times New Roman" w:eastAsia="Times New Roman" w:hAnsi="Times New Roman"/>
          <w:sz w:val="14"/>
          <w:szCs w:val="14"/>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85"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See Exhibit B</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4"/>
          <w:szCs w:val="14"/>
          <w:color w:val="auto"/>
        </w:rPr>
        <w:t>Identification and Classification of Members of the Group.</w:t>
      </w:r>
    </w:p>
    <w:p>
      <w:pPr>
        <w:spacing w:after="0" w:line="37" w:lineRule="exact"/>
        <w:rPr>
          <w:sz w:val="20"/>
          <w:szCs w:val="20"/>
          <w:color w:val="auto"/>
        </w:rPr>
      </w:pPr>
    </w:p>
    <w:p>
      <w:pPr>
        <w:jc w:val="center"/>
        <w:ind w:right="8499"/>
        <w:spacing w:after="0"/>
        <w:rPr>
          <w:sz w:val="20"/>
          <w:szCs w:val="20"/>
          <w:color w:val="auto"/>
        </w:rPr>
      </w:pPr>
      <w:r>
        <w:rPr>
          <w:rFonts w:ascii="Times New Roman" w:cs="Times New Roman" w:eastAsia="Times New Roman" w:hAnsi="Times New Roman"/>
          <w:sz w:val="14"/>
          <w:szCs w:val="14"/>
          <w:color w:val="auto"/>
        </w:rPr>
        <w:t>Not Applicable</w:t>
      </w:r>
    </w:p>
    <w:p>
      <w:pPr>
        <w:spacing w:after="0" w:line="3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color w:val="auto"/>
        </w:rPr>
        <w:t>Notice of Dissolution of Group.</w:t>
      </w:r>
    </w:p>
    <w:p>
      <w:pPr>
        <w:spacing w:after="0" w:line="37" w:lineRule="exact"/>
        <w:rPr>
          <w:sz w:val="20"/>
          <w:szCs w:val="20"/>
          <w:color w:val="auto"/>
        </w:rPr>
      </w:pPr>
    </w:p>
    <w:p>
      <w:pPr>
        <w:ind w:left="921"/>
        <w:spacing w:after="0"/>
        <w:rPr>
          <w:sz w:val="20"/>
          <w:szCs w:val="20"/>
          <w:color w:val="auto"/>
        </w:rPr>
      </w:pPr>
      <w:r>
        <w:rPr>
          <w:rFonts w:ascii="Times New Roman" w:cs="Times New Roman" w:eastAsia="Times New Roman" w:hAnsi="Times New Roman"/>
          <w:sz w:val="14"/>
          <w:szCs w:val="14"/>
          <w:color w:val="auto"/>
        </w:rPr>
        <w:t>Not Applicable</w:t>
      </w:r>
    </w:p>
    <w:p>
      <w:pPr>
        <w:spacing w:after="0" w:line="217" w:lineRule="exact"/>
        <w:rPr>
          <w:sz w:val="20"/>
          <w:szCs w:val="20"/>
          <w:color w:val="auto"/>
        </w:rPr>
      </w:pPr>
    </w:p>
    <w:p>
      <w:pPr>
        <w:ind w:left="1"/>
        <w:spacing w:after="0"/>
        <w:tabs>
          <w:tab w:leader="none" w:pos="901" w:val="left"/>
        </w:tabs>
        <w:rPr>
          <w:sz w:val="20"/>
          <w:szCs w:val="20"/>
          <w:color w:val="auto"/>
        </w:rPr>
      </w:pPr>
      <w:r>
        <w:rPr>
          <w:rFonts w:ascii="Times New Roman" w:cs="Times New Roman" w:eastAsia="Times New Roman" w:hAnsi="Times New Roman"/>
          <w:sz w:val="14"/>
          <w:szCs w:val="14"/>
          <w:color w:val="auto"/>
        </w:rPr>
        <w:t>Item 10.</w:t>
      </w:r>
      <w:r>
        <w:rPr>
          <w:sz w:val="20"/>
          <w:szCs w:val="20"/>
          <w:color w:val="auto"/>
        </w:rPr>
        <w:tab/>
      </w:r>
      <w:r>
        <w:rPr>
          <w:rFonts w:ascii="Times New Roman" w:cs="Times New Roman" w:eastAsia="Times New Roman" w:hAnsi="Times New Roman"/>
          <w:sz w:val="14"/>
          <w:szCs w:val="14"/>
          <w:color w:val="auto"/>
        </w:rPr>
        <w:t>Certifications:</w:t>
      </w:r>
    </w:p>
    <w:p>
      <w:pPr>
        <w:spacing w:after="0" w:line="37" w:lineRule="exact"/>
        <w:rPr>
          <w:sz w:val="20"/>
          <w:szCs w:val="20"/>
          <w:color w:val="auto"/>
        </w:rPr>
      </w:pPr>
    </w:p>
    <w:p>
      <w:pPr>
        <w:ind w:left="921" w:right="40"/>
        <w:spacing w:after="0" w:line="261" w:lineRule="auto"/>
        <w:rPr>
          <w:sz w:val="20"/>
          <w:szCs w:val="20"/>
          <w:color w:val="auto"/>
        </w:rPr>
      </w:pPr>
      <w:r>
        <w:rPr>
          <w:rFonts w:ascii="Times New Roman" w:cs="Times New Roman" w:eastAsia="Times New Roman" w:hAnsi="Times New Roman"/>
          <w:sz w:val="14"/>
          <w:szCs w:val="14"/>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7" w:lineRule="exact"/>
        <w:rPr>
          <w:sz w:val="20"/>
          <w:szCs w:val="20"/>
          <w:color w:val="auto"/>
        </w:rPr>
      </w:pPr>
    </w:p>
    <w:p>
      <w:pPr>
        <w:ind w:left="141"/>
        <w:spacing w:after="0"/>
        <w:rPr>
          <w:sz w:val="20"/>
          <w:szCs w:val="20"/>
          <w:color w:val="auto"/>
        </w:rPr>
      </w:pPr>
      <w:r>
        <w:rPr>
          <w:rFonts w:ascii="Times New Roman" w:cs="Times New Roman" w:eastAsia="Times New Roman" w:hAnsi="Times New Roman"/>
          <w:sz w:val="14"/>
          <w:szCs w:val="14"/>
          <w:color w:val="auto"/>
        </w:rPr>
        <w:t>SIGNATURE</w:t>
      </w:r>
    </w:p>
    <w:p>
      <w:pPr>
        <w:spacing w:after="0" w:line="37" w:lineRule="exact"/>
        <w:rPr>
          <w:sz w:val="20"/>
          <w:szCs w:val="20"/>
          <w:color w:val="auto"/>
        </w:rPr>
      </w:pPr>
    </w:p>
    <w:p>
      <w:pPr>
        <w:ind w:left="981"/>
        <w:spacing w:after="0"/>
        <w:rPr>
          <w:sz w:val="20"/>
          <w:szCs w:val="20"/>
          <w:color w:val="auto"/>
        </w:rPr>
      </w:pPr>
      <w:r>
        <w:rPr>
          <w:rFonts w:ascii="Times New Roman" w:cs="Times New Roman" w:eastAsia="Times New Roman" w:hAnsi="Times New Roman"/>
          <w:sz w:val="14"/>
          <w:szCs w:val="14"/>
          <w:color w:val="auto"/>
        </w:rPr>
        <w:t>After reasonable inquiry and to the best of my knowledge and belief, I certify that the information set forth in this statement is true, complete and correct.</w:t>
      </w:r>
    </w:p>
    <w:p>
      <w:pPr>
        <w:spacing w:after="0" w:line="244" w:lineRule="exact"/>
        <w:rPr>
          <w:sz w:val="20"/>
          <w:szCs w:val="20"/>
          <w:color w:val="auto"/>
        </w:rPr>
      </w:pPr>
    </w:p>
    <w:p>
      <w:pPr>
        <w:ind w:left="1821"/>
        <w:spacing w:after="0"/>
        <w:rPr>
          <w:sz w:val="20"/>
          <w:szCs w:val="20"/>
          <w:color w:val="auto"/>
        </w:rPr>
      </w:pPr>
      <w:r>
        <w:rPr>
          <w:rFonts w:ascii="Times New Roman" w:cs="Times New Roman" w:eastAsia="Times New Roman" w:hAnsi="Times New Roman"/>
          <w:sz w:val="14"/>
          <w:szCs w:val="14"/>
          <w:color w:val="auto"/>
        </w:rPr>
        <w:t>NOMURA HOLDINGS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Managing Director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08/14/2025</w:t>
      </w:r>
    </w:p>
    <w:p>
      <w:pPr>
        <w:spacing w:after="0" w:line="109" w:lineRule="exact"/>
        <w:rPr>
          <w:sz w:val="20"/>
          <w:szCs w:val="20"/>
          <w:color w:val="auto"/>
        </w:rPr>
      </w:pPr>
    </w:p>
    <w:p>
      <w:pPr>
        <w:ind w:left="3261"/>
        <w:spacing w:after="0"/>
        <w:rPr>
          <w:sz w:val="20"/>
          <w:szCs w:val="20"/>
          <w:color w:val="auto"/>
        </w:rPr>
      </w:pPr>
      <w:r>
        <w:rPr>
          <w:rFonts w:ascii="Times New Roman" w:cs="Times New Roman" w:eastAsia="Times New Roman" w:hAnsi="Times New Roman"/>
          <w:sz w:val="14"/>
          <w:szCs w:val="14"/>
          <w:color w:val="auto"/>
        </w:rPr>
        <w:t>NOMURA GLOBAL FINANCIAL PRODUCTS INC</w:t>
      </w:r>
    </w:p>
    <w:p>
      <w:pPr>
        <w:spacing w:after="0" w:line="109"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Signature:</w:t>
        <w:tab/>
        <w:t>/s/ Samir Patel</w:t>
      </w:r>
    </w:p>
    <w:p>
      <w:pPr>
        <w:spacing w:after="0" w:line="37" w:lineRule="exact"/>
        <w:rPr>
          <w:sz w:val="20"/>
          <w:szCs w:val="20"/>
          <w:color w:val="auto"/>
        </w:rPr>
      </w:pPr>
    </w:p>
    <w:p>
      <w:pPr>
        <w:ind w:left="2701"/>
        <w:spacing w:after="0"/>
        <w:rPr>
          <w:sz w:val="20"/>
          <w:szCs w:val="20"/>
          <w:color w:val="auto"/>
        </w:rPr>
      </w:pPr>
      <w:r>
        <w:rPr>
          <w:rFonts w:ascii="Times New Roman" w:cs="Times New Roman" w:eastAsia="Times New Roman" w:hAnsi="Times New Roman"/>
          <w:sz w:val="14"/>
          <w:szCs w:val="14"/>
          <w:color w:val="auto"/>
        </w:rPr>
        <w:t>Name/Title: Samir Patel, Authorized Officer</w:t>
      </w:r>
    </w:p>
    <w:p>
      <w:pPr>
        <w:spacing w:after="0" w:line="37" w:lineRule="exact"/>
        <w:rPr>
          <w:sz w:val="20"/>
          <w:szCs w:val="20"/>
          <w:color w:val="auto"/>
        </w:rPr>
      </w:pPr>
    </w:p>
    <w:p>
      <w:pPr>
        <w:ind w:left="2701"/>
        <w:spacing w:after="0"/>
        <w:tabs>
          <w:tab w:leader="none" w:pos="3401"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08/14/2025</w:t>
      </w:r>
    </w:p>
    <w:p>
      <w:pPr>
        <w:spacing w:after="0" w:line="80" w:lineRule="exact"/>
        <w:rPr>
          <w:sz w:val="20"/>
          <w:szCs w:val="20"/>
          <w:color w:val="auto"/>
        </w:rPr>
      </w:pPr>
    </w:p>
    <w:p>
      <w:pPr>
        <w:jc w:val="center"/>
        <w:ind w:right="7819"/>
        <w:spacing w:after="0"/>
        <w:rPr>
          <w:sz w:val="20"/>
          <w:szCs w:val="20"/>
          <w:color w:val="auto"/>
        </w:rPr>
      </w:pPr>
      <w:r>
        <w:rPr>
          <w:rFonts w:ascii="Times New Roman" w:cs="Times New Roman" w:eastAsia="Times New Roman" w:hAnsi="Times New Roman"/>
          <w:sz w:val="14"/>
          <w:szCs w:val="14"/>
          <w:b w:val="1"/>
          <w:bCs w:val="1"/>
          <w:color w:val="auto"/>
        </w:rPr>
        <w:t>Exhibit Information</w:t>
      </w:r>
    </w:p>
    <w:p>
      <w:pPr>
        <w:spacing w:after="0" w:line="20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4"/>
          <w:szCs w:val="14"/>
          <w:color w:val="auto"/>
        </w:rPr>
        <w:t>Exhibit A - Joint Filing Agreement Exhibit B - Subsidiaries</w:t>
      </w:r>
    </w:p>
    <w:p>
      <w:pPr>
        <w:sectPr>
          <w:pgSz w:w="11900" w:h="16838" w:orient="portrait"/>
          <w:cols w:equalWidth="0" w:num="1">
            <w:col w:w="11221"/>
          </w:cols>
          <w:pgMar w:left="319" w:top="283" w:right="35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JOINT FILING AGREEMENT</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Joint Filing Agreement as of August 14,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Holdings,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Managing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Nomura Global Financial Products, Inc.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 Samir Patel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Samir Patel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Authorized Officer</w:t>
      </w:r>
    </w:p>
    <w:p>
      <w:pPr>
        <w:sectPr>
          <w:pgSz w:w="11900" w:h="16838" w:orient="portrait"/>
          <w:cols w:equalWidth="0" w:num="1">
            <w:col w:w="11160"/>
          </w:cols>
          <w:pgMar w:left="300" w:top="125" w:right="439" w:bottom="1440" w:gutter="0" w:footer="0" w:header="0"/>
        </w:sectPr>
      </w:pPr>
    </w:p>
    <w:bookmarkStart w:id="4" w:name="page5"/>
    <w:bookmarkEnd w:id="4"/>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EXHIBIT B</w:t>
      </w:r>
    </w:p>
    <w:p>
      <w:pPr>
        <w:spacing w:after="0" w:line="15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SUBSIDIARIES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Nomura Global Financial Products, Inc. and Nomura Securities International, Inc. are wholly owned subsidiaries of Nomura Holdings, Inc.</w:t>
      </w:r>
    </w:p>
    <w:sectPr>
      <w:pgSz w:w="11900" w:h="16838" w:orient="portrait"/>
      <w:cols w:equalWidth="0" w:num="1">
        <w:col w:w="10159"/>
      </w:cols>
      <w:pgMar w:left="3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2025-08-14T16:41:26Z</dcterms:created>
  <dcterms:modified xsi:type="dcterms:W3CDTF">2025-08-14T16:41:26Z</dcterms:modified>
</cp:coreProperties>
</file>