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2453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2453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PMingLiU" w:cs="PMingLiU" w:eastAsia="PMingLiU" w:hAnsi="PMingLiU"/>
          <w:sz w:val="196"/>
          <w:szCs w:val="196"/>
          <w:b w:val="1"/>
          <w:bCs w:val="1"/>
          <w:color w:val="000020"/>
        </w:rPr>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-799465</wp:posOffset>
            </wp:positionH>
            <wp:positionV relativeFrom="paragraph">
              <wp:posOffset>-842010</wp:posOffset>
            </wp:positionV>
            <wp:extent cx="7543800" cy="7376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7376160"/>
                    </a:xfrm>
                    <a:prstGeom prst="rect">
                      <a:avLst/>
                    </a:prstGeom>
                    <a:noFill/>
                  </pic:spPr>
                </pic:pic>
              </a:graphicData>
            </a:graphic>
          </wp:anchor>
        </w:drawing>
      </w:r>
    </w:p>
    <w:p>
      <w:pPr>
        <w:jc w:val="center"/>
        <w:spacing w:after="0" w:line="234" w:lineRule="auto"/>
        <w:rPr>
          <w:sz w:val="20"/>
          <w:szCs w:val="20"/>
          <w:color w:val="auto"/>
        </w:rPr>
      </w:pPr>
      <w:r>
        <w:rPr>
          <w:rFonts w:ascii="PMingLiU" w:cs="PMingLiU" w:eastAsia="PMingLiU" w:hAnsi="PMingLiU"/>
          <w:sz w:val="196"/>
          <w:szCs w:val="196"/>
          <w:b w:val="1"/>
          <w:bCs w:val="1"/>
          <w:color w:val="409BC8"/>
        </w:rPr>
        <w:t/>
      </w:r>
    </w:p>
    <w:p>
      <w:pPr>
        <w:spacing w:after="0" w:line="4" w:lineRule="exact"/>
        <w:rPr>
          <w:sz w:val="24"/>
          <w:szCs w:val="24"/>
          <w:color w:val="auto"/>
        </w:rPr>
      </w:pPr>
    </w:p>
    <w:p>
      <w:pPr>
        <w:ind w:left="3200" w:right="3200"/>
        <w:spacing w:after="0" w:line="203" w:lineRule="auto"/>
        <w:rPr>
          <w:sz w:val="20"/>
          <w:szCs w:val="20"/>
          <w:color w:val="auto"/>
        </w:rPr>
      </w:pPr>
      <w:r>
        <w:rPr>
          <w:rFonts w:ascii="Arial Black" w:cs="Arial Black" w:eastAsia="Arial Black" w:hAnsi="Arial Black"/>
          <w:sz w:val="59"/>
          <w:szCs w:val="59"/>
          <w:b w:val="1"/>
          <w:bCs w:val="1"/>
          <w:color w:val="000020"/>
        </w:rPr>
        <w:t>$118$/ 5(3257</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3959860</wp:posOffset>
                </wp:positionV>
                <wp:extent cx="0" cy="22161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1615"/>
                        </a:xfrm>
                        <a:prstGeom prst="line">
                          <a:avLst/>
                        </a:prstGeom>
                        <a:solidFill>
                          <a:srgbClr val="FFFFFF"/>
                        </a:solidFill>
                        <a:ln w="0">
                          <a:solidFill>
                            <a:srgbClr val="86C51A"/>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311.8pt" to="-63pt,329.25pt" o:allowincell="f" strokecolor="#86C51A" strokeweight="0pt"/>
            </w:pict>
          </mc:Fallback>
        </mc:AlternateContent>
      </w:r>
    </w:p>
    <w:p>
      <w:pPr>
        <w:sectPr>
          <w:pgSz w:w="12240" w:h="15840" w:orient="portrait"/>
          <w:cols w:equalWidth="0" w:num="1">
            <w:col w:w="9360"/>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24"/>
          <w:szCs w:val="24"/>
          <w:b w:val="1"/>
          <w:bCs w:val="1"/>
          <w:u w:val="single" w:color="auto"/>
          <w:color w:val="1E1E1E"/>
        </w:rPr>
        <w:t>THE BUSINESS OF GENESCO</w:t>
      </w:r>
    </w:p>
    <w:p>
      <w:pPr>
        <w:spacing w:after="0" w:line="34" w:lineRule="exact"/>
        <w:rPr>
          <w:sz w:val="20"/>
          <w:szCs w:val="20"/>
          <w:color w:val="auto"/>
        </w:rPr>
      </w:pPr>
    </w:p>
    <w:p>
      <w:pPr>
        <w:spacing w:after="0" w:line="243" w:lineRule="auto"/>
        <w:rPr>
          <w:sz w:val="20"/>
          <w:szCs w:val="20"/>
          <w:color w:val="auto"/>
        </w:rPr>
      </w:pPr>
      <w:r>
        <w:rPr>
          <w:rFonts w:ascii="Arial" w:cs="Arial" w:eastAsia="Arial" w:hAnsi="Arial"/>
          <w:sz w:val="24"/>
          <w:szCs w:val="24"/>
          <w:color w:val="1E1E1E"/>
        </w:rPr>
        <w:t>Genesco Inc. is a leading retailer and wholesaler of branded footwear, apparel and accessories selling through 1,236 retail stores, including Journeys®, Journeys Kidz®, Little Burgundy® and Johnston &amp; Murphy® in the U.S., Puerto Rico and Canada, through Schuh® stores in the United Kingdom and the Republic of Ireland, and through e-commerce operations. In addition, we sell certain of our footwear brands at wholesale, primarily under our Johnston &amp; Murphy brand, and the licensed Wrangler®, Dockers® and Starter® brands, as well as other brands we license for footwear.</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1E1E1E"/>
        </w:rPr>
        <w:t>TOTAL RETURN TO SHAREHOLDERS</w:t>
      </w:r>
    </w:p>
    <w:p>
      <w:pPr>
        <w:spacing w:after="0" w:line="34" w:lineRule="exact"/>
        <w:rPr>
          <w:sz w:val="20"/>
          <w:szCs w:val="20"/>
          <w:color w:val="auto"/>
        </w:rPr>
      </w:pPr>
    </w:p>
    <w:p>
      <w:pPr>
        <w:ind w:right="80"/>
        <w:spacing w:after="0" w:line="244" w:lineRule="auto"/>
        <w:rPr>
          <w:sz w:val="20"/>
          <w:szCs w:val="20"/>
          <w:color w:val="auto"/>
        </w:rPr>
      </w:pPr>
      <w:r>
        <w:rPr>
          <w:rFonts w:ascii="Arial" w:cs="Arial" w:eastAsia="Arial" w:hAnsi="Arial"/>
          <w:sz w:val="24"/>
          <w:szCs w:val="24"/>
          <w:color w:val="1E1E1E"/>
        </w:rPr>
        <w:t>The graph below compares the cumulative total shareholder return on our common stock for the last five fiscal years with the cumulative total return of (i) the Russell 2000 Index and (ii) the Peer Group (as provided below). The graph assumes the investment of $100 in our common stock, the Russell 2000 Index and Peer Group at market close on January 30, 2021 and the reinvestment monthly of all dividends.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E1E1E"/>
        </w:rPr>
        <w:t>Total Return To Shareholders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E1E1E"/>
        </w:rPr>
        <w:t>(Includes reinvestment of dividends)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245"/>
        </w:trPr>
        <w:tc>
          <w:tcPr>
            <w:tcW w:w="2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940" w:type="dxa"/>
            <w:vAlign w:val="bottom"/>
            <w:gridSpan w:val="4"/>
          </w:tcPr>
          <w:p>
            <w:pPr>
              <w:jc w:val="center"/>
              <w:ind w:left="659"/>
              <w:spacing w:after="0"/>
              <w:rPr>
                <w:sz w:val="20"/>
                <w:szCs w:val="20"/>
                <w:color w:val="auto"/>
              </w:rPr>
            </w:pPr>
            <w:r>
              <w:rPr>
                <w:rFonts w:ascii="Arial" w:cs="Arial" w:eastAsia="Arial" w:hAnsi="Arial"/>
                <w:sz w:val="20"/>
                <w:szCs w:val="20"/>
                <w:b w:val="1"/>
                <w:bCs w:val="1"/>
                <w:color w:val="1E1E1E"/>
              </w:rPr>
              <w:t>ANNUAL RETURN PERCENTAGE</w:t>
            </w:r>
          </w:p>
        </w:tc>
        <w:tc>
          <w:tcPr>
            <w:tcW w:w="780" w:type="dxa"/>
            <w:vAlign w:val="bottom"/>
          </w:tcPr>
          <w:p>
            <w:pPr>
              <w:spacing w:after="0"/>
              <w:rPr>
                <w:sz w:val="21"/>
                <w:szCs w:val="21"/>
                <w:color w:val="auto"/>
              </w:rPr>
            </w:pPr>
          </w:p>
        </w:tc>
      </w:tr>
      <w:tr>
        <w:trPr>
          <w:trHeight w:val="286"/>
        </w:trPr>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gridSpan w:val="2"/>
          </w:tcPr>
          <w:p>
            <w:pPr>
              <w:jc w:val="center"/>
              <w:ind w:left="659"/>
              <w:spacing w:after="0"/>
              <w:rPr>
                <w:sz w:val="20"/>
                <w:szCs w:val="20"/>
                <w:color w:val="auto"/>
              </w:rPr>
            </w:pPr>
            <w:r>
              <w:rPr>
                <w:rFonts w:ascii="Arial" w:cs="Arial" w:eastAsia="Arial" w:hAnsi="Arial"/>
                <w:sz w:val="20"/>
                <w:szCs w:val="20"/>
                <w:b w:val="1"/>
                <w:bCs w:val="1"/>
                <w:color w:val="1E1E1E"/>
              </w:rPr>
              <w:t>Years Ended</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4"/>
        </w:trPr>
        <w:tc>
          <w:tcPr>
            <w:tcW w:w="2860" w:type="dxa"/>
            <w:vAlign w:val="bottom"/>
            <w:tcBorders>
              <w:bottom w:val="single" w:sz="8" w:color="1E1E1E"/>
            </w:tcBorders>
          </w:tcPr>
          <w:p>
            <w:pPr>
              <w:ind w:left="120"/>
              <w:spacing w:after="0"/>
              <w:rPr>
                <w:sz w:val="20"/>
                <w:szCs w:val="20"/>
                <w:color w:val="auto"/>
              </w:rPr>
            </w:pPr>
            <w:r>
              <w:rPr>
                <w:rFonts w:ascii="Arial" w:cs="Arial" w:eastAsia="Arial" w:hAnsi="Arial"/>
                <w:sz w:val="20"/>
                <w:szCs w:val="20"/>
                <w:b w:val="1"/>
                <w:bCs w:val="1"/>
                <w:color w:val="1E1E1E"/>
              </w:rPr>
              <w:t>Company Name / Index</w:t>
            </w:r>
          </w:p>
        </w:tc>
        <w:tc>
          <w:tcPr>
            <w:tcW w:w="136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ind w:right="39"/>
              <w:spacing w:after="0"/>
              <w:rPr>
                <w:sz w:val="20"/>
                <w:szCs w:val="20"/>
                <w:color w:val="auto"/>
              </w:rPr>
            </w:pPr>
            <w:r>
              <w:rPr>
                <w:rFonts w:ascii="Arial" w:cs="Arial" w:eastAsia="Arial" w:hAnsi="Arial"/>
                <w:sz w:val="20"/>
                <w:szCs w:val="20"/>
                <w:b w:val="1"/>
                <w:bCs w:val="1"/>
                <w:color w:val="1E1E1E"/>
              </w:rPr>
              <w:t>1/29/22</w:t>
            </w:r>
          </w:p>
        </w:tc>
        <w:tc>
          <w:tcPr>
            <w:tcW w:w="940" w:type="dxa"/>
            <w:vAlign w:val="bottom"/>
            <w:tcBorders>
              <w:bottom w:val="single" w:sz="8" w:color="1E1E1E"/>
            </w:tcBorders>
          </w:tcPr>
          <w:p>
            <w:pPr>
              <w:jc w:val="right"/>
              <w:ind w:right="39"/>
              <w:spacing w:after="0"/>
              <w:rPr>
                <w:sz w:val="20"/>
                <w:szCs w:val="20"/>
                <w:color w:val="auto"/>
              </w:rPr>
            </w:pPr>
            <w:r>
              <w:rPr>
                <w:rFonts w:ascii="Arial" w:cs="Arial" w:eastAsia="Arial" w:hAnsi="Arial"/>
                <w:sz w:val="20"/>
                <w:szCs w:val="20"/>
                <w:b w:val="1"/>
                <w:bCs w:val="1"/>
                <w:color w:val="1E1E1E"/>
              </w:rPr>
              <w:t>1/28/23</w:t>
            </w:r>
          </w:p>
        </w:tc>
        <w:tc>
          <w:tcPr>
            <w:tcW w:w="1080" w:type="dxa"/>
            <w:vAlign w:val="bottom"/>
            <w:tcBorders>
              <w:bottom w:val="single" w:sz="8" w:color="1E1E1E"/>
            </w:tcBorders>
          </w:tcPr>
          <w:p>
            <w:pPr>
              <w:jc w:val="right"/>
              <w:ind w:right="159"/>
              <w:spacing w:after="0"/>
              <w:rPr>
                <w:sz w:val="20"/>
                <w:szCs w:val="20"/>
                <w:color w:val="auto"/>
              </w:rPr>
            </w:pPr>
            <w:r>
              <w:rPr>
                <w:rFonts w:ascii="Arial" w:cs="Arial" w:eastAsia="Arial" w:hAnsi="Arial"/>
                <w:sz w:val="20"/>
                <w:szCs w:val="20"/>
                <w:b w:val="1"/>
                <w:bCs w:val="1"/>
                <w:color w:val="1E1E1E"/>
              </w:rPr>
              <w:t>2/03/24</w:t>
            </w:r>
          </w:p>
        </w:tc>
        <w:tc>
          <w:tcPr>
            <w:tcW w:w="960" w:type="dxa"/>
            <w:vAlign w:val="bottom"/>
            <w:tcBorders>
              <w:bottom w:val="single" w:sz="8" w:color="1E1E1E"/>
            </w:tcBorders>
          </w:tcPr>
          <w:p>
            <w:pPr>
              <w:jc w:val="right"/>
              <w:ind w:right="159"/>
              <w:spacing w:after="0"/>
              <w:rPr>
                <w:sz w:val="20"/>
                <w:szCs w:val="20"/>
                <w:color w:val="auto"/>
              </w:rPr>
            </w:pPr>
            <w:r>
              <w:rPr>
                <w:rFonts w:ascii="Arial" w:cs="Arial" w:eastAsia="Arial" w:hAnsi="Arial"/>
                <w:sz w:val="20"/>
                <w:szCs w:val="20"/>
                <w:b w:val="1"/>
                <w:bCs w:val="1"/>
                <w:color w:val="1E1E1E"/>
              </w:rPr>
              <w:t>2/01/25</w:t>
            </w:r>
          </w:p>
        </w:tc>
        <w:tc>
          <w:tcPr>
            <w:tcW w:w="780" w:type="dxa"/>
            <w:vAlign w:val="bottom"/>
            <w:tcBorders>
              <w:bottom w:val="single" w:sz="8" w:color="1E1E1E"/>
            </w:tcBorders>
          </w:tcPr>
          <w:p>
            <w:pPr>
              <w:jc w:val="right"/>
              <w:spacing w:after="0"/>
              <w:rPr>
                <w:sz w:val="20"/>
                <w:szCs w:val="20"/>
                <w:color w:val="auto"/>
              </w:rPr>
            </w:pPr>
            <w:r>
              <w:rPr>
                <w:rFonts w:ascii="Arial" w:cs="Arial" w:eastAsia="Arial" w:hAnsi="Arial"/>
                <w:sz w:val="20"/>
                <w:szCs w:val="20"/>
                <w:b w:val="1"/>
                <w:bCs w:val="1"/>
                <w:color w:val="1E1E1E"/>
                <w:w w:val="98"/>
              </w:rPr>
              <w:t>1/31/26</w:t>
            </w:r>
          </w:p>
        </w:tc>
      </w:tr>
      <w:tr>
        <w:trPr>
          <w:trHeight w:val="228"/>
        </w:trPr>
        <w:tc>
          <w:tcPr>
            <w:tcW w:w="2860" w:type="dxa"/>
            <w:vAlign w:val="bottom"/>
          </w:tcPr>
          <w:p>
            <w:pPr>
              <w:ind w:left="120"/>
              <w:spacing w:after="0" w:line="229" w:lineRule="exact"/>
              <w:rPr>
                <w:sz w:val="20"/>
                <w:szCs w:val="20"/>
                <w:color w:val="auto"/>
              </w:rPr>
            </w:pPr>
            <w:r>
              <w:rPr>
                <w:rFonts w:ascii="Arial" w:cs="Arial" w:eastAsia="Arial" w:hAnsi="Arial"/>
                <w:sz w:val="20"/>
                <w:szCs w:val="20"/>
                <w:b w:val="1"/>
                <w:bCs w:val="1"/>
                <w:color w:val="1E1E1E"/>
              </w:rPr>
              <w:t>Genesco Inc.</w:t>
            </w:r>
          </w:p>
        </w:tc>
        <w:tc>
          <w:tcPr>
            <w:tcW w:w="1360" w:type="dxa"/>
            <w:vAlign w:val="bottom"/>
          </w:tcPr>
          <w:p>
            <w:pPr>
              <w:spacing w:after="0"/>
              <w:rPr>
                <w:sz w:val="19"/>
                <w:szCs w:val="19"/>
                <w:color w:val="auto"/>
              </w:rPr>
            </w:pPr>
          </w:p>
        </w:tc>
        <w:tc>
          <w:tcPr>
            <w:tcW w:w="960" w:type="dxa"/>
            <w:vAlign w:val="bottom"/>
          </w:tcPr>
          <w:p>
            <w:pPr>
              <w:jc w:val="right"/>
              <w:ind w:right="39"/>
              <w:spacing w:after="0" w:line="229" w:lineRule="exact"/>
              <w:rPr>
                <w:sz w:val="20"/>
                <w:szCs w:val="20"/>
                <w:color w:val="auto"/>
              </w:rPr>
            </w:pPr>
            <w:r>
              <w:rPr>
                <w:rFonts w:ascii="Arial" w:cs="Arial" w:eastAsia="Arial" w:hAnsi="Arial"/>
                <w:sz w:val="20"/>
                <w:szCs w:val="20"/>
                <w:color w:val="1E1E1E"/>
              </w:rPr>
              <w:t>62.17</w:t>
            </w:r>
          </w:p>
        </w:tc>
        <w:tc>
          <w:tcPr>
            <w:tcW w:w="940" w:type="dxa"/>
            <w:vAlign w:val="bottom"/>
          </w:tcPr>
          <w:p>
            <w:pPr>
              <w:jc w:val="right"/>
              <w:ind w:right="39"/>
              <w:spacing w:after="0" w:line="229" w:lineRule="exact"/>
              <w:rPr>
                <w:sz w:val="20"/>
                <w:szCs w:val="20"/>
                <w:color w:val="auto"/>
              </w:rPr>
            </w:pPr>
            <w:r>
              <w:rPr>
                <w:rFonts w:ascii="Arial" w:cs="Arial" w:eastAsia="Arial" w:hAnsi="Arial"/>
                <w:sz w:val="20"/>
                <w:szCs w:val="20"/>
                <w:color w:val="1E1E1E"/>
              </w:rPr>
              <w:t>-24.12</w:t>
            </w:r>
          </w:p>
        </w:tc>
        <w:tc>
          <w:tcPr>
            <w:tcW w:w="1080" w:type="dxa"/>
            <w:vAlign w:val="bottom"/>
          </w:tcPr>
          <w:p>
            <w:pPr>
              <w:jc w:val="right"/>
              <w:ind w:right="159"/>
              <w:spacing w:after="0" w:line="229" w:lineRule="exact"/>
              <w:rPr>
                <w:sz w:val="20"/>
                <w:szCs w:val="20"/>
                <w:color w:val="auto"/>
              </w:rPr>
            </w:pPr>
            <w:r>
              <w:rPr>
                <w:rFonts w:ascii="Arial" w:cs="Arial" w:eastAsia="Arial" w:hAnsi="Arial"/>
                <w:sz w:val="20"/>
                <w:szCs w:val="20"/>
                <w:color w:val="1E1E1E"/>
              </w:rPr>
              <w:t>-39.68</w:t>
            </w:r>
          </w:p>
        </w:tc>
        <w:tc>
          <w:tcPr>
            <w:tcW w:w="960" w:type="dxa"/>
            <w:vAlign w:val="bottom"/>
          </w:tcPr>
          <w:p>
            <w:pPr>
              <w:jc w:val="right"/>
              <w:ind w:right="159"/>
              <w:spacing w:after="0" w:line="229" w:lineRule="exact"/>
              <w:rPr>
                <w:sz w:val="20"/>
                <w:szCs w:val="20"/>
                <w:color w:val="auto"/>
              </w:rPr>
            </w:pPr>
            <w:r>
              <w:rPr>
                <w:rFonts w:ascii="Arial" w:cs="Arial" w:eastAsia="Arial" w:hAnsi="Arial"/>
                <w:sz w:val="20"/>
                <w:szCs w:val="20"/>
                <w:color w:val="1E1E1E"/>
              </w:rPr>
              <w:t>44.57</w:t>
            </w:r>
          </w:p>
        </w:tc>
        <w:tc>
          <w:tcPr>
            <w:tcW w:w="780" w:type="dxa"/>
            <w:vAlign w:val="bottom"/>
          </w:tcPr>
          <w:p>
            <w:pPr>
              <w:jc w:val="right"/>
              <w:spacing w:after="0" w:line="229" w:lineRule="exact"/>
              <w:rPr>
                <w:sz w:val="20"/>
                <w:szCs w:val="20"/>
                <w:color w:val="auto"/>
              </w:rPr>
            </w:pPr>
            <w:r>
              <w:rPr>
                <w:rFonts w:ascii="Arial" w:cs="Arial" w:eastAsia="Arial" w:hAnsi="Arial"/>
                <w:sz w:val="20"/>
                <w:szCs w:val="20"/>
                <w:color w:val="1E1E1E"/>
              </w:rPr>
              <w:t>-30.54</w:t>
            </w:r>
          </w:p>
        </w:tc>
      </w:tr>
      <w:tr>
        <w:trPr>
          <w:trHeight w:val="240"/>
        </w:trPr>
        <w:tc>
          <w:tcPr>
            <w:tcW w:w="2860" w:type="dxa"/>
            <w:vAlign w:val="bottom"/>
          </w:tcPr>
          <w:p>
            <w:pPr>
              <w:ind w:left="120"/>
              <w:spacing w:after="0"/>
              <w:rPr>
                <w:sz w:val="20"/>
                <w:szCs w:val="20"/>
                <w:color w:val="auto"/>
              </w:rPr>
            </w:pPr>
            <w:r>
              <w:rPr>
                <w:rFonts w:ascii="Arial" w:cs="Arial" w:eastAsia="Arial" w:hAnsi="Arial"/>
                <w:sz w:val="20"/>
                <w:szCs w:val="20"/>
                <w:b w:val="1"/>
                <w:bCs w:val="1"/>
                <w:color w:val="1E1E1E"/>
              </w:rPr>
              <w:t>Russell 2000 Index</w:t>
            </w:r>
          </w:p>
        </w:tc>
        <w:tc>
          <w:tcPr>
            <w:tcW w:w="13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20"/>
                <w:szCs w:val="20"/>
                <w:color w:val="1E1E1E"/>
              </w:rPr>
              <w:t>-4.13</w:t>
            </w:r>
          </w:p>
        </w:tc>
        <w:tc>
          <w:tcPr>
            <w:tcW w:w="940" w:type="dxa"/>
            <w:vAlign w:val="bottom"/>
          </w:tcPr>
          <w:p>
            <w:pPr>
              <w:jc w:val="right"/>
              <w:ind w:right="39"/>
              <w:spacing w:after="0"/>
              <w:rPr>
                <w:sz w:val="20"/>
                <w:szCs w:val="20"/>
                <w:color w:val="auto"/>
              </w:rPr>
            </w:pPr>
            <w:r>
              <w:rPr>
                <w:rFonts w:ascii="Arial" w:cs="Arial" w:eastAsia="Arial" w:hAnsi="Arial"/>
                <w:sz w:val="20"/>
                <w:szCs w:val="20"/>
                <w:color w:val="1E1E1E"/>
              </w:rPr>
              <w:t>-1.50</w:t>
            </w:r>
          </w:p>
        </w:tc>
        <w:tc>
          <w:tcPr>
            <w:tcW w:w="1080" w:type="dxa"/>
            <w:vAlign w:val="bottom"/>
          </w:tcPr>
          <w:p>
            <w:pPr>
              <w:jc w:val="right"/>
              <w:ind w:right="159"/>
              <w:spacing w:after="0"/>
              <w:rPr>
                <w:sz w:val="20"/>
                <w:szCs w:val="20"/>
                <w:color w:val="auto"/>
              </w:rPr>
            </w:pPr>
            <w:r>
              <w:rPr>
                <w:rFonts w:ascii="Arial" w:cs="Arial" w:eastAsia="Arial" w:hAnsi="Arial"/>
                <w:sz w:val="20"/>
                <w:szCs w:val="20"/>
                <w:color w:val="1E1E1E"/>
              </w:rPr>
              <w:t>4.33</w:t>
            </w:r>
          </w:p>
        </w:tc>
        <w:tc>
          <w:tcPr>
            <w:tcW w:w="960" w:type="dxa"/>
            <w:vAlign w:val="bottom"/>
          </w:tcPr>
          <w:p>
            <w:pPr>
              <w:jc w:val="right"/>
              <w:ind w:right="159"/>
              <w:spacing w:after="0"/>
              <w:rPr>
                <w:sz w:val="20"/>
                <w:szCs w:val="20"/>
                <w:color w:val="auto"/>
              </w:rPr>
            </w:pPr>
            <w:r>
              <w:rPr>
                <w:rFonts w:ascii="Arial" w:cs="Arial" w:eastAsia="Arial" w:hAnsi="Arial"/>
                <w:sz w:val="20"/>
                <w:szCs w:val="20"/>
                <w:color w:val="1E1E1E"/>
              </w:rPr>
              <w:t>18.15</w:t>
            </w:r>
          </w:p>
        </w:tc>
        <w:tc>
          <w:tcPr>
            <w:tcW w:w="780" w:type="dxa"/>
            <w:vAlign w:val="bottom"/>
          </w:tcPr>
          <w:p>
            <w:pPr>
              <w:jc w:val="right"/>
              <w:spacing w:after="0"/>
              <w:rPr>
                <w:sz w:val="20"/>
                <w:szCs w:val="20"/>
                <w:color w:val="auto"/>
              </w:rPr>
            </w:pPr>
            <w:r>
              <w:rPr>
                <w:rFonts w:ascii="Arial" w:cs="Arial" w:eastAsia="Arial" w:hAnsi="Arial"/>
                <w:sz w:val="20"/>
                <w:szCs w:val="20"/>
                <w:color w:val="1E1E1E"/>
              </w:rPr>
              <w:t>15.81</w:t>
            </w:r>
          </w:p>
        </w:tc>
      </w:tr>
      <w:tr>
        <w:trPr>
          <w:trHeight w:val="286"/>
        </w:trPr>
        <w:tc>
          <w:tcPr>
            <w:tcW w:w="2860" w:type="dxa"/>
            <w:vAlign w:val="bottom"/>
          </w:tcPr>
          <w:p>
            <w:pPr>
              <w:ind w:left="120"/>
              <w:spacing w:after="0"/>
              <w:rPr>
                <w:sz w:val="20"/>
                <w:szCs w:val="20"/>
                <w:color w:val="auto"/>
              </w:rPr>
            </w:pPr>
            <w:r>
              <w:rPr>
                <w:rFonts w:ascii="Arial" w:cs="Arial" w:eastAsia="Arial" w:hAnsi="Arial"/>
                <w:sz w:val="20"/>
                <w:szCs w:val="20"/>
                <w:b w:val="1"/>
                <w:bCs w:val="1"/>
                <w:color w:val="1E1E1E"/>
              </w:rPr>
              <w:t>Peer Group</w:t>
            </w:r>
          </w:p>
        </w:tc>
        <w:tc>
          <w:tcPr>
            <w:tcW w:w="136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20"/>
                <w:szCs w:val="20"/>
                <w:color w:val="1E1E1E"/>
              </w:rPr>
              <w:t>6.67</w:t>
            </w:r>
          </w:p>
        </w:tc>
        <w:tc>
          <w:tcPr>
            <w:tcW w:w="940" w:type="dxa"/>
            <w:vAlign w:val="bottom"/>
          </w:tcPr>
          <w:p>
            <w:pPr>
              <w:jc w:val="right"/>
              <w:ind w:right="39"/>
              <w:spacing w:after="0"/>
              <w:rPr>
                <w:sz w:val="20"/>
                <w:szCs w:val="20"/>
                <w:color w:val="auto"/>
              </w:rPr>
            </w:pPr>
            <w:r>
              <w:rPr>
                <w:rFonts w:ascii="Arial" w:cs="Arial" w:eastAsia="Arial" w:hAnsi="Arial"/>
                <w:sz w:val="20"/>
                <w:szCs w:val="20"/>
                <w:color w:val="1E1E1E"/>
              </w:rPr>
              <w:t>-9.37</w:t>
            </w:r>
          </w:p>
        </w:tc>
        <w:tc>
          <w:tcPr>
            <w:tcW w:w="1080" w:type="dxa"/>
            <w:vAlign w:val="bottom"/>
          </w:tcPr>
          <w:p>
            <w:pPr>
              <w:jc w:val="right"/>
              <w:ind w:right="159"/>
              <w:spacing w:after="0"/>
              <w:rPr>
                <w:sz w:val="20"/>
                <w:szCs w:val="20"/>
                <w:color w:val="auto"/>
              </w:rPr>
            </w:pPr>
            <w:r>
              <w:rPr>
                <w:rFonts w:ascii="Arial" w:cs="Arial" w:eastAsia="Arial" w:hAnsi="Arial"/>
                <w:sz w:val="20"/>
                <w:szCs w:val="20"/>
                <w:color w:val="1E1E1E"/>
              </w:rPr>
              <w:t>-20.52</w:t>
            </w:r>
          </w:p>
        </w:tc>
        <w:tc>
          <w:tcPr>
            <w:tcW w:w="960" w:type="dxa"/>
            <w:vAlign w:val="bottom"/>
          </w:tcPr>
          <w:p>
            <w:pPr>
              <w:jc w:val="right"/>
              <w:ind w:right="159"/>
              <w:spacing w:after="0"/>
              <w:rPr>
                <w:sz w:val="20"/>
                <w:szCs w:val="20"/>
                <w:color w:val="auto"/>
              </w:rPr>
            </w:pPr>
            <w:r>
              <w:rPr>
                <w:rFonts w:ascii="Arial" w:cs="Arial" w:eastAsia="Arial" w:hAnsi="Arial"/>
                <w:sz w:val="20"/>
                <w:szCs w:val="20"/>
                <w:color w:val="1E1E1E"/>
              </w:rPr>
              <w:t>-7.26</w:t>
            </w:r>
          </w:p>
        </w:tc>
        <w:tc>
          <w:tcPr>
            <w:tcW w:w="780" w:type="dxa"/>
            <w:vAlign w:val="bottom"/>
          </w:tcPr>
          <w:p>
            <w:pPr>
              <w:jc w:val="right"/>
              <w:spacing w:after="0"/>
              <w:rPr>
                <w:sz w:val="20"/>
                <w:szCs w:val="20"/>
                <w:color w:val="auto"/>
              </w:rPr>
            </w:pPr>
            <w:r>
              <w:rPr>
                <w:rFonts w:ascii="Arial" w:cs="Arial" w:eastAsia="Arial" w:hAnsi="Arial"/>
                <w:sz w:val="20"/>
                <w:szCs w:val="20"/>
                <w:color w:val="1E1E1E"/>
              </w:rPr>
              <w:t>-5.35</w:t>
            </w:r>
          </w:p>
        </w:tc>
      </w:tr>
      <w:tr>
        <w:trPr>
          <w:trHeight w:val="434"/>
        </w:trPr>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80" w:type="dxa"/>
            <w:vAlign w:val="bottom"/>
            <w:gridSpan w:val="3"/>
          </w:tcPr>
          <w:p>
            <w:pPr>
              <w:jc w:val="center"/>
              <w:ind w:right="99"/>
              <w:spacing w:after="0"/>
              <w:rPr>
                <w:sz w:val="20"/>
                <w:szCs w:val="20"/>
                <w:color w:val="auto"/>
              </w:rPr>
            </w:pPr>
            <w:r>
              <w:rPr>
                <w:rFonts w:ascii="Arial" w:cs="Arial" w:eastAsia="Arial" w:hAnsi="Arial"/>
                <w:sz w:val="20"/>
                <w:szCs w:val="20"/>
                <w:b w:val="1"/>
                <w:bCs w:val="1"/>
                <w:color w:val="1E1E1E"/>
                <w:w w:val="99"/>
              </w:rPr>
              <w:t>INDEXED RETURNS</w:t>
            </w:r>
          </w:p>
        </w:tc>
        <w:tc>
          <w:tcPr>
            <w:tcW w:w="780" w:type="dxa"/>
            <w:vAlign w:val="bottom"/>
          </w:tcPr>
          <w:p>
            <w:pPr>
              <w:spacing w:after="0"/>
              <w:rPr>
                <w:sz w:val="24"/>
                <w:szCs w:val="24"/>
                <w:color w:val="auto"/>
              </w:rPr>
            </w:pPr>
          </w:p>
        </w:tc>
      </w:tr>
      <w:tr>
        <w:trPr>
          <w:trHeight w:val="245"/>
        </w:trPr>
        <w:tc>
          <w:tcPr>
            <w:tcW w:w="2860" w:type="dxa"/>
            <w:vAlign w:val="bottom"/>
          </w:tcPr>
          <w:p>
            <w:pPr>
              <w:spacing w:after="0"/>
              <w:rPr>
                <w:sz w:val="21"/>
                <w:szCs w:val="21"/>
                <w:color w:val="auto"/>
              </w:rPr>
            </w:pPr>
          </w:p>
        </w:tc>
        <w:tc>
          <w:tcPr>
            <w:tcW w:w="1360" w:type="dxa"/>
            <w:vAlign w:val="bottom"/>
          </w:tcPr>
          <w:p>
            <w:pPr>
              <w:jc w:val="center"/>
              <w:ind w:left="259"/>
              <w:spacing w:after="0"/>
              <w:rPr>
                <w:sz w:val="20"/>
                <w:szCs w:val="20"/>
                <w:color w:val="auto"/>
              </w:rPr>
            </w:pPr>
            <w:r>
              <w:rPr>
                <w:rFonts w:ascii="Arial" w:cs="Arial" w:eastAsia="Arial" w:hAnsi="Arial"/>
                <w:sz w:val="20"/>
                <w:szCs w:val="20"/>
                <w:b w:val="1"/>
                <w:bCs w:val="1"/>
                <w:color w:val="1E1E1E"/>
              </w:rPr>
              <w:t>Base</w:t>
            </w:r>
          </w:p>
        </w:tc>
        <w:tc>
          <w:tcPr>
            <w:tcW w:w="960" w:type="dxa"/>
            <w:vAlign w:val="bottom"/>
          </w:tcPr>
          <w:p>
            <w:pPr>
              <w:spacing w:after="0"/>
              <w:rPr>
                <w:sz w:val="21"/>
                <w:szCs w:val="21"/>
                <w:color w:val="auto"/>
              </w:rPr>
            </w:pPr>
          </w:p>
        </w:tc>
        <w:tc>
          <w:tcPr>
            <w:tcW w:w="2020" w:type="dxa"/>
            <w:vAlign w:val="bottom"/>
            <w:gridSpan w:val="2"/>
          </w:tcPr>
          <w:p>
            <w:pPr>
              <w:jc w:val="center"/>
              <w:ind w:left="659"/>
              <w:spacing w:after="0"/>
              <w:rPr>
                <w:sz w:val="20"/>
                <w:szCs w:val="20"/>
                <w:color w:val="auto"/>
              </w:rPr>
            </w:pPr>
            <w:r>
              <w:rPr>
                <w:rFonts w:ascii="Arial" w:cs="Arial" w:eastAsia="Arial" w:hAnsi="Arial"/>
                <w:sz w:val="20"/>
                <w:szCs w:val="20"/>
                <w:b w:val="1"/>
                <w:bCs w:val="1"/>
                <w:color w:val="1E1E1E"/>
              </w:rPr>
              <w:t>Years Ended</w:t>
            </w: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4"/>
        </w:trPr>
        <w:tc>
          <w:tcPr>
            <w:tcW w:w="2860" w:type="dxa"/>
            <w:vAlign w:val="bottom"/>
          </w:tcPr>
          <w:p>
            <w:pPr>
              <w:spacing w:after="0"/>
              <w:rPr>
                <w:sz w:val="22"/>
                <w:szCs w:val="22"/>
                <w:color w:val="auto"/>
              </w:rPr>
            </w:pPr>
          </w:p>
        </w:tc>
        <w:tc>
          <w:tcPr>
            <w:tcW w:w="1360" w:type="dxa"/>
            <w:vAlign w:val="bottom"/>
          </w:tcPr>
          <w:p>
            <w:pPr>
              <w:jc w:val="center"/>
              <w:ind w:left="239"/>
              <w:spacing w:after="0"/>
              <w:rPr>
                <w:sz w:val="20"/>
                <w:szCs w:val="20"/>
                <w:color w:val="auto"/>
              </w:rPr>
            </w:pPr>
            <w:r>
              <w:rPr>
                <w:rFonts w:ascii="Arial" w:cs="Arial" w:eastAsia="Arial" w:hAnsi="Arial"/>
                <w:sz w:val="20"/>
                <w:szCs w:val="20"/>
                <w:b w:val="1"/>
                <w:bCs w:val="1"/>
                <w:color w:val="1E1E1E"/>
                <w:w w:val="99"/>
              </w:rPr>
              <w:t>Period</w:t>
            </w:r>
          </w:p>
        </w:tc>
        <w:tc>
          <w:tcPr>
            <w:tcW w:w="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56"/>
        </w:trPr>
        <w:tc>
          <w:tcPr>
            <w:tcW w:w="2860" w:type="dxa"/>
            <w:vAlign w:val="bottom"/>
            <w:tcBorders>
              <w:bottom w:val="single" w:sz="8" w:color="1E1E1E"/>
            </w:tcBorders>
          </w:tcPr>
          <w:p>
            <w:pPr>
              <w:ind w:left="120"/>
              <w:spacing w:after="0"/>
              <w:rPr>
                <w:sz w:val="20"/>
                <w:szCs w:val="20"/>
                <w:color w:val="auto"/>
              </w:rPr>
            </w:pPr>
            <w:r>
              <w:rPr>
                <w:rFonts w:ascii="Arial" w:cs="Arial" w:eastAsia="Arial" w:hAnsi="Arial"/>
                <w:sz w:val="20"/>
                <w:szCs w:val="20"/>
                <w:b w:val="1"/>
                <w:bCs w:val="1"/>
                <w:color w:val="1E1E1E"/>
              </w:rPr>
              <w:t>Company / Index</w:t>
            </w:r>
          </w:p>
        </w:tc>
        <w:tc>
          <w:tcPr>
            <w:tcW w:w="1360" w:type="dxa"/>
            <w:vAlign w:val="bottom"/>
            <w:tcBorders>
              <w:bottom w:val="single" w:sz="8" w:color="1E1E1E"/>
            </w:tcBorders>
          </w:tcPr>
          <w:p>
            <w:pPr>
              <w:jc w:val="center"/>
              <w:ind w:left="259"/>
              <w:spacing w:after="0"/>
              <w:rPr>
                <w:sz w:val="20"/>
                <w:szCs w:val="20"/>
                <w:color w:val="auto"/>
              </w:rPr>
            </w:pPr>
            <w:r>
              <w:rPr>
                <w:rFonts w:ascii="Arial" w:cs="Arial" w:eastAsia="Arial" w:hAnsi="Arial"/>
                <w:sz w:val="20"/>
                <w:szCs w:val="20"/>
                <w:b w:val="1"/>
                <w:bCs w:val="1"/>
                <w:color w:val="1E1E1E"/>
              </w:rPr>
              <w:t>1/30/21</w:t>
            </w:r>
          </w:p>
        </w:tc>
        <w:tc>
          <w:tcPr>
            <w:tcW w:w="960" w:type="dxa"/>
            <w:vAlign w:val="bottom"/>
            <w:tcBorders>
              <w:bottom w:val="single" w:sz="8" w:color="1E1E1E"/>
            </w:tcBorders>
          </w:tcPr>
          <w:p>
            <w:pPr>
              <w:jc w:val="right"/>
              <w:ind w:right="39"/>
              <w:spacing w:after="0"/>
              <w:rPr>
                <w:sz w:val="20"/>
                <w:szCs w:val="20"/>
                <w:color w:val="auto"/>
              </w:rPr>
            </w:pPr>
            <w:r>
              <w:rPr>
                <w:rFonts w:ascii="Arial" w:cs="Arial" w:eastAsia="Arial" w:hAnsi="Arial"/>
                <w:sz w:val="20"/>
                <w:szCs w:val="20"/>
                <w:b w:val="1"/>
                <w:bCs w:val="1"/>
                <w:color w:val="1E1E1E"/>
              </w:rPr>
              <w:t>1/29/22</w:t>
            </w:r>
          </w:p>
        </w:tc>
        <w:tc>
          <w:tcPr>
            <w:tcW w:w="940" w:type="dxa"/>
            <w:vAlign w:val="bottom"/>
            <w:tcBorders>
              <w:bottom w:val="single" w:sz="8" w:color="1E1E1E"/>
            </w:tcBorders>
          </w:tcPr>
          <w:p>
            <w:pPr>
              <w:jc w:val="right"/>
              <w:ind w:right="39"/>
              <w:spacing w:after="0"/>
              <w:rPr>
                <w:sz w:val="20"/>
                <w:szCs w:val="20"/>
                <w:color w:val="auto"/>
              </w:rPr>
            </w:pPr>
            <w:r>
              <w:rPr>
                <w:rFonts w:ascii="Arial" w:cs="Arial" w:eastAsia="Arial" w:hAnsi="Arial"/>
                <w:sz w:val="20"/>
                <w:szCs w:val="20"/>
                <w:b w:val="1"/>
                <w:bCs w:val="1"/>
                <w:color w:val="1E1E1E"/>
              </w:rPr>
              <w:t>1/28/23</w:t>
            </w:r>
          </w:p>
        </w:tc>
        <w:tc>
          <w:tcPr>
            <w:tcW w:w="1080" w:type="dxa"/>
            <w:vAlign w:val="bottom"/>
            <w:tcBorders>
              <w:bottom w:val="single" w:sz="8" w:color="1E1E1E"/>
            </w:tcBorders>
          </w:tcPr>
          <w:p>
            <w:pPr>
              <w:jc w:val="right"/>
              <w:ind w:right="159"/>
              <w:spacing w:after="0"/>
              <w:rPr>
                <w:sz w:val="20"/>
                <w:szCs w:val="20"/>
                <w:color w:val="auto"/>
              </w:rPr>
            </w:pPr>
            <w:r>
              <w:rPr>
                <w:rFonts w:ascii="Arial" w:cs="Arial" w:eastAsia="Arial" w:hAnsi="Arial"/>
                <w:sz w:val="20"/>
                <w:szCs w:val="20"/>
                <w:b w:val="1"/>
                <w:bCs w:val="1"/>
                <w:color w:val="1E1E1E"/>
              </w:rPr>
              <w:t>2/03/24</w:t>
            </w:r>
          </w:p>
        </w:tc>
        <w:tc>
          <w:tcPr>
            <w:tcW w:w="960" w:type="dxa"/>
            <w:vAlign w:val="bottom"/>
            <w:tcBorders>
              <w:bottom w:val="single" w:sz="8" w:color="1E1E1E"/>
            </w:tcBorders>
          </w:tcPr>
          <w:p>
            <w:pPr>
              <w:jc w:val="right"/>
              <w:ind w:right="159"/>
              <w:spacing w:after="0"/>
              <w:rPr>
                <w:sz w:val="20"/>
                <w:szCs w:val="20"/>
                <w:color w:val="auto"/>
              </w:rPr>
            </w:pPr>
            <w:r>
              <w:rPr>
                <w:rFonts w:ascii="Arial" w:cs="Arial" w:eastAsia="Arial" w:hAnsi="Arial"/>
                <w:sz w:val="20"/>
                <w:szCs w:val="20"/>
                <w:b w:val="1"/>
                <w:bCs w:val="1"/>
                <w:color w:val="1E1E1E"/>
              </w:rPr>
              <w:t>2/01/25</w:t>
            </w:r>
          </w:p>
        </w:tc>
        <w:tc>
          <w:tcPr>
            <w:tcW w:w="780" w:type="dxa"/>
            <w:vAlign w:val="bottom"/>
            <w:tcBorders>
              <w:bottom w:val="single" w:sz="8" w:color="1E1E1E"/>
            </w:tcBorders>
          </w:tcPr>
          <w:p>
            <w:pPr>
              <w:jc w:val="right"/>
              <w:spacing w:after="0"/>
              <w:rPr>
                <w:sz w:val="20"/>
                <w:szCs w:val="20"/>
                <w:color w:val="auto"/>
              </w:rPr>
            </w:pPr>
            <w:r>
              <w:rPr>
                <w:rFonts w:ascii="Arial" w:cs="Arial" w:eastAsia="Arial" w:hAnsi="Arial"/>
                <w:sz w:val="20"/>
                <w:szCs w:val="20"/>
                <w:b w:val="1"/>
                <w:bCs w:val="1"/>
                <w:color w:val="1E1E1E"/>
                <w:w w:val="98"/>
              </w:rPr>
              <w:t>1/31/26</w:t>
            </w:r>
          </w:p>
        </w:tc>
      </w:tr>
      <w:tr>
        <w:trPr>
          <w:trHeight w:val="224"/>
        </w:trPr>
        <w:tc>
          <w:tcPr>
            <w:tcW w:w="2860" w:type="dxa"/>
            <w:vAlign w:val="bottom"/>
          </w:tcPr>
          <w:p>
            <w:pPr>
              <w:ind w:left="120"/>
              <w:spacing w:after="0" w:line="224" w:lineRule="exact"/>
              <w:rPr>
                <w:sz w:val="20"/>
                <w:szCs w:val="20"/>
                <w:color w:val="auto"/>
              </w:rPr>
            </w:pPr>
            <w:r>
              <w:rPr>
                <w:rFonts w:ascii="Arial" w:cs="Arial" w:eastAsia="Arial" w:hAnsi="Arial"/>
                <w:sz w:val="20"/>
                <w:szCs w:val="20"/>
                <w:b w:val="1"/>
                <w:bCs w:val="1"/>
                <w:color w:val="1E1E1E"/>
              </w:rPr>
              <w:t>Genesco Inc.</w:t>
            </w:r>
          </w:p>
        </w:tc>
        <w:tc>
          <w:tcPr>
            <w:tcW w:w="1360" w:type="dxa"/>
            <w:vAlign w:val="bottom"/>
          </w:tcPr>
          <w:p>
            <w:pPr>
              <w:jc w:val="center"/>
              <w:ind w:left="259"/>
              <w:spacing w:after="0" w:line="224" w:lineRule="exact"/>
              <w:rPr>
                <w:sz w:val="20"/>
                <w:szCs w:val="20"/>
                <w:color w:val="auto"/>
              </w:rPr>
            </w:pPr>
            <w:r>
              <w:rPr>
                <w:rFonts w:ascii="Arial" w:cs="Arial" w:eastAsia="Arial" w:hAnsi="Arial"/>
                <w:sz w:val="20"/>
                <w:szCs w:val="20"/>
                <w:b w:val="1"/>
                <w:bCs w:val="1"/>
                <w:color w:val="1E1E1E"/>
                <w:w w:val="95"/>
              </w:rPr>
              <w:t>100</w:t>
            </w:r>
          </w:p>
        </w:tc>
        <w:tc>
          <w:tcPr>
            <w:tcW w:w="960" w:type="dxa"/>
            <w:vAlign w:val="bottom"/>
          </w:tcPr>
          <w:p>
            <w:pPr>
              <w:jc w:val="right"/>
              <w:ind w:right="39"/>
              <w:spacing w:after="0" w:line="224" w:lineRule="exact"/>
              <w:rPr>
                <w:sz w:val="20"/>
                <w:szCs w:val="20"/>
                <w:color w:val="auto"/>
              </w:rPr>
            </w:pPr>
            <w:r>
              <w:rPr>
                <w:rFonts w:ascii="Arial" w:cs="Arial" w:eastAsia="Arial" w:hAnsi="Arial"/>
                <w:sz w:val="20"/>
                <w:szCs w:val="20"/>
                <w:color w:val="1E1E1E"/>
              </w:rPr>
              <w:t>162.17</w:t>
            </w:r>
          </w:p>
        </w:tc>
        <w:tc>
          <w:tcPr>
            <w:tcW w:w="940" w:type="dxa"/>
            <w:vAlign w:val="bottom"/>
          </w:tcPr>
          <w:p>
            <w:pPr>
              <w:jc w:val="right"/>
              <w:ind w:right="39"/>
              <w:spacing w:after="0" w:line="224" w:lineRule="exact"/>
              <w:rPr>
                <w:sz w:val="20"/>
                <w:szCs w:val="20"/>
                <w:color w:val="auto"/>
              </w:rPr>
            </w:pPr>
            <w:r>
              <w:rPr>
                <w:rFonts w:ascii="Arial" w:cs="Arial" w:eastAsia="Arial" w:hAnsi="Arial"/>
                <w:sz w:val="20"/>
                <w:szCs w:val="20"/>
                <w:color w:val="1E1E1E"/>
              </w:rPr>
              <w:t>123.06</w:t>
            </w:r>
          </w:p>
        </w:tc>
        <w:tc>
          <w:tcPr>
            <w:tcW w:w="1080" w:type="dxa"/>
            <w:vAlign w:val="bottom"/>
          </w:tcPr>
          <w:p>
            <w:pPr>
              <w:jc w:val="right"/>
              <w:ind w:right="159"/>
              <w:spacing w:after="0" w:line="224" w:lineRule="exact"/>
              <w:rPr>
                <w:sz w:val="20"/>
                <w:szCs w:val="20"/>
                <w:color w:val="auto"/>
              </w:rPr>
            </w:pPr>
            <w:r>
              <w:rPr>
                <w:rFonts w:ascii="Arial" w:cs="Arial" w:eastAsia="Arial" w:hAnsi="Arial"/>
                <w:sz w:val="20"/>
                <w:szCs w:val="20"/>
                <w:color w:val="1E1E1E"/>
              </w:rPr>
              <w:t>74.23</w:t>
            </w:r>
          </w:p>
        </w:tc>
        <w:tc>
          <w:tcPr>
            <w:tcW w:w="960" w:type="dxa"/>
            <w:vAlign w:val="bottom"/>
          </w:tcPr>
          <w:p>
            <w:pPr>
              <w:jc w:val="right"/>
              <w:ind w:right="159"/>
              <w:spacing w:after="0" w:line="224" w:lineRule="exact"/>
              <w:rPr>
                <w:sz w:val="20"/>
                <w:szCs w:val="20"/>
                <w:color w:val="auto"/>
              </w:rPr>
            </w:pPr>
            <w:r>
              <w:rPr>
                <w:rFonts w:ascii="Arial" w:cs="Arial" w:eastAsia="Arial" w:hAnsi="Arial"/>
                <w:sz w:val="20"/>
                <w:szCs w:val="20"/>
                <w:color w:val="1E1E1E"/>
              </w:rPr>
              <w:t>107.32</w:t>
            </w:r>
          </w:p>
        </w:tc>
        <w:tc>
          <w:tcPr>
            <w:tcW w:w="780" w:type="dxa"/>
            <w:vAlign w:val="bottom"/>
          </w:tcPr>
          <w:p>
            <w:pPr>
              <w:jc w:val="right"/>
              <w:spacing w:after="0" w:line="224" w:lineRule="exact"/>
              <w:rPr>
                <w:sz w:val="20"/>
                <w:szCs w:val="20"/>
                <w:color w:val="auto"/>
              </w:rPr>
            </w:pPr>
            <w:r>
              <w:rPr>
                <w:rFonts w:ascii="Arial" w:cs="Arial" w:eastAsia="Arial" w:hAnsi="Arial"/>
                <w:sz w:val="20"/>
                <w:szCs w:val="20"/>
                <w:color w:val="1E1E1E"/>
              </w:rPr>
              <w:t>74.54</w:t>
            </w:r>
          </w:p>
        </w:tc>
      </w:tr>
      <w:tr>
        <w:trPr>
          <w:trHeight w:val="240"/>
        </w:trPr>
        <w:tc>
          <w:tcPr>
            <w:tcW w:w="2860" w:type="dxa"/>
            <w:vAlign w:val="bottom"/>
          </w:tcPr>
          <w:p>
            <w:pPr>
              <w:ind w:left="120"/>
              <w:spacing w:after="0"/>
              <w:rPr>
                <w:sz w:val="20"/>
                <w:szCs w:val="20"/>
                <w:color w:val="auto"/>
              </w:rPr>
            </w:pPr>
            <w:r>
              <w:rPr>
                <w:rFonts w:ascii="Arial" w:cs="Arial" w:eastAsia="Arial" w:hAnsi="Arial"/>
                <w:sz w:val="20"/>
                <w:szCs w:val="20"/>
                <w:b w:val="1"/>
                <w:bCs w:val="1"/>
                <w:color w:val="1E1E1E"/>
              </w:rPr>
              <w:t>Russell 2000 Index</w:t>
            </w:r>
          </w:p>
        </w:tc>
        <w:tc>
          <w:tcPr>
            <w:tcW w:w="1360" w:type="dxa"/>
            <w:vAlign w:val="bottom"/>
          </w:tcPr>
          <w:p>
            <w:pPr>
              <w:jc w:val="center"/>
              <w:ind w:left="259"/>
              <w:spacing w:after="0"/>
              <w:rPr>
                <w:sz w:val="20"/>
                <w:szCs w:val="20"/>
                <w:color w:val="auto"/>
              </w:rPr>
            </w:pPr>
            <w:r>
              <w:rPr>
                <w:rFonts w:ascii="Arial" w:cs="Arial" w:eastAsia="Arial" w:hAnsi="Arial"/>
                <w:sz w:val="20"/>
                <w:szCs w:val="20"/>
                <w:b w:val="1"/>
                <w:bCs w:val="1"/>
                <w:color w:val="1E1E1E"/>
                <w:w w:val="95"/>
              </w:rPr>
              <w:t>100</w:t>
            </w:r>
          </w:p>
        </w:tc>
        <w:tc>
          <w:tcPr>
            <w:tcW w:w="960" w:type="dxa"/>
            <w:vAlign w:val="bottom"/>
          </w:tcPr>
          <w:p>
            <w:pPr>
              <w:jc w:val="right"/>
              <w:ind w:right="39"/>
              <w:spacing w:after="0"/>
              <w:rPr>
                <w:sz w:val="20"/>
                <w:szCs w:val="20"/>
                <w:color w:val="auto"/>
              </w:rPr>
            </w:pPr>
            <w:r>
              <w:rPr>
                <w:rFonts w:ascii="Arial" w:cs="Arial" w:eastAsia="Arial" w:hAnsi="Arial"/>
                <w:sz w:val="20"/>
                <w:szCs w:val="20"/>
                <w:color w:val="1E1E1E"/>
              </w:rPr>
              <w:t>95.87</w:t>
            </w:r>
          </w:p>
        </w:tc>
        <w:tc>
          <w:tcPr>
            <w:tcW w:w="940" w:type="dxa"/>
            <w:vAlign w:val="bottom"/>
          </w:tcPr>
          <w:p>
            <w:pPr>
              <w:jc w:val="right"/>
              <w:ind w:right="39"/>
              <w:spacing w:after="0"/>
              <w:rPr>
                <w:sz w:val="20"/>
                <w:szCs w:val="20"/>
                <w:color w:val="auto"/>
              </w:rPr>
            </w:pPr>
            <w:r>
              <w:rPr>
                <w:rFonts w:ascii="Arial" w:cs="Arial" w:eastAsia="Arial" w:hAnsi="Arial"/>
                <w:sz w:val="20"/>
                <w:szCs w:val="20"/>
                <w:color w:val="1E1E1E"/>
              </w:rPr>
              <w:t>94.44</w:t>
            </w:r>
          </w:p>
        </w:tc>
        <w:tc>
          <w:tcPr>
            <w:tcW w:w="1080" w:type="dxa"/>
            <w:vAlign w:val="bottom"/>
          </w:tcPr>
          <w:p>
            <w:pPr>
              <w:jc w:val="right"/>
              <w:ind w:right="159"/>
              <w:spacing w:after="0"/>
              <w:rPr>
                <w:sz w:val="20"/>
                <w:szCs w:val="20"/>
                <w:color w:val="auto"/>
              </w:rPr>
            </w:pPr>
            <w:r>
              <w:rPr>
                <w:rFonts w:ascii="Arial" w:cs="Arial" w:eastAsia="Arial" w:hAnsi="Arial"/>
                <w:sz w:val="20"/>
                <w:szCs w:val="20"/>
                <w:color w:val="1E1E1E"/>
              </w:rPr>
              <w:t>98.53</w:t>
            </w:r>
          </w:p>
        </w:tc>
        <w:tc>
          <w:tcPr>
            <w:tcW w:w="960" w:type="dxa"/>
            <w:vAlign w:val="bottom"/>
          </w:tcPr>
          <w:p>
            <w:pPr>
              <w:jc w:val="right"/>
              <w:ind w:right="159"/>
              <w:spacing w:after="0"/>
              <w:rPr>
                <w:sz w:val="20"/>
                <w:szCs w:val="20"/>
                <w:color w:val="auto"/>
              </w:rPr>
            </w:pPr>
            <w:r>
              <w:rPr>
                <w:rFonts w:ascii="Arial" w:cs="Arial" w:eastAsia="Arial" w:hAnsi="Arial"/>
                <w:sz w:val="20"/>
                <w:szCs w:val="20"/>
                <w:color w:val="1E1E1E"/>
              </w:rPr>
              <w:t>116.41</w:t>
            </w:r>
          </w:p>
        </w:tc>
        <w:tc>
          <w:tcPr>
            <w:tcW w:w="780" w:type="dxa"/>
            <w:vAlign w:val="bottom"/>
          </w:tcPr>
          <w:p>
            <w:pPr>
              <w:jc w:val="right"/>
              <w:spacing w:after="0"/>
              <w:rPr>
                <w:sz w:val="20"/>
                <w:szCs w:val="20"/>
                <w:color w:val="auto"/>
              </w:rPr>
            </w:pPr>
            <w:r>
              <w:rPr>
                <w:rFonts w:ascii="Arial" w:cs="Arial" w:eastAsia="Arial" w:hAnsi="Arial"/>
                <w:sz w:val="20"/>
                <w:szCs w:val="20"/>
                <w:color w:val="1E1E1E"/>
              </w:rPr>
              <w:t>134.81</w:t>
            </w:r>
          </w:p>
        </w:tc>
      </w:tr>
      <w:tr>
        <w:trPr>
          <w:trHeight w:val="286"/>
        </w:trPr>
        <w:tc>
          <w:tcPr>
            <w:tcW w:w="2860" w:type="dxa"/>
            <w:vAlign w:val="bottom"/>
          </w:tcPr>
          <w:p>
            <w:pPr>
              <w:ind w:left="120"/>
              <w:spacing w:after="0"/>
              <w:rPr>
                <w:sz w:val="20"/>
                <w:szCs w:val="20"/>
                <w:color w:val="auto"/>
              </w:rPr>
            </w:pPr>
            <w:r>
              <w:rPr>
                <w:rFonts w:ascii="Arial" w:cs="Arial" w:eastAsia="Arial" w:hAnsi="Arial"/>
                <w:sz w:val="20"/>
                <w:szCs w:val="20"/>
                <w:b w:val="1"/>
                <w:bCs w:val="1"/>
                <w:color w:val="1E1E1E"/>
              </w:rPr>
              <w:t>Peer Group</w:t>
            </w:r>
          </w:p>
        </w:tc>
        <w:tc>
          <w:tcPr>
            <w:tcW w:w="1360" w:type="dxa"/>
            <w:vAlign w:val="bottom"/>
          </w:tcPr>
          <w:p>
            <w:pPr>
              <w:jc w:val="center"/>
              <w:ind w:left="259"/>
              <w:spacing w:after="0"/>
              <w:rPr>
                <w:sz w:val="20"/>
                <w:szCs w:val="20"/>
                <w:color w:val="auto"/>
              </w:rPr>
            </w:pPr>
            <w:r>
              <w:rPr>
                <w:rFonts w:ascii="Arial" w:cs="Arial" w:eastAsia="Arial" w:hAnsi="Arial"/>
                <w:sz w:val="20"/>
                <w:szCs w:val="20"/>
                <w:b w:val="1"/>
                <w:bCs w:val="1"/>
                <w:color w:val="1E1E1E"/>
                <w:w w:val="95"/>
              </w:rPr>
              <w:t>100</w:t>
            </w:r>
          </w:p>
        </w:tc>
        <w:tc>
          <w:tcPr>
            <w:tcW w:w="960" w:type="dxa"/>
            <w:vAlign w:val="bottom"/>
          </w:tcPr>
          <w:p>
            <w:pPr>
              <w:jc w:val="right"/>
              <w:ind w:right="39"/>
              <w:spacing w:after="0"/>
              <w:rPr>
                <w:sz w:val="20"/>
                <w:szCs w:val="20"/>
                <w:color w:val="auto"/>
              </w:rPr>
            </w:pPr>
            <w:r>
              <w:rPr>
                <w:rFonts w:ascii="Arial" w:cs="Arial" w:eastAsia="Arial" w:hAnsi="Arial"/>
                <w:sz w:val="20"/>
                <w:szCs w:val="20"/>
                <w:color w:val="1E1E1E"/>
              </w:rPr>
              <w:t>106.67</w:t>
            </w:r>
          </w:p>
        </w:tc>
        <w:tc>
          <w:tcPr>
            <w:tcW w:w="940" w:type="dxa"/>
            <w:vAlign w:val="bottom"/>
          </w:tcPr>
          <w:p>
            <w:pPr>
              <w:jc w:val="right"/>
              <w:ind w:right="39"/>
              <w:spacing w:after="0"/>
              <w:rPr>
                <w:sz w:val="20"/>
                <w:szCs w:val="20"/>
                <w:color w:val="auto"/>
              </w:rPr>
            </w:pPr>
            <w:r>
              <w:rPr>
                <w:rFonts w:ascii="Arial" w:cs="Arial" w:eastAsia="Arial" w:hAnsi="Arial"/>
                <w:sz w:val="20"/>
                <w:szCs w:val="20"/>
                <w:color w:val="1E1E1E"/>
              </w:rPr>
              <w:t>96.68</w:t>
            </w:r>
          </w:p>
        </w:tc>
        <w:tc>
          <w:tcPr>
            <w:tcW w:w="1080" w:type="dxa"/>
            <w:vAlign w:val="bottom"/>
          </w:tcPr>
          <w:p>
            <w:pPr>
              <w:jc w:val="right"/>
              <w:ind w:right="159"/>
              <w:spacing w:after="0"/>
              <w:rPr>
                <w:sz w:val="20"/>
                <w:szCs w:val="20"/>
                <w:color w:val="auto"/>
              </w:rPr>
            </w:pPr>
            <w:r>
              <w:rPr>
                <w:rFonts w:ascii="Arial" w:cs="Arial" w:eastAsia="Arial" w:hAnsi="Arial"/>
                <w:sz w:val="20"/>
                <w:szCs w:val="20"/>
                <w:color w:val="1E1E1E"/>
              </w:rPr>
              <w:t>76.84</w:t>
            </w:r>
          </w:p>
        </w:tc>
        <w:tc>
          <w:tcPr>
            <w:tcW w:w="960" w:type="dxa"/>
            <w:vAlign w:val="bottom"/>
          </w:tcPr>
          <w:p>
            <w:pPr>
              <w:jc w:val="right"/>
              <w:ind w:right="159"/>
              <w:spacing w:after="0"/>
              <w:rPr>
                <w:sz w:val="20"/>
                <w:szCs w:val="20"/>
                <w:color w:val="auto"/>
              </w:rPr>
            </w:pPr>
            <w:r>
              <w:rPr>
                <w:rFonts w:ascii="Arial" w:cs="Arial" w:eastAsia="Arial" w:hAnsi="Arial"/>
                <w:sz w:val="20"/>
                <w:szCs w:val="20"/>
                <w:color w:val="1E1E1E"/>
              </w:rPr>
              <w:t>71.27</w:t>
            </w:r>
          </w:p>
        </w:tc>
        <w:tc>
          <w:tcPr>
            <w:tcW w:w="780" w:type="dxa"/>
            <w:vAlign w:val="bottom"/>
          </w:tcPr>
          <w:p>
            <w:pPr>
              <w:jc w:val="right"/>
              <w:spacing w:after="0"/>
              <w:rPr>
                <w:sz w:val="20"/>
                <w:szCs w:val="20"/>
                <w:color w:val="auto"/>
              </w:rPr>
            </w:pPr>
            <w:r>
              <w:rPr>
                <w:rFonts w:ascii="Arial" w:cs="Arial" w:eastAsia="Arial" w:hAnsi="Arial"/>
                <w:sz w:val="20"/>
                <w:szCs w:val="20"/>
                <w:color w:val="1E1E1E"/>
              </w:rPr>
              <w:t>67.45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1E1E1E"/>
        </w:rPr>
        <w:t>Peer Group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586740</wp:posOffset>
                </wp:positionH>
                <wp:positionV relativeFrom="paragraph">
                  <wp:posOffset>22225</wp:posOffset>
                </wp:positionV>
                <wp:extent cx="567880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8805" cy="4763"/>
                        </a:xfrm>
                        <a:prstGeom prst="line">
                          <a:avLst/>
                        </a:prstGeom>
                        <a:solidFill>
                          <a:srgbClr val="FFFFFF"/>
                        </a:solidFill>
                        <a:ln w="12192">
                          <a:solidFill>
                            <a:srgbClr val="1E1E1E"/>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2pt,1.75pt" to="493.35pt,1.75pt" o:allowincell="f" strokecolor="#1E1E1E" strokeweight="0.96pt"/>
            </w:pict>
          </mc:Fallback>
        </mc:AlternateContent>
      </w:r>
    </w:p>
    <w:p>
      <w:pPr>
        <w:spacing w:after="0" w:line="36" w:lineRule="exact"/>
        <w:rPr>
          <w:sz w:val="20"/>
          <w:szCs w:val="20"/>
          <w:color w:val="auto"/>
        </w:rPr>
      </w:pPr>
    </w:p>
    <w:p>
      <w:pPr>
        <w:ind w:left="1040"/>
        <w:spacing w:after="0"/>
        <w:rPr>
          <w:sz w:val="20"/>
          <w:szCs w:val="20"/>
          <w:color w:val="auto"/>
        </w:rPr>
      </w:pPr>
      <w:r>
        <w:rPr>
          <w:rFonts w:ascii="Arial" w:cs="Arial" w:eastAsia="Arial" w:hAnsi="Arial"/>
          <w:sz w:val="20"/>
          <w:szCs w:val="20"/>
          <w:color w:val="1E1E1E"/>
        </w:rPr>
        <w:t>Caleres, Inc.</w:t>
      </w:r>
    </w:p>
    <w:p>
      <w:pPr>
        <w:spacing w:after="0" w:line="18" w:lineRule="exact"/>
        <w:rPr>
          <w:sz w:val="20"/>
          <w:szCs w:val="20"/>
          <w:color w:val="auto"/>
        </w:rPr>
      </w:pPr>
    </w:p>
    <w:p>
      <w:pPr>
        <w:ind w:left="1040"/>
        <w:spacing w:after="0"/>
        <w:rPr>
          <w:sz w:val="20"/>
          <w:szCs w:val="20"/>
          <w:color w:val="auto"/>
        </w:rPr>
      </w:pPr>
      <w:r>
        <w:rPr>
          <w:rFonts w:ascii="Arial" w:cs="Arial" w:eastAsia="Arial" w:hAnsi="Arial"/>
          <w:sz w:val="20"/>
          <w:szCs w:val="20"/>
          <w:color w:val="1E1E1E"/>
        </w:rPr>
        <w:t>Designer Brands Inc.</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20"/>
          <w:szCs w:val="20"/>
          <w:color w:val="1E1E1E"/>
        </w:rPr>
        <w:t>Foot Locker, Inc. - included through 9/8/25 when it was acquired by DICK'S Sporting Goods, Inc.</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20"/>
          <w:szCs w:val="20"/>
          <w:color w:val="1E1E1E"/>
        </w:rPr>
        <w:t>Shoe Carnival, Inc.</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0"/>
          <w:szCs w:val="20"/>
          <w:color w:val="1E1E1E"/>
        </w:rPr>
        <w:t>Wolverine World Wide, Inc.</w:t>
      </w:r>
    </w:p>
    <w:p>
      <w:pPr>
        <w:sectPr>
          <w:pgSz w:w="12240" w:h="15840" w:orient="portrait"/>
          <w:cols w:equalWidth="0" w:num="1">
            <w:col w:w="10780"/>
          </w:cols>
          <w:pgMar w:left="920" w:top="922" w:right="540" w:bottom="1440"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u w:val="single" w:color="auto"/>
          <w:color w:val="1E1E1E"/>
        </w:rPr>
        <w:t>COMPARISON OF CUMULATIVE FIVE-YEAR TOTAL RETURN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6064250</wp:posOffset>
                </wp:positionH>
                <wp:positionV relativeFrom="paragraph">
                  <wp:posOffset>192405</wp:posOffset>
                </wp:positionV>
                <wp:extent cx="0" cy="28225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22575"/>
                        </a:xfrm>
                        <a:prstGeom prst="line">
                          <a:avLst/>
                        </a:prstGeom>
                        <a:solidFill>
                          <a:srgbClr val="FFFFFF"/>
                        </a:solidFill>
                        <a:ln w="3175">
                          <a:solidFill>
                            <a:srgbClr val="1E1E1E"/>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5pt,15.15pt" to="477.5pt,237.4pt" o:allowincell="f" strokecolor="#1E1E1E" strokeweight="0.25pt"/>
            </w:pict>
          </mc:Fallback>
        </mc:AlternateContent>
        <mc:AlternateContent>
          <mc:Choice Requires="wps">
            <w:drawing>
              <wp:anchor simplePos="0" relativeHeight="251657728" behindDoc="1" locked="0" layoutInCell="0" allowOverlap="1">
                <wp:simplePos x="0" y="0"/>
                <wp:positionH relativeFrom="column">
                  <wp:posOffset>785495</wp:posOffset>
                </wp:positionH>
                <wp:positionV relativeFrom="paragraph">
                  <wp:posOffset>193675</wp:posOffset>
                </wp:positionV>
                <wp:extent cx="52800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0025" cy="4763"/>
                        </a:xfrm>
                        <a:prstGeom prst="line">
                          <a:avLst/>
                        </a:prstGeom>
                        <a:solidFill>
                          <a:srgbClr val="FFFFFF"/>
                        </a:solidFill>
                        <a:ln w="3175">
                          <a:solidFill>
                            <a:srgbClr val="1E1E1E"/>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85pt,15.25pt" to="477.6pt,15.25pt" o:allowincell="f" strokecolor="#1E1E1E" strokeweight="0.25pt"/>
            </w:pict>
          </mc:Fallback>
        </mc:AlternateContent>
        <mc:AlternateContent>
          <mc:Choice Requires="wps">
            <w:drawing>
              <wp:anchor simplePos="0" relativeHeight="251657728" behindDoc="1" locked="0" layoutInCell="0" allowOverlap="1">
                <wp:simplePos x="0" y="0"/>
                <wp:positionH relativeFrom="column">
                  <wp:posOffset>787400</wp:posOffset>
                </wp:positionH>
                <wp:positionV relativeFrom="paragraph">
                  <wp:posOffset>192405</wp:posOffset>
                </wp:positionV>
                <wp:extent cx="0" cy="282257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22575"/>
                        </a:xfrm>
                        <a:prstGeom prst="line">
                          <a:avLst/>
                        </a:prstGeom>
                        <a:solidFill>
                          <a:srgbClr val="FFFFFF"/>
                        </a:solidFill>
                        <a:ln w="3175">
                          <a:solidFill>
                            <a:srgbClr val="1E1E1E"/>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15.15pt" to="62pt,237.4pt" o:allowincell="f" strokecolor="#1E1E1E" strokeweight="0.25pt"/>
            </w:pict>
          </mc:Fallback>
        </mc:AlternateContent>
        <mc:AlternateContent>
          <mc:Choice Requires="wps">
            <w:drawing>
              <wp:anchor simplePos="0" relativeHeight="251657728" behindDoc="1" locked="0" layoutInCell="0" allowOverlap="1">
                <wp:simplePos x="0" y="0"/>
                <wp:positionH relativeFrom="column">
                  <wp:posOffset>785495</wp:posOffset>
                </wp:positionH>
                <wp:positionV relativeFrom="paragraph">
                  <wp:posOffset>3013075</wp:posOffset>
                </wp:positionV>
                <wp:extent cx="528002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0025" cy="4763"/>
                        </a:xfrm>
                        <a:prstGeom prst="line">
                          <a:avLst/>
                        </a:prstGeom>
                        <a:solidFill>
                          <a:srgbClr val="FFFFFF"/>
                        </a:solidFill>
                        <a:ln w="3175">
                          <a:solidFill>
                            <a:srgbClr val="1E1E1E"/>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85pt,237.25pt" to="477.6pt,237.25pt" o:allowincell="f" strokecolor="#1E1E1E" strokeweight="0.25pt"/>
            </w:pict>
          </mc:Fallback>
        </mc:AlternateConten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1E1E1E"/>
        </w:rPr>
        <w:t>Comparison of Cumulative Five-Year Total Return</w:t>
      </w:r>
    </w:p>
    <w:p>
      <w:pPr>
        <w:spacing w:after="0" w:line="245" w:lineRule="exact"/>
        <w:rPr>
          <w:sz w:val="20"/>
          <w:szCs w:val="20"/>
          <w:color w:val="auto"/>
        </w:rPr>
      </w:pPr>
    </w:p>
    <w:p>
      <w:pPr>
        <w:ind w:left="2280" w:hanging="453"/>
        <w:spacing w:after="0"/>
        <w:tabs>
          <w:tab w:leader="none" w:pos="2280" w:val="left"/>
        </w:tabs>
        <w:numPr>
          <w:ilvl w:val="0"/>
          <w:numId w:val="1"/>
        </w:numPr>
        <w:rPr>
          <w:rFonts w:ascii="Arial" w:cs="Arial" w:eastAsia="Arial" w:hAnsi="Arial"/>
          <w:sz w:val="36"/>
          <w:szCs w:val="36"/>
          <w:b w:val="1"/>
          <w:bCs w:val="1"/>
          <w:color w:val="1E1E1E"/>
          <w:vertAlign w:val="superscript"/>
        </w:rPr>
      </w:pPr>
      <w:r>
        <w:rPr>
          <w:sz w:val="1"/>
          <w:szCs w:val="1"/>
          <w:color w:val="auto"/>
        </w:rPr>
        <w:drawing>
          <wp:inline distT="0" distB="0" distL="0" distR="0">
            <wp:extent cx="243840" cy="996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243840" cy="99695"/>
                    </a:xfrm>
                    <a:prstGeom prst="rect">
                      <a:avLst/>
                    </a:prstGeom>
                    <a:noFill/>
                    <a:ln>
                      <a:noFill/>
                    </a:ln>
                  </pic:spPr>
                </pic:pic>
              </a:graphicData>
            </a:graphic>
          </wp:inline>
        </w:drawing>
      </w:r>
      <w:r>
        <w:rPr>
          <w:rFonts w:ascii="Arial" w:cs="Arial" w:eastAsia="Arial" w:hAnsi="Arial"/>
          <w:sz w:val="16"/>
          <w:szCs w:val="16"/>
          <w:color w:val="1E1E1E"/>
        </w:rPr>
        <w:t xml:space="preserve"> Genesco Inc.</w:t>
      </w:r>
    </w:p>
    <w:p>
      <w:pPr>
        <w:spacing w:after="0" w:line="30" w:lineRule="exact"/>
        <w:rPr>
          <w:rFonts w:ascii="Arial" w:cs="Arial" w:eastAsia="Arial" w:hAnsi="Arial"/>
          <w:sz w:val="36"/>
          <w:szCs w:val="36"/>
          <w:b w:val="1"/>
          <w:bCs w:val="1"/>
          <w:color w:val="1E1E1E"/>
          <w:vertAlign w:val="superscript"/>
        </w:rPr>
      </w:pPr>
    </w:p>
    <w:p>
      <w:pPr>
        <w:ind w:left="2280"/>
        <w:spacing w:after="0"/>
        <w:rPr>
          <w:rFonts w:ascii="Arial" w:cs="Arial" w:eastAsia="Arial" w:hAnsi="Arial"/>
          <w:sz w:val="36"/>
          <w:szCs w:val="36"/>
          <w:b w:val="1"/>
          <w:bCs w:val="1"/>
          <w:color w:val="1E1E1E"/>
          <w:vertAlign w:val="superscript"/>
        </w:rPr>
      </w:pPr>
      <w:r>
        <w:rPr>
          <w:rFonts w:ascii="Arial" w:cs="Arial" w:eastAsia="Arial" w:hAnsi="Arial"/>
          <w:sz w:val="1"/>
          <w:szCs w:val="1"/>
          <w:b w:val="1"/>
          <w:bCs w:val="1"/>
          <w:color w:val="1E1E1E"/>
          <w:vertAlign w:val="superscript"/>
        </w:rPr>
        <w:drawing>
          <wp:inline distT="0" distB="0" distL="0" distR="0">
            <wp:extent cx="243840" cy="584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243840" cy="58420"/>
                    </a:xfrm>
                    <a:prstGeom prst="rect">
                      <a:avLst/>
                    </a:prstGeom>
                    <a:noFill/>
                    <a:ln>
                      <a:noFill/>
                    </a:ln>
                  </pic:spPr>
                </pic:pic>
              </a:graphicData>
            </a:graphic>
          </wp:inline>
        </w:drawing>
      </w:r>
      <w:r>
        <w:rPr>
          <w:rFonts w:ascii="Arial" w:cs="Arial" w:eastAsia="Arial" w:hAnsi="Arial"/>
          <w:sz w:val="16"/>
          <w:szCs w:val="16"/>
          <w:color w:val="1E1E1E"/>
        </w:rPr>
        <w:t xml:space="preserv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-272415</wp:posOffset>
            </wp:positionV>
            <wp:extent cx="4333875" cy="1853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4333875" cy="1853565"/>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-272415</wp:posOffset>
            </wp:positionV>
            <wp:extent cx="4333875" cy="1853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4333875" cy="1853565"/>
                    </a:xfrm>
                    <a:prstGeom prst="rect">
                      <a:avLst/>
                    </a:prstGeom>
                    <a:noFill/>
                  </pic:spPr>
                </pic:pic>
              </a:graphicData>
            </a:graphic>
          </wp:anchor>
        </w:drawing>
      </w:r>
    </w:p>
    <w:p>
      <w:pPr>
        <w:ind w:left="2280" w:hanging="453"/>
        <w:spacing w:after="0" w:line="183" w:lineRule="auto"/>
        <w:tabs>
          <w:tab w:leader="none" w:pos="2280" w:val="left"/>
        </w:tabs>
        <w:numPr>
          <w:ilvl w:val="0"/>
          <w:numId w:val="2"/>
        </w:numPr>
        <w:rPr>
          <w:rFonts w:ascii="Arial" w:cs="Arial" w:eastAsia="Arial" w:hAnsi="Arial"/>
          <w:sz w:val="28"/>
          <w:szCs w:val="28"/>
          <w:b w:val="1"/>
          <w:bCs w:val="1"/>
          <w:color w:val="1E1E1E"/>
          <w:vertAlign w:val="subscript"/>
        </w:rPr>
      </w:pPr>
      <w:r>
        <w:rPr>
          <w:sz w:val="1"/>
          <w:szCs w:val="1"/>
          <w:color w:val="auto"/>
        </w:rPr>
        <w:drawing>
          <wp:inline distT="0" distB="0" distL="0" distR="0">
            <wp:extent cx="243840" cy="996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243840" cy="99695"/>
                    </a:xfrm>
                    <a:prstGeom prst="rect">
                      <a:avLst/>
                    </a:prstGeom>
                    <a:noFill/>
                    <a:ln>
                      <a:noFill/>
                    </a:ln>
                  </pic:spPr>
                </pic:pic>
              </a:graphicData>
            </a:graphic>
          </wp:inline>
        </w:drawing>
      </w:r>
      <w:r>
        <w:rPr>
          <w:rFonts w:ascii="Arial" w:cs="Arial" w:eastAsia="Arial" w:hAnsi="Arial"/>
          <w:sz w:val="14"/>
          <w:szCs w:val="14"/>
          <w:color w:val="1E1E1E"/>
        </w:rPr>
        <w:t xml:space="preserve"> Peer Group</w:t>
      </w:r>
    </w:p>
    <w:p>
      <w:pPr>
        <w:spacing w:after="0" w:line="362"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1E1E1E"/>
        </w:rPr>
        <w:t>150</w:t>
      </w:r>
    </w:p>
    <w:p>
      <w:pPr>
        <w:spacing w:after="0" w:line="62" w:lineRule="exact"/>
        <w:rPr>
          <w:sz w:val="20"/>
          <w:szCs w:val="20"/>
          <w:color w:val="auto"/>
        </w:rPr>
      </w:pPr>
    </w:p>
    <w:p>
      <w:pPr>
        <w:ind w:left="1820"/>
        <w:spacing w:after="0"/>
        <w:rPr>
          <w:sz w:val="20"/>
          <w:szCs w:val="20"/>
          <w:color w:val="auto"/>
        </w:rPr>
      </w:pPr>
      <w:r>
        <w:rPr>
          <w:rFonts w:ascii="Arial" w:cs="Arial" w:eastAsia="Arial" w:hAnsi="Arial"/>
          <w:sz w:val="1"/>
          <w:szCs w:val="1"/>
          <w:b w:val="1"/>
          <w:bCs w:val="1"/>
          <w:color w:val="1E1E1E"/>
        </w:rPr>
        <w:t xml:space="preserve">100 </w:t>
      </w:r>
      <w:r>
        <w:rPr>
          <w:sz w:val="1"/>
          <w:szCs w:val="1"/>
          <w:color w:val="auto"/>
        </w:rPr>
        <w:drawing>
          <wp:inline distT="0" distB="0" distL="0" distR="0">
            <wp:extent cx="4275455" cy="5321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4275455" cy="532130"/>
                    </a:xfrm>
                    <a:prstGeom prst="rect">
                      <a:avLst/>
                    </a:prstGeom>
                    <a:noFill/>
                    <a:ln>
                      <a:noFill/>
                    </a:ln>
                  </pic:spPr>
                </pic:pic>
              </a:graphicData>
            </a:graphic>
          </wp:inline>
        </w:drawing>
        <w:drawing>
          <wp:inline distT="0" distB="0" distL="0" distR="0">
            <wp:extent cx="1695450" cy="1701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1695450" cy="170180"/>
                    </a:xfrm>
                    <a:prstGeom prst="rect">
                      <a:avLst/>
                    </a:prstGeom>
                    <a:noFill/>
                    <a:ln>
                      <a:noFill/>
                    </a:ln>
                  </pic:spPr>
                </pic:pic>
              </a:graphicData>
            </a:graphic>
          </wp:inline>
        </w:drawing>
        <w:drawing>
          <wp:inline distT="0" distB="0" distL="0" distR="0">
            <wp:extent cx="111125" cy="1111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drawing>
          <wp:inline distT="0" distB="0" distL="0" distR="0">
            <wp:extent cx="1722755" cy="82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1722755" cy="82550"/>
                    </a:xfrm>
                    <a:prstGeom prst="rect">
                      <a:avLst/>
                    </a:prstGeom>
                    <a:noFill/>
                    <a:ln>
                      <a:noFill/>
                    </a:ln>
                  </pic:spPr>
                </pic:pic>
              </a:graphicData>
            </a:graphic>
          </wp:inline>
        </w:drawing>
        <w:drawing>
          <wp:inline distT="0" distB="0" distL="0" distR="0">
            <wp:extent cx="111125" cy="1111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tbl>
      <w:tblPr>
        <w:tblLayout w:type="fixed"/>
        <w:tblInd w:w="1920" w:type="dxa"/>
        <w:tblCellMar>
          <w:top w:w="0" w:type="dxa"/>
          <w:left w:w="0" w:type="dxa"/>
          <w:bottom w:w="0" w:type="dxa"/>
          <w:right w:w="0" w:type="dxa"/>
        </w:tblCellMar>
      </w:tblPr>
      <w:tr>
        <w:trPr>
          <w:trHeight w:val="259"/>
        </w:trPr>
        <w:tc>
          <w:tcPr>
            <w:tcW w:w="1020" w:type="dxa"/>
            <w:vAlign w:val="bottom"/>
          </w:tcPr>
          <w:p>
            <w:pPr>
              <w:jc w:val="right"/>
              <w:ind w:right="729"/>
              <w:spacing w:after="0"/>
              <w:rPr>
                <w:sz w:val="20"/>
                <w:szCs w:val="20"/>
                <w:color w:val="auto"/>
              </w:rPr>
            </w:pPr>
            <w:r>
              <w:rPr>
                <w:rFonts w:ascii="Arial" w:cs="Arial" w:eastAsia="Arial" w:hAnsi="Arial"/>
                <w:sz w:val="18"/>
                <w:szCs w:val="18"/>
                <w:b w:val="1"/>
                <w:bCs w:val="1"/>
                <w:color w:val="1E1E1E"/>
                <w:w w:val="89"/>
              </w:rPr>
              <w:t>50</w:t>
            </w:r>
          </w:p>
        </w:tc>
        <w:tc>
          <w:tcPr>
            <w:tcW w:w="1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518"/>
        </w:trPr>
        <w:tc>
          <w:tcPr>
            <w:tcW w:w="1020" w:type="dxa"/>
            <w:vAlign w:val="bottom"/>
          </w:tcPr>
          <w:p>
            <w:pPr>
              <w:jc w:val="right"/>
              <w:ind w:right="729"/>
              <w:spacing w:after="0"/>
              <w:rPr>
                <w:sz w:val="20"/>
                <w:szCs w:val="20"/>
                <w:color w:val="auto"/>
              </w:rPr>
            </w:pPr>
            <w:r>
              <w:rPr>
                <w:rFonts w:ascii="Arial" w:cs="Arial" w:eastAsia="Arial" w:hAnsi="Arial"/>
                <w:sz w:val="18"/>
                <w:szCs w:val="18"/>
                <w:b w:val="1"/>
                <w:bCs w:val="1"/>
                <w:color w:val="1E1E1E"/>
              </w:rPr>
              <w:t>0</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9"/>
        </w:trPr>
        <w:tc>
          <w:tcPr>
            <w:tcW w:w="1020" w:type="dxa"/>
            <w:vAlign w:val="bottom"/>
          </w:tcPr>
          <w:p>
            <w:pPr>
              <w:jc w:val="right"/>
              <w:ind w:right="269"/>
              <w:spacing w:after="0"/>
              <w:rPr>
                <w:sz w:val="20"/>
                <w:szCs w:val="20"/>
                <w:color w:val="auto"/>
              </w:rPr>
            </w:pPr>
            <w:r>
              <w:rPr>
                <w:rFonts w:ascii="Arial" w:cs="Arial" w:eastAsia="Arial" w:hAnsi="Arial"/>
                <w:sz w:val="18"/>
                <w:szCs w:val="18"/>
                <w:b w:val="1"/>
                <w:bCs w:val="1"/>
                <w:color w:val="1E1E1E"/>
              </w:rPr>
              <w:t>1/30/21</w:t>
            </w:r>
          </w:p>
        </w:tc>
        <w:tc>
          <w:tcPr>
            <w:tcW w:w="1320" w:type="dxa"/>
            <w:vAlign w:val="bottom"/>
          </w:tcPr>
          <w:p>
            <w:pPr>
              <w:jc w:val="right"/>
              <w:ind w:right="269"/>
              <w:spacing w:after="0"/>
              <w:rPr>
                <w:sz w:val="20"/>
                <w:szCs w:val="20"/>
                <w:color w:val="auto"/>
              </w:rPr>
            </w:pPr>
            <w:r>
              <w:rPr>
                <w:rFonts w:ascii="Arial" w:cs="Arial" w:eastAsia="Arial" w:hAnsi="Arial"/>
                <w:sz w:val="18"/>
                <w:szCs w:val="18"/>
                <w:b w:val="1"/>
                <w:bCs w:val="1"/>
                <w:color w:val="1E1E1E"/>
              </w:rPr>
              <w:t>1/29/22</w:t>
            </w:r>
          </w:p>
        </w:tc>
        <w:tc>
          <w:tcPr>
            <w:tcW w:w="1320" w:type="dxa"/>
            <w:vAlign w:val="bottom"/>
          </w:tcPr>
          <w:p>
            <w:pPr>
              <w:jc w:val="right"/>
              <w:ind w:right="269"/>
              <w:spacing w:after="0"/>
              <w:rPr>
                <w:sz w:val="20"/>
                <w:szCs w:val="20"/>
                <w:color w:val="auto"/>
              </w:rPr>
            </w:pPr>
            <w:r>
              <w:rPr>
                <w:rFonts w:ascii="Arial" w:cs="Arial" w:eastAsia="Arial" w:hAnsi="Arial"/>
                <w:sz w:val="18"/>
                <w:szCs w:val="18"/>
                <w:b w:val="1"/>
                <w:bCs w:val="1"/>
                <w:color w:val="1E1E1E"/>
              </w:rPr>
              <w:t>1/28/23</w:t>
            </w:r>
          </w:p>
        </w:tc>
        <w:tc>
          <w:tcPr>
            <w:tcW w:w="1320" w:type="dxa"/>
            <w:vAlign w:val="bottom"/>
          </w:tcPr>
          <w:p>
            <w:pPr>
              <w:jc w:val="right"/>
              <w:ind w:right="269"/>
              <w:spacing w:after="0"/>
              <w:rPr>
                <w:sz w:val="20"/>
                <w:szCs w:val="20"/>
                <w:color w:val="auto"/>
              </w:rPr>
            </w:pPr>
            <w:r>
              <w:rPr>
                <w:rFonts w:ascii="Arial" w:cs="Arial" w:eastAsia="Arial" w:hAnsi="Arial"/>
                <w:sz w:val="18"/>
                <w:szCs w:val="18"/>
                <w:b w:val="1"/>
                <w:bCs w:val="1"/>
                <w:color w:val="1E1E1E"/>
              </w:rPr>
              <w:t>2/03/24</w:t>
            </w:r>
          </w:p>
        </w:tc>
        <w:tc>
          <w:tcPr>
            <w:tcW w:w="1340" w:type="dxa"/>
            <w:vAlign w:val="bottom"/>
          </w:tcPr>
          <w:p>
            <w:pPr>
              <w:jc w:val="right"/>
              <w:ind w:right="269"/>
              <w:spacing w:after="0"/>
              <w:rPr>
                <w:sz w:val="20"/>
                <w:szCs w:val="20"/>
                <w:color w:val="auto"/>
              </w:rPr>
            </w:pPr>
            <w:r>
              <w:rPr>
                <w:rFonts w:ascii="Arial" w:cs="Arial" w:eastAsia="Arial" w:hAnsi="Arial"/>
                <w:sz w:val="18"/>
                <w:szCs w:val="18"/>
                <w:b w:val="1"/>
                <w:bCs w:val="1"/>
                <w:color w:val="1E1E1E"/>
              </w:rPr>
              <w:t>2/01/25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1E1E1E"/>
              </w:rPr>
              <w:t>1/31/26</w:t>
            </w: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1E1E1E"/>
        </w:rPr>
        <w:t>CORPORATE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b w:val="1"/>
          <w:bCs w:val="1"/>
          <w:color w:val="1E1E1E"/>
        </w:rPr>
        <w:t>Corporate Headquarters</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color w:val="1E1E1E"/>
        </w:rPr>
        <w:t>Genesco Inc.</w:t>
      </w:r>
    </w:p>
    <w:p>
      <w:pPr>
        <w:spacing w:after="0"/>
        <w:rPr>
          <w:sz w:val="20"/>
          <w:szCs w:val="20"/>
          <w:color w:val="auto"/>
        </w:rPr>
      </w:pPr>
      <w:r>
        <w:rPr>
          <w:rFonts w:ascii="Arial" w:cs="Arial" w:eastAsia="Arial" w:hAnsi="Arial"/>
          <w:sz w:val="24"/>
          <w:szCs w:val="24"/>
          <w:color w:val="1E1E1E"/>
        </w:rPr>
        <w:t>535 Marriott Drive, 12th Floor</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1E1E1E"/>
        </w:rPr>
        <w:t>Nashville, Tennessee 37214</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1E1E1E"/>
        </w:rPr>
        <w:t>Independent Auditors for Fiscal 2026</w:t>
      </w:r>
    </w:p>
    <w:p>
      <w:pPr>
        <w:spacing w:after="0" w:line="34" w:lineRule="exact"/>
        <w:rPr>
          <w:sz w:val="20"/>
          <w:szCs w:val="20"/>
          <w:color w:val="auto"/>
        </w:rPr>
      </w:pPr>
    </w:p>
    <w:p>
      <w:pPr>
        <w:spacing w:after="0"/>
        <w:rPr>
          <w:sz w:val="20"/>
          <w:szCs w:val="20"/>
          <w:color w:val="auto"/>
        </w:rPr>
      </w:pPr>
      <w:r>
        <w:rPr>
          <w:rFonts w:ascii="Arial" w:cs="Arial" w:eastAsia="Arial" w:hAnsi="Arial"/>
          <w:sz w:val="24"/>
          <w:szCs w:val="24"/>
          <w:color w:val="1E1E1E"/>
        </w:rPr>
        <w:t>Deloitte &amp; Touche LLP</w:t>
      </w:r>
    </w:p>
    <w:p>
      <w:pPr>
        <w:spacing w:after="0"/>
        <w:rPr>
          <w:sz w:val="20"/>
          <w:szCs w:val="20"/>
          <w:color w:val="auto"/>
        </w:rPr>
      </w:pPr>
      <w:r>
        <w:rPr>
          <w:rFonts w:ascii="Arial" w:cs="Arial" w:eastAsia="Arial" w:hAnsi="Arial"/>
          <w:sz w:val="24"/>
          <w:szCs w:val="24"/>
          <w:color w:val="1E1E1E"/>
        </w:rPr>
        <w:t>1033 Demonbreun Street, Suite 400</w:t>
      </w:r>
    </w:p>
    <w:p>
      <w:pPr>
        <w:spacing w:after="0"/>
        <w:rPr>
          <w:sz w:val="20"/>
          <w:szCs w:val="20"/>
          <w:color w:val="auto"/>
        </w:rPr>
      </w:pPr>
      <w:r>
        <w:rPr>
          <w:rFonts w:ascii="Arial" w:cs="Arial" w:eastAsia="Arial" w:hAnsi="Arial"/>
          <w:sz w:val="24"/>
          <w:szCs w:val="24"/>
          <w:color w:val="1E1E1E"/>
        </w:rPr>
        <w:t>Nashville, Tennessee 37203</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1E1E1E"/>
        </w:rPr>
        <w:t>Transfer Agent and Registrar</w:t>
      </w:r>
    </w:p>
    <w:p>
      <w:pPr>
        <w:spacing w:after="0" w:line="34" w:lineRule="exact"/>
        <w:rPr>
          <w:sz w:val="20"/>
          <w:szCs w:val="20"/>
          <w:color w:val="auto"/>
        </w:rPr>
      </w:pPr>
    </w:p>
    <w:p>
      <w:pPr>
        <w:spacing w:after="0" w:line="245" w:lineRule="auto"/>
        <w:rPr>
          <w:sz w:val="20"/>
          <w:szCs w:val="20"/>
          <w:color w:val="auto"/>
        </w:rPr>
      </w:pPr>
      <w:r>
        <w:rPr>
          <w:rFonts w:ascii="Arial" w:cs="Arial" w:eastAsia="Arial" w:hAnsi="Arial"/>
          <w:sz w:val="24"/>
          <w:szCs w:val="24"/>
          <w:color w:val="1E1E1E"/>
        </w:rPr>
        <w:t>Communications concerning stock transfer, consolidating accounts, change of address and lost or stolen stock certificates should be directed to the transfer agent. When corresponding with the transfer agent, shareholders should state the exact name(s) in which the stock is registered and certificate number, as well as old and new information about the account.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40" w:type="dxa"/>
            <w:vAlign w:val="bottom"/>
            <w:gridSpan w:val="2"/>
          </w:tcPr>
          <w:p>
            <w:pPr>
              <w:spacing w:after="0"/>
              <w:rPr>
                <w:sz w:val="20"/>
                <w:szCs w:val="20"/>
                <w:color w:val="auto"/>
              </w:rPr>
            </w:pPr>
            <w:r>
              <w:rPr>
                <w:rFonts w:ascii="Arial" w:cs="Arial" w:eastAsia="Arial" w:hAnsi="Arial"/>
                <w:sz w:val="24"/>
                <w:szCs w:val="24"/>
                <w:color w:val="1E1E1E"/>
              </w:rPr>
              <w:t>Regular Mail</w:t>
            </w:r>
          </w:p>
        </w:tc>
        <w:tc>
          <w:tcPr>
            <w:tcW w:w="4400" w:type="dxa"/>
            <w:vAlign w:val="bottom"/>
            <w:gridSpan w:val="3"/>
          </w:tcPr>
          <w:p>
            <w:pPr>
              <w:ind w:left="1420"/>
              <w:spacing w:after="0"/>
              <w:rPr>
                <w:sz w:val="20"/>
                <w:szCs w:val="20"/>
                <w:color w:val="auto"/>
              </w:rPr>
            </w:pPr>
            <w:r>
              <w:rPr>
                <w:rFonts w:ascii="Arial" w:cs="Arial" w:eastAsia="Arial" w:hAnsi="Arial"/>
                <w:sz w:val="24"/>
                <w:szCs w:val="24"/>
                <w:color w:val="1E1E1E"/>
              </w:rPr>
              <w:t>Overnight Delivery</w:t>
            </w:r>
          </w:p>
        </w:tc>
      </w:tr>
      <w:tr>
        <w:trPr>
          <w:trHeight w:val="259"/>
        </w:trPr>
        <w:tc>
          <w:tcPr>
            <w:tcW w:w="1340" w:type="dxa"/>
            <w:vAlign w:val="bottom"/>
            <w:tcBorders>
              <w:top w:val="single" w:sz="8" w:color="1E1E1E"/>
            </w:tcBorders>
          </w:tcPr>
          <w:p>
            <w:pPr>
              <w:spacing w:after="0" w:line="259" w:lineRule="exact"/>
              <w:rPr>
                <w:sz w:val="20"/>
                <w:szCs w:val="20"/>
                <w:color w:val="auto"/>
              </w:rPr>
            </w:pPr>
            <w:r>
              <w:rPr>
                <w:rFonts w:ascii="Arial" w:cs="Arial" w:eastAsia="Arial" w:hAnsi="Arial"/>
                <w:sz w:val="24"/>
                <w:szCs w:val="24"/>
                <w:color w:val="1E1E1E"/>
                <w:w w:val="79"/>
              </w:rPr>
              <w:t>Computershare</w:t>
            </w:r>
          </w:p>
        </w:tc>
        <w:tc>
          <w:tcPr>
            <w:tcW w:w="3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980" w:type="dxa"/>
            <w:vAlign w:val="bottom"/>
            <w:tcBorders>
              <w:top w:val="single" w:sz="8" w:color="1E1E1E"/>
            </w:tcBorders>
          </w:tcPr>
          <w:p>
            <w:pPr>
              <w:spacing w:after="0" w:line="259" w:lineRule="exact"/>
              <w:rPr>
                <w:sz w:val="20"/>
                <w:szCs w:val="20"/>
                <w:color w:val="auto"/>
              </w:rPr>
            </w:pPr>
            <w:r>
              <w:rPr>
                <w:rFonts w:ascii="Arial" w:cs="Arial" w:eastAsia="Arial" w:hAnsi="Arial"/>
                <w:sz w:val="24"/>
                <w:szCs w:val="24"/>
                <w:color w:val="1E1E1E"/>
              </w:rPr>
              <w:t>Computershare</w:t>
            </w:r>
          </w:p>
        </w:tc>
        <w:tc>
          <w:tcPr>
            <w:tcW w:w="1000" w:type="dxa"/>
            <w:vAlign w:val="bottom"/>
          </w:tcPr>
          <w:p>
            <w:pPr>
              <w:spacing w:after="0"/>
              <w:rPr>
                <w:sz w:val="22"/>
                <w:szCs w:val="22"/>
                <w:color w:val="auto"/>
              </w:rPr>
            </w:pPr>
          </w:p>
        </w:tc>
      </w:tr>
      <w:tr>
        <w:trPr>
          <w:trHeight w:val="274"/>
        </w:trPr>
        <w:tc>
          <w:tcPr>
            <w:tcW w:w="4340" w:type="dxa"/>
            <w:vAlign w:val="bottom"/>
            <w:gridSpan w:val="2"/>
          </w:tcPr>
          <w:p>
            <w:pPr>
              <w:spacing w:after="0" w:line="273" w:lineRule="exact"/>
              <w:rPr>
                <w:sz w:val="20"/>
                <w:szCs w:val="20"/>
                <w:color w:val="auto"/>
              </w:rPr>
            </w:pPr>
            <w:r>
              <w:rPr>
                <w:rFonts w:ascii="Arial" w:cs="Arial" w:eastAsia="Arial" w:hAnsi="Arial"/>
                <w:sz w:val="24"/>
                <w:szCs w:val="24"/>
                <w:color w:val="1E1E1E"/>
              </w:rPr>
              <w:t>P.O. Box 43006</w:t>
            </w:r>
          </w:p>
        </w:tc>
        <w:tc>
          <w:tcPr>
            <w:tcW w:w="4400" w:type="dxa"/>
            <w:vAlign w:val="bottom"/>
            <w:gridSpan w:val="3"/>
          </w:tcPr>
          <w:p>
            <w:pPr>
              <w:ind w:left="1420"/>
              <w:spacing w:after="0" w:line="273" w:lineRule="exact"/>
              <w:rPr>
                <w:sz w:val="20"/>
                <w:szCs w:val="20"/>
                <w:color w:val="auto"/>
              </w:rPr>
            </w:pPr>
            <w:r>
              <w:rPr>
                <w:rFonts w:ascii="Arial" w:cs="Arial" w:eastAsia="Arial" w:hAnsi="Arial"/>
                <w:sz w:val="24"/>
                <w:szCs w:val="24"/>
                <w:color w:val="1E1E1E"/>
                <w:w w:val="99"/>
              </w:rPr>
              <w:t>150 Royall Street, Suite 101</w:t>
            </w:r>
          </w:p>
        </w:tc>
      </w:tr>
      <w:tr>
        <w:trPr>
          <w:trHeight w:val="278"/>
        </w:trPr>
        <w:tc>
          <w:tcPr>
            <w:tcW w:w="4340" w:type="dxa"/>
            <w:vAlign w:val="bottom"/>
            <w:gridSpan w:val="2"/>
          </w:tcPr>
          <w:p>
            <w:pPr>
              <w:spacing w:after="0"/>
              <w:rPr>
                <w:sz w:val="20"/>
                <w:szCs w:val="20"/>
                <w:color w:val="auto"/>
              </w:rPr>
            </w:pPr>
            <w:r>
              <w:rPr>
                <w:rFonts w:ascii="Arial" w:cs="Arial" w:eastAsia="Arial" w:hAnsi="Arial"/>
                <w:sz w:val="24"/>
                <w:szCs w:val="24"/>
                <w:color w:val="1E1E1E"/>
              </w:rPr>
              <w:t>Providence, RI 02940-3006</w:t>
            </w:r>
          </w:p>
        </w:tc>
        <w:tc>
          <w:tcPr>
            <w:tcW w:w="4400" w:type="dxa"/>
            <w:vAlign w:val="bottom"/>
            <w:gridSpan w:val="3"/>
          </w:tcPr>
          <w:p>
            <w:pPr>
              <w:ind w:left="1420"/>
              <w:spacing w:after="0"/>
              <w:rPr>
                <w:sz w:val="20"/>
                <w:szCs w:val="20"/>
                <w:color w:val="auto"/>
              </w:rPr>
            </w:pPr>
            <w:r>
              <w:rPr>
                <w:rFonts w:ascii="Arial" w:cs="Arial" w:eastAsia="Arial" w:hAnsi="Arial"/>
                <w:sz w:val="24"/>
                <w:szCs w:val="24"/>
                <w:color w:val="1E1E1E"/>
              </w:rPr>
              <w:t>Canton MA, 02021</w:t>
            </w:r>
          </w:p>
        </w:tc>
      </w:tr>
      <w:tr>
        <w:trPr>
          <w:trHeight w:val="327"/>
        </w:trPr>
        <w:tc>
          <w:tcPr>
            <w:tcW w:w="4340" w:type="dxa"/>
            <w:vAlign w:val="bottom"/>
            <w:gridSpan w:val="2"/>
          </w:tcPr>
          <w:p>
            <w:pPr>
              <w:spacing w:after="0"/>
              <w:rPr>
                <w:sz w:val="20"/>
                <w:szCs w:val="20"/>
                <w:color w:val="auto"/>
              </w:rPr>
            </w:pPr>
            <w:r>
              <w:rPr>
                <w:rFonts w:ascii="Arial" w:cs="Arial" w:eastAsia="Arial" w:hAnsi="Arial"/>
                <w:sz w:val="24"/>
                <w:szCs w:val="24"/>
                <w:color w:val="1E1E1E"/>
              </w:rPr>
              <w:t>UNITED STATES</w:t>
            </w:r>
          </w:p>
        </w:tc>
        <w:tc>
          <w:tcPr>
            <w:tcW w:w="4400" w:type="dxa"/>
            <w:vAlign w:val="bottom"/>
            <w:gridSpan w:val="3"/>
          </w:tcPr>
          <w:p>
            <w:pPr>
              <w:ind w:left="1420"/>
              <w:spacing w:after="0"/>
              <w:rPr>
                <w:sz w:val="20"/>
                <w:szCs w:val="20"/>
                <w:color w:val="auto"/>
              </w:rPr>
            </w:pPr>
            <w:r>
              <w:rPr>
                <w:rFonts w:ascii="Arial" w:cs="Arial" w:eastAsia="Arial" w:hAnsi="Arial"/>
                <w:sz w:val="24"/>
                <w:szCs w:val="24"/>
                <w:color w:val="1E1E1E"/>
              </w:rPr>
              <w:t>UNITED STATES</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4"/>
          <w:szCs w:val="24"/>
          <w:color w:val="1E1E1E"/>
        </w:rPr>
        <w:t>Questions &amp; Inquiries via Computershare’s website: www.computershare.com/investor</w:t>
      </w:r>
    </w:p>
    <w:p>
      <w:pPr>
        <w:spacing w:after="0" w:line="34" w:lineRule="exact"/>
        <w:rPr>
          <w:sz w:val="20"/>
          <w:szCs w:val="20"/>
          <w:color w:val="auto"/>
        </w:rPr>
      </w:pPr>
    </w:p>
    <w:p>
      <w:pPr>
        <w:spacing w:after="0"/>
        <w:rPr>
          <w:sz w:val="20"/>
          <w:szCs w:val="20"/>
          <w:color w:val="auto"/>
        </w:rPr>
      </w:pPr>
      <w:r>
        <w:rPr>
          <w:rFonts w:ascii="Arial" w:cs="Arial" w:eastAsia="Arial" w:hAnsi="Arial"/>
          <w:sz w:val="24"/>
          <w:szCs w:val="24"/>
          <w:color w:val="1E1E1E"/>
        </w:rPr>
        <w:t>Computershare Phone: (877) 224-0366 Hearing Impaired/TDD: 1-800-952-9245</w:t>
      </w:r>
    </w:p>
    <w:p>
      <w:pPr>
        <w:sectPr>
          <w:pgSz w:w="12240" w:h="15840" w:orient="portrait"/>
          <w:cols w:equalWidth="0" w:num="1">
            <w:col w:w="10380"/>
          </w:cols>
          <w:pgMar w:left="720" w:top="1196" w:right="1140" w:bottom="1440" w:gutter="0" w:footer="0" w:header="0"/>
        </w:sectPr>
      </w:pPr>
    </w:p>
    <w:bookmarkStart w:id="3" w:name="page4"/>
    <w:bookmarkEnd w:id="3"/>
    <w:p>
      <w:pPr>
        <w:spacing w:after="0"/>
        <w:rPr>
          <w:sz w:val="20"/>
          <w:szCs w:val="20"/>
          <w:color w:val="auto"/>
        </w:rPr>
      </w:pPr>
      <w:r>
        <w:rPr>
          <w:rFonts w:ascii="Arial" w:cs="Arial" w:eastAsia="Arial" w:hAnsi="Arial"/>
          <w:sz w:val="24"/>
          <w:szCs w:val="24"/>
          <w:b w:val="1"/>
          <w:bCs w:val="1"/>
          <w:color w:val="1E1E1E"/>
        </w:rPr>
        <w:t>Investor Relations</w:t>
      </w:r>
    </w:p>
    <w:p>
      <w:pPr>
        <w:spacing w:after="0" w:line="34" w:lineRule="exact"/>
        <w:rPr>
          <w:sz w:val="20"/>
          <w:szCs w:val="20"/>
          <w:color w:val="auto"/>
        </w:rPr>
      </w:pPr>
    </w:p>
    <w:p>
      <w:pPr>
        <w:spacing w:after="0"/>
        <w:rPr>
          <w:sz w:val="20"/>
          <w:szCs w:val="20"/>
          <w:color w:val="auto"/>
        </w:rPr>
      </w:pPr>
      <w:r>
        <w:rPr>
          <w:rFonts w:ascii="Arial" w:cs="Arial" w:eastAsia="Arial" w:hAnsi="Arial"/>
          <w:sz w:val="24"/>
          <w:szCs w:val="24"/>
          <w:color w:val="1E1E1E"/>
        </w:rPr>
        <w:t>Security analysts, portfolio managers or other investment community representatives should contact:</w:t>
      </w:r>
    </w:p>
    <w:p>
      <w:pPr>
        <w:spacing w:after="0"/>
        <w:rPr>
          <w:sz w:val="20"/>
          <w:szCs w:val="20"/>
          <w:color w:val="auto"/>
        </w:rPr>
      </w:pPr>
      <w:r>
        <w:rPr>
          <w:rFonts w:ascii="Arial" w:cs="Arial" w:eastAsia="Arial" w:hAnsi="Arial"/>
          <w:sz w:val="24"/>
          <w:szCs w:val="24"/>
          <w:color w:val="1E1E1E"/>
        </w:rPr>
        <w:t>Investor Relations</w:t>
      </w:r>
    </w:p>
    <w:p>
      <w:pPr>
        <w:spacing w:after="0"/>
        <w:rPr>
          <w:sz w:val="20"/>
          <w:szCs w:val="20"/>
          <w:color w:val="auto"/>
        </w:rPr>
      </w:pPr>
      <w:r>
        <w:rPr>
          <w:rFonts w:ascii="Arial" w:cs="Arial" w:eastAsia="Arial" w:hAnsi="Arial"/>
          <w:sz w:val="24"/>
          <w:szCs w:val="24"/>
          <w:color w:val="1E1E1E"/>
        </w:rPr>
        <w:t>Genesco Inc.</w:t>
      </w:r>
    </w:p>
    <w:p>
      <w:pPr>
        <w:spacing w:after="0"/>
        <w:rPr>
          <w:sz w:val="20"/>
          <w:szCs w:val="20"/>
          <w:color w:val="auto"/>
        </w:rPr>
      </w:pPr>
      <w:r>
        <w:rPr>
          <w:rFonts w:ascii="Arial" w:cs="Arial" w:eastAsia="Arial" w:hAnsi="Arial"/>
          <w:sz w:val="24"/>
          <w:szCs w:val="24"/>
          <w:color w:val="1E1E1E"/>
        </w:rPr>
        <w:t>535 Marriott Drive, 12th Floor</w:t>
      </w:r>
    </w:p>
    <w:p>
      <w:pPr>
        <w:spacing w:after="0"/>
        <w:rPr>
          <w:sz w:val="20"/>
          <w:szCs w:val="20"/>
          <w:color w:val="auto"/>
        </w:rPr>
      </w:pPr>
      <w:r>
        <w:rPr>
          <w:rFonts w:ascii="Arial" w:cs="Arial" w:eastAsia="Arial" w:hAnsi="Arial"/>
          <w:sz w:val="24"/>
          <w:szCs w:val="24"/>
          <w:color w:val="1E1E1E"/>
        </w:rPr>
        <w:t>Nashville, Tennessee 37214</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1E1E1E"/>
        </w:rPr>
        <w:t>(615) 367-8283</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1E1E1E"/>
        </w:rPr>
        <w:t>Other Information</w:t>
      </w:r>
    </w:p>
    <w:p>
      <w:pPr>
        <w:spacing w:after="0" w:line="34" w:lineRule="exact"/>
        <w:rPr>
          <w:sz w:val="20"/>
          <w:szCs w:val="20"/>
          <w:color w:val="auto"/>
        </w:rPr>
      </w:pPr>
    </w:p>
    <w:p>
      <w:pPr>
        <w:ind w:right="280"/>
        <w:spacing w:after="0" w:line="244" w:lineRule="auto"/>
        <w:rPr>
          <w:sz w:val="20"/>
          <w:szCs w:val="20"/>
          <w:color w:val="auto"/>
        </w:rPr>
      </w:pPr>
      <w:r>
        <w:rPr>
          <w:rFonts w:ascii="Arial" w:cs="Arial" w:eastAsia="Arial" w:hAnsi="Arial"/>
          <w:sz w:val="24"/>
          <w:szCs w:val="24"/>
          <w:color w:val="1E1E1E"/>
        </w:rPr>
        <w:t>A copy of any exhibits to our 2026 Annual Report on Form 10-K will be furnished to shareholders upon written request addressed to Director, Corporate Relations, Genesco Inc., 535 Marriott Drive, P.O. Box 731, Nashville, Tennessee 37202-0731. Certifications by the Chief Executive Officer and the Interim Chief Financial Officer pursuant to Section 302 of the Sarbanes-Oxley Act of 2002 have been filed as exhibits to our 2026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1E1E1E"/>
        </w:rPr>
        <w:t>Common Stock Listing</w:t>
      </w:r>
    </w:p>
    <w:p>
      <w:pPr>
        <w:spacing w:after="0" w:line="38" w:lineRule="exact"/>
        <w:rPr>
          <w:sz w:val="20"/>
          <w:szCs w:val="20"/>
          <w:color w:val="auto"/>
        </w:rPr>
      </w:pPr>
    </w:p>
    <w:p>
      <w:pPr>
        <w:spacing w:after="0"/>
        <w:rPr>
          <w:sz w:val="20"/>
          <w:szCs w:val="20"/>
          <w:color w:val="auto"/>
        </w:rPr>
      </w:pPr>
      <w:r>
        <w:rPr>
          <w:rFonts w:ascii="Arial" w:cs="Arial" w:eastAsia="Arial" w:hAnsi="Arial"/>
          <w:sz w:val="24"/>
          <w:szCs w:val="24"/>
          <w:color w:val="1E1E1E"/>
        </w:rPr>
        <w:t>New York Stock Exchange: GCO</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1E1E1E"/>
        </w:rPr>
        <w:t>Shareholder Information</w:t>
      </w:r>
    </w:p>
    <w:p>
      <w:pPr>
        <w:spacing w:after="0" w:line="34" w:lineRule="exact"/>
        <w:rPr>
          <w:sz w:val="20"/>
          <w:szCs w:val="20"/>
          <w:color w:val="auto"/>
        </w:rPr>
      </w:pPr>
    </w:p>
    <w:p>
      <w:pPr>
        <w:spacing w:after="0"/>
        <w:rPr>
          <w:sz w:val="20"/>
          <w:szCs w:val="20"/>
          <w:color w:val="auto"/>
        </w:rPr>
      </w:pPr>
      <w:r>
        <w:rPr>
          <w:rFonts w:ascii="Arial" w:cs="Arial" w:eastAsia="Arial" w:hAnsi="Arial"/>
          <w:sz w:val="24"/>
          <w:szCs w:val="24"/>
          <w:color w:val="1E1E1E"/>
        </w:rPr>
        <w:t xml:space="preserve">Shareholder information may be accessed at </w:t>
      </w:r>
      <w:r>
        <w:rPr>
          <w:rFonts w:ascii="Arial" w:cs="Arial" w:eastAsia="Arial" w:hAnsi="Arial"/>
          <w:sz w:val="24"/>
          <w:szCs w:val="24"/>
          <w:b w:val="1"/>
          <w:bCs w:val="1"/>
          <w:color w:val="1E1E1E"/>
        </w:rPr>
        <w:t>www.genesco.com</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1E1E1E"/>
        </w:rPr>
        <w:t>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color w:val="1E1E1E"/>
        </w:rPr>
        <w:t>Mimi E. Vaughn</w:t>
      </w:r>
    </w:p>
    <w:p>
      <w:pPr>
        <w:ind w:right="520"/>
        <w:spacing w:after="0" w:line="257" w:lineRule="auto"/>
        <w:rPr>
          <w:sz w:val="20"/>
          <w:szCs w:val="20"/>
          <w:color w:val="auto"/>
        </w:rPr>
      </w:pPr>
      <w:r>
        <w:rPr>
          <w:rFonts w:ascii="Arial" w:cs="Arial" w:eastAsia="Arial" w:hAnsi="Arial"/>
          <w:sz w:val="24"/>
          <w:szCs w:val="24"/>
          <w:color w:val="1E1E1E"/>
        </w:rPr>
        <w:t>Board Chair, President, Chief Executive Officer and Interim Chief Financial Officer, Genesco Inc. Nashville, Tennessee</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color w:val="1E1E1E"/>
        </w:rPr>
        <w:t>Joanna Barsh</w:t>
      </w:r>
    </w:p>
    <w:p>
      <w:pPr>
        <w:spacing w:after="0" w:line="30" w:lineRule="exact"/>
        <w:rPr>
          <w:sz w:val="20"/>
          <w:szCs w:val="20"/>
          <w:color w:val="auto"/>
        </w:rPr>
      </w:pPr>
    </w:p>
    <w:p>
      <w:pPr>
        <w:ind w:right="3860"/>
        <w:spacing w:after="0"/>
        <w:rPr>
          <w:sz w:val="20"/>
          <w:szCs w:val="20"/>
          <w:color w:val="auto"/>
        </w:rPr>
      </w:pPr>
      <w:r>
        <w:rPr>
          <w:rFonts w:ascii="Arial" w:cs="Arial" w:eastAsia="Arial" w:hAnsi="Arial"/>
          <w:sz w:val="24"/>
          <w:szCs w:val="24"/>
          <w:color w:val="1E1E1E"/>
        </w:rPr>
        <w:t>Independent Consultant; Director Emerita, McKinsey &amp; Company New York, New York</w:t>
      </w:r>
    </w:p>
    <w:p>
      <w:pPr>
        <w:ind w:right="840"/>
        <w:spacing w:after="0" w:line="257" w:lineRule="auto"/>
        <w:rPr>
          <w:sz w:val="20"/>
          <w:szCs w:val="20"/>
          <w:color w:val="auto"/>
        </w:rPr>
      </w:pPr>
      <w:r>
        <w:rPr>
          <w:rFonts w:ascii="Arial" w:cs="Arial" w:eastAsia="Arial" w:hAnsi="Arial"/>
          <w:sz w:val="24"/>
          <w:szCs w:val="24"/>
          <w:color w:val="1E1E1E"/>
        </w:rPr>
        <w:t>Chair of the nominating and governance committee, member of the compensation committee, co-chair of the corporate responsibility subcommittee</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color w:val="1E1E1E"/>
        </w:rPr>
        <w:t>Matthew M. Bilunas</w:t>
      </w:r>
    </w:p>
    <w:p>
      <w:pPr>
        <w:spacing w:after="0" w:line="30" w:lineRule="exact"/>
        <w:rPr>
          <w:sz w:val="20"/>
          <w:szCs w:val="20"/>
          <w:color w:val="auto"/>
        </w:rPr>
      </w:pPr>
    </w:p>
    <w:p>
      <w:pPr>
        <w:spacing w:after="0"/>
        <w:rPr>
          <w:sz w:val="20"/>
          <w:szCs w:val="20"/>
          <w:color w:val="auto"/>
        </w:rPr>
      </w:pPr>
      <w:r>
        <w:rPr>
          <w:rFonts w:ascii="Arial" w:cs="Arial" w:eastAsia="Arial" w:hAnsi="Arial"/>
          <w:sz w:val="24"/>
          <w:szCs w:val="24"/>
          <w:color w:val="1E1E1E"/>
        </w:rPr>
        <w:t>Senior Vice President, Chief Financial Officer, Best Buy Co., Inc.</w:t>
      </w:r>
    </w:p>
    <w:p>
      <w:pPr>
        <w:spacing w:after="0"/>
        <w:rPr>
          <w:sz w:val="20"/>
          <w:szCs w:val="20"/>
          <w:color w:val="auto"/>
        </w:rPr>
      </w:pPr>
      <w:r>
        <w:rPr>
          <w:rFonts w:ascii="Arial" w:cs="Arial" w:eastAsia="Arial" w:hAnsi="Arial"/>
          <w:sz w:val="24"/>
          <w:szCs w:val="24"/>
          <w:color w:val="1E1E1E"/>
        </w:rPr>
        <w:t>Woodbury, Minnesota</w:t>
      </w:r>
    </w:p>
    <w:p>
      <w:pPr>
        <w:spacing w:after="0"/>
        <w:rPr>
          <w:sz w:val="20"/>
          <w:szCs w:val="20"/>
          <w:color w:val="auto"/>
        </w:rPr>
      </w:pPr>
      <w:r>
        <w:rPr>
          <w:rFonts w:ascii="Arial" w:cs="Arial" w:eastAsia="Arial" w:hAnsi="Arial"/>
          <w:sz w:val="24"/>
          <w:szCs w:val="24"/>
          <w:color w:val="1E1E1E"/>
        </w:rPr>
        <w:t>Member of the audit committee</w:t>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color w:val="1E1E1E"/>
        </w:rPr>
        <w:t>Carolyn Bojanowski</w:t>
      </w:r>
    </w:p>
    <w:p>
      <w:pPr>
        <w:spacing w:after="0" w:line="34" w:lineRule="exact"/>
        <w:rPr>
          <w:sz w:val="20"/>
          <w:szCs w:val="20"/>
          <w:color w:val="auto"/>
        </w:rPr>
      </w:pPr>
    </w:p>
    <w:p>
      <w:pPr>
        <w:ind w:right="380"/>
        <w:spacing w:after="0"/>
        <w:rPr>
          <w:sz w:val="20"/>
          <w:szCs w:val="20"/>
          <w:color w:val="auto"/>
        </w:rPr>
      </w:pPr>
      <w:r>
        <w:rPr>
          <w:rFonts w:ascii="Arial" w:cs="Arial" w:eastAsia="Arial" w:hAnsi="Arial"/>
          <w:sz w:val="24"/>
          <w:szCs w:val="24"/>
          <w:color w:val="1E1E1E"/>
        </w:rPr>
        <w:t>Executive Vice President Merchandising, Sephora USA, a division of LVMH Moët Hennessy Louis Vuitton SE</w:t>
      </w:r>
    </w:p>
    <w:p>
      <w:pPr>
        <w:spacing w:after="0" w:line="237" w:lineRule="auto"/>
        <w:rPr>
          <w:sz w:val="20"/>
          <w:szCs w:val="20"/>
          <w:color w:val="auto"/>
        </w:rPr>
      </w:pPr>
      <w:r>
        <w:rPr>
          <w:rFonts w:ascii="Arial" w:cs="Arial" w:eastAsia="Arial" w:hAnsi="Arial"/>
          <w:sz w:val="24"/>
          <w:szCs w:val="24"/>
          <w:color w:val="1E1E1E"/>
        </w:rPr>
        <w:t>San Rafael, California</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color w:val="1E1E1E"/>
        </w:rPr>
        <w:t>Member of the nominating and governance committee</w:t>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color w:val="1E1E1E"/>
        </w:rPr>
        <w:t>John F. Lambros</w:t>
      </w:r>
    </w:p>
    <w:p>
      <w:pPr>
        <w:spacing w:after="0" w:line="34" w:lineRule="exact"/>
        <w:rPr>
          <w:sz w:val="20"/>
          <w:szCs w:val="20"/>
          <w:color w:val="auto"/>
        </w:rPr>
      </w:pPr>
    </w:p>
    <w:p>
      <w:pPr>
        <w:spacing w:after="0"/>
        <w:rPr>
          <w:sz w:val="20"/>
          <w:szCs w:val="20"/>
          <w:color w:val="auto"/>
        </w:rPr>
      </w:pPr>
      <w:r>
        <w:rPr>
          <w:rFonts w:ascii="Arial" w:cs="Arial" w:eastAsia="Arial" w:hAnsi="Arial"/>
          <w:sz w:val="24"/>
          <w:szCs w:val="24"/>
          <w:color w:val="1E1E1E"/>
        </w:rPr>
        <w:t>Managing Director and Co-head U.S. Technology Group, Head Global Digital Media &amp; Entertainment, Houlihan Lokey</w:t>
      </w:r>
    </w:p>
    <w:p>
      <w:pPr>
        <w:spacing w:after="0" w:line="237" w:lineRule="auto"/>
        <w:rPr>
          <w:sz w:val="20"/>
          <w:szCs w:val="20"/>
          <w:color w:val="auto"/>
        </w:rPr>
      </w:pPr>
      <w:r>
        <w:rPr>
          <w:rFonts w:ascii="Arial" w:cs="Arial" w:eastAsia="Arial" w:hAnsi="Arial"/>
          <w:sz w:val="24"/>
          <w:szCs w:val="24"/>
          <w:color w:val="1E1E1E"/>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color w:val="1E1E1E"/>
        </w:rPr>
        <w:t>Chair of the compensation committee</w:t>
      </w:r>
    </w:p>
    <w:p>
      <w:pPr>
        <w:sectPr>
          <w:pgSz w:w="12240" w:h="15840" w:orient="portrait"/>
          <w:cols w:equalWidth="0" w:num="1">
            <w:col w:w="10760"/>
          </w:cols>
          <w:pgMar w:left="720" w:top="922" w:right="760" w:bottom="1071" w:gutter="0" w:footer="0" w:header="0"/>
        </w:sectPr>
      </w:pPr>
    </w:p>
    <w:bookmarkStart w:id="4" w:name="page5"/>
    <w:bookmarkEnd w:id="4"/>
    <w:p>
      <w:pPr>
        <w:spacing w:after="0"/>
        <w:rPr>
          <w:sz w:val="20"/>
          <w:szCs w:val="20"/>
          <w:color w:val="auto"/>
        </w:rPr>
      </w:pPr>
      <w:r>
        <w:rPr>
          <w:rFonts w:ascii="Arial" w:cs="Arial" w:eastAsia="Arial" w:hAnsi="Arial"/>
          <w:sz w:val="24"/>
          <w:szCs w:val="24"/>
          <w:color w:val="1E1E1E"/>
        </w:rPr>
        <w:t>Thurgood Marshall, Jr.</w:t>
      </w:r>
    </w:p>
    <w:p>
      <w:pPr>
        <w:spacing w:after="0" w:line="30" w:lineRule="exact"/>
        <w:rPr>
          <w:sz w:val="20"/>
          <w:szCs w:val="20"/>
          <w:color w:val="auto"/>
        </w:rPr>
      </w:pPr>
    </w:p>
    <w:p>
      <w:pPr>
        <w:spacing w:after="0"/>
        <w:rPr>
          <w:sz w:val="20"/>
          <w:szCs w:val="20"/>
          <w:color w:val="auto"/>
        </w:rPr>
      </w:pPr>
      <w:r>
        <w:rPr>
          <w:rFonts w:ascii="Arial" w:cs="Arial" w:eastAsia="Arial" w:hAnsi="Arial"/>
          <w:sz w:val="24"/>
          <w:szCs w:val="24"/>
          <w:color w:val="1E1E1E"/>
        </w:rPr>
        <w:t>Retired Partner, Morgan, Lewis &amp; Bockius LLP</w:t>
      </w:r>
    </w:p>
    <w:p>
      <w:pPr>
        <w:spacing w:after="0"/>
        <w:rPr>
          <w:sz w:val="20"/>
          <w:szCs w:val="20"/>
          <w:color w:val="auto"/>
        </w:rPr>
      </w:pPr>
      <w:r>
        <w:rPr>
          <w:rFonts w:ascii="Arial" w:cs="Arial" w:eastAsia="Arial" w:hAnsi="Arial"/>
          <w:sz w:val="24"/>
          <w:szCs w:val="24"/>
          <w:color w:val="1E1E1E"/>
        </w:rPr>
        <w:t>Washington, D.C.</w:t>
      </w:r>
    </w:p>
    <w:p>
      <w:pPr>
        <w:ind w:right="140"/>
        <w:spacing w:after="0" w:line="258" w:lineRule="auto"/>
        <w:rPr>
          <w:sz w:val="20"/>
          <w:szCs w:val="20"/>
          <w:color w:val="auto"/>
        </w:rPr>
      </w:pPr>
      <w:r>
        <w:rPr>
          <w:rFonts w:ascii="Arial" w:cs="Arial" w:eastAsia="Arial" w:hAnsi="Arial"/>
          <w:sz w:val="24"/>
          <w:szCs w:val="24"/>
          <w:color w:val="1E1E1E"/>
        </w:rPr>
        <w:t>Member of the nominating and governance committee, co-chair of the corporate responsibility subcommittee</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color w:val="1E1E1E"/>
        </w:rPr>
        <w:t>Angel R. Martinez</w:t>
      </w:r>
    </w:p>
    <w:p>
      <w:pPr>
        <w:spacing w:after="0" w:line="30" w:lineRule="exact"/>
        <w:rPr>
          <w:sz w:val="20"/>
          <w:szCs w:val="20"/>
          <w:color w:val="auto"/>
        </w:rPr>
      </w:pPr>
    </w:p>
    <w:p>
      <w:pPr>
        <w:spacing w:after="0"/>
        <w:rPr>
          <w:sz w:val="20"/>
          <w:szCs w:val="20"/>
          <w:color w:val="auto"/>
        </w:rPr>
      </w:pPr>
      <w:r>
        <w:rPr>
          <w:rFonts w:ascii="Arial" w:cs="Arial" w:eastAsia="Arial" w:hAnsi="Arial"/>
          <w:sz w:val="24"/>
          <w:szCs w:val="24"/>
          <w:color w:val="1E1E1E"/>
        </w:rPr>
        <w:t>Co-Chief Executive Officer and Director, OOFOS, Inc.</w:t>
      </w:r>
    </w:p>
    <w:p>
      <w:pPr>
        <w:spacing w:after="0"/>
        <w:rPr>
          <w:sz w:val="20"/>
          <w:szCs w:val="20"/>
          <w:color w:val="auto"/>
        </w:rPr>
      </w:pPr>
      <w:r>
        <w:rPr>
          <w:rFonts w:ascii="Arial" w:cs="Arial" w:eastAsia="Arial" w:hAnsi="Arial"/>
          <w:sz w:val="24"/>
          <w:szCs w:val="24"/>
          <w:color w:val="1E1E1E"/>
        </w:rPr>
        <w:t>Santa Barbara, California</w:t>
      </w:r>
    </w:p>
    <w:p>
      <w:pPr>
        <w:spacing w:after="0"/>
        <w:rPr>
          <w:sz w:val="20"/>
          <w:szCs w:val="20"/>
          <w:color w:val="auto"/>
        </w:rPr>
      </w:pPr>
      <w:r>
        <w:rPr>
          <w:rFonts w:ascii="Arial" w:cs="Arial" w:eastAsia="Arial" w:hAnsi="Arial"/>
          <w:sz w:val="24"/>
          <w:szCs w:val="24"/>
          <w:color w:val="1E1E1E"/>
        </w:rPr>
        <w:t>Member of the nominating and governance committee</w:t>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color w:val="1E1E1E"/>
        </w:rPr>
        <w:t>Mary E. Meixelsperger</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color w:val="1E1E1E"/>
        </w:rPr>
        <w:t>Retired Chief Financial Officer, Valvoline Inc.</w:t>
      </w:r>
    </w:p>
    <w:p>
      <w:pPr>
        <w:spacing w:after="0"/>
        <w:rPr>
          <w:sz w:val="20"/>
          <w:szCs w:val="20"/>
          <w:color w:val="auto"/>
        </w:rPr>
      </w:pPr>
      <w:r>
        <w:rPr>
          <w:rFonts w:ascii="Arial" w:cs="Arial" w:eastAsia="Arial" w:hAnsi="Arial"/>
          <w:sz w:val="24"/>
          <w:szCs w:val="24"/>
          <w:color w:val="1E1E1E"/>
        </w:rPr>
        <w:t>Merrimac, Wisconsin</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1E1E1E"/>
        </w:rPr>
        <w:t>Chair of the audit committee</w:t>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color w:val="1E1E1E"/>
        </w:rPr>
        <w:t>Gregory A. Sandfort</w:t>
      </w:r>
    </w:p>
    <w:p>
      <w:pPr>
        <w:spacing w:after="0" w:line="30" w:lineRule="exact"/>
        <w:rPr>
          <w:sz w:val="20"/>
          <w:szCs w:val="20"/>
          <w:color w:val="auto"/>
        </w:rPr>
      </w:pPr>
    </w:p>
    <w:p>
      <w:pPr>
        <w:spacing w:after="0"/>
        <w:rPr>
          <w:sz w:val="20"/>
          <w:szCs w:val="20"/>
          <w:color w:val="auto"/>
        </w:rPr>
      </w:pPr>
      <w:r>
        <w:rPr>
          <w:rFonts w:ascii="Arial" w:cs="Arial" w:eastAsia="Arial" w:hAnsi="Arial"/>
          <w:sz w:val="24"/>
          <w:szCs w:val="24"/>
          <w:color w:val="1E1E1E"/>
        </w:rPr>
        <w:t>Former Chief Executive Officer and Director, Tractor Supply Company</w:t>
      </w:r>
    </w:p>
    <w:p>
      <w:pPr>
        <w:spacing w:after="0"/>
        <w:rPr>
          <w:sz w:val="20"/>
          <w:szCs w:val="20"/>
          <w:color w:val="auto"/>
        </w:rPr>
      </w:pPr>
      <w:r>
        <w:rPr>
          <w:rFonts w:ascii="Arial" w:cs="Arial" w:eastAsia="Arial" w:hAnsi="Arial"/>
          <w:sz w:val="24"/>
          <w:szCs w:val="24"/>
          <w:color w:val="1E1E1E"/>
        </w:rPr>
        <w:t>Nashville, Tennessee</w:t>
      </w:r>
    </w:p>
    <w:p>
      <w:pPr>
        <w:spacing w:after="0"/>
        <w:rPr>
          <w:sz w:val="20"/>
          <w:szCs w:val="20"/>
          <w:color w:val="auto"/>
        </w:rPr>
      </w:pPr>
      <w:r>
        <w:rPr>
          <w:rFonts w:ascii="Arial" w:cs="Arial" w:eastAsia="Arial" w:hAnsi="Arial"/>
          <w:sz w:val="24"/>
          <w:szCs w:val="24"/>
          <w:color w:val="1E1E1E"/>
        </w:rPr>
        <w:t>Lead independent director of the Board, member of the audit and compensation committees</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1E1E1E"/>
        </w:rPr>
        <w:t>CORPORATE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8255</wp:posOffset>
                </wp:positionV>
                <wp:extent cx="178562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562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5pt" to="140.6pt,0.65pt" o:allowincell="f" strokecolor="#000000" strokeweight="1.1999pt"/>
            </w:pict>
          </mc:Fallback>
        </mc:AlternateContent>
      </w:r>
    </w:p>
    <w:p>
      <w:pPr>
        <w:spacing w:after="0" w:line="16" w:lineRule="exact"/>
        <w:rPr>
          <w:sz w:val="20"/>
          <w:szCs w:val="20"/>
          <w:color w:val="auto"/>
        </w:rPr>
      </w:pPr>
    </w:p>
    <w:p>
      <w:pPr>
        <w:spacing w:after="0"/>
        <w:rPr>
          <w:sz w:val="20"/>
          <w:szCs w:val="20"/>
          <w:color w:val="auto"/>
        </w:rPr>
      </w:pPr>
      <w:r>
        <w:rPr>
          <w:rFonts w:ascii="Arial" w:cs="Arial" w:eastAsia="Arial" w:hAnsi="Arial"/>
          <w:sz w:val="24"/>
          <w:szCs w:val="24"/>
          <w:color w:val="1E1E1E"/>
        </w:rPr>
        <w:t>Mimi E. Vaughn</w:t>
      </w:r>
    </w:p>
    <w:p>
      <w:pPr>
        <w:ind w:right="1380"/>
        <w:spacing w:after="0" w:line="257" w:lineRule="auto"/>
        <w:rPr>
          <w:sz w:val="20"/>
          <w:szCs w:val="20"/>
          <w:color w:val="auto"/>
        </w:rPr>
      </w:pPr>
      <w:r>
        <w:rPr>
          <w:rFonts w:ascii="Arial" w:cs="Arial" w:eastAsia="Arial" w:hAnsi="Arial"/>
          <w:sz w:val="24"/>
          <w:szCs w:val="24"/>
          <w:color w:val="1E1E1E"/>
        </w:rPr>
        <w:t>Board Chair, President, Chief Executive Officer and Interim Chief Financial Officer 22 years with Genesco</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color w:val="1E1E1E"/>
        </w:rPr>
        <w:t>Scott E. Becker</w:t>
      </w:r>
    </w:p>
    <w:p>
      <w:pPr>
        <w:spacing w:after="0" w:line="30" w:lineRule="exact"/>
        <w:rPr>
          <w:sz w:val="20"/>
          <w:szCs w:val="20"/>
          <w:color w:val="auto"/>
        </w:rPr>
      </w:pPr>
    </w:p>
    <w:p>
      <w:pPr>
        <w:ind w:right="3540"/>
        <w:spacing w:after="0" w:line="258" w:lineRule="auto"/>
        <w:rPr>
          <w:sz w:val="20"/>
          <w:szCs w:val="20"/>
          <w:color w:val="auto"/>
        </w:rPr>
      </w:pPr>
      <w:r>
        <w:rPr>
          <w:rFonts w:ascii="Arial" w:cs="Arial" w:eastAsia="Arial" w:hAnsi="Arial"/>
          <w:sz w:val="24"/>
          <w:szCs w:val="24"/>
          <w:color w:val="1E1E1E"/>
        </w:rPr>
        <w:t>Senior Vice President, General Counsel, Corporate Secretary 7 years with Genesco</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color w:val="1E1E1E"/>
        </w:rPr>
        <w:t>Parag D. Desai</w:t>
      </w:r>
    </w:p>
    <w:p>
      <w:pPr>
        <w:spacing w:after="0" w:line="30" w:lineRule="exact"/>
        <w:rPr>
          <w:sz w:val="20"/>
          <w:szCs w:val="20"/>
          <w:color w:val="auto"/>
        </w:rPr>
      </w:pPr>
    </w:p>
    <w:p>
      <w:pPr>
        <w:ind w:right="4140"/>
        <w:spacing w:after="0" w:line="257" w:lineRule="auto"/>
        <w:rPr>
          <w:sz w:val="20"/>
          <w:szCs w:val="20"/>
          <w:color w:val="auto"/>
        </w:rPr>
      </w:pPr>
      <w:r>
        <w:rPr>
          <w:rFonts w:ascii="Arial" w:cs="Arial" w:eastAsia="Arial" w:hAnsi="Arial"/>
          <w:sz w:val="24"/>
          <w:szCs w:val="24"/>
          <w:color w:val="1E1E1E"/>
        </w:rPr>
        <w:t>Senior Vice President, Chief Strategy and Digital Officer 12 years with Genesco</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color w:val="1E1E1E"/>
        </w:rPr>
        <w:t>Daniel E. Ewoldsen</w:t>
      </w:r>
    </w:p>
    <w:p>
      <w:pPr>
        <w:spacing w:after="0" w:line="30" w:lineRule="exact"/>
        <w:rPr>
          <w:sz w:val="20"/>
          <w:szCs w:val="20"/>
          <w:color w:val="auto"/>
        </w:rPr>
      </w:pPr>
    </w:p>
    <w:p>
      <w:pPr>
        <w:ind w:right="3560"/>
        <w:spacing w:after="0" w:line="257" w:lineRule="auto"/>
        <w:rPr>
          <w:sz w:val="20"/>
          <w:szCs w:val="20"/>
          <w:color w:val="auto"/>
        </w:rPr>
      </w:pPr>
      <w:r>
        <w:rPr>
          <w:rFonts w:ascii="Arial" w:cs="Arial" w:eastAsia="Arial" w:hAnsi="Arial"/>
          <w:sz w:val="24"/>
          <w:szCs w:val="24"/>
          <w:color w:val="1E1E1E"/>
        </w:rPr>
        <w:t>Senior Vice President, President – Johnston &amp; Murphy Group 23 years with Genesco</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color w:val="1E1E1E"/>
        </w:rPr>
        <w:t>Andrew I. Gray</w:t>
      </w:r>
    </w:p>
    <w:p>
      <w:pPr>
        <w:spacing w:after="0" w:line="30" w:lineRule="exact"/>
        <w:rPr>
          <w:sz w:val="20"/>
          <w:szCs w:val="20"/>
          <w:color w:val="auto"/>
        </w:rPr>
      </w:pPr>
    </w:p>
    <w:p>
      <w:pPr>
        <w:ind w:right="1780"/>
        <w:spacing w:after="0" w:line="258" w:lineRule="auto"/>
        <w:rPr>
          <w:sz w:val="20"/>
          <w:szCs w:val="20"/>
          <w:color w:val="auto"/>
        </w:rPr>
      </w:pPr>
      <w:r>
        <w:rPr>
          <w:rFonts w:ascii="Arial" w:cs="Arial" w:eastAsia="Arial" w:hAnsi="Arial"/>
          <w:sz w:val="24"/>
          <w:szCs w:val="24"/>
          <w:color w:val="1E1E1E"/>
        </w:rPr>
        <w:t>Senior Vice President, Chief Executive Officer – Journeys Global Retail Group 3 years with Genesco</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color w:val="1E1E1E"/>
        </w:rPr>
        <w:t>Matthew N. Johnson</w:t>
      </w:r>
    </w:p>
    <w:p>
      <w:pPr>
        <w:spacing w:after="0" w:line="30" w:lineRule="exact"/>
        <w:rPr>
          <w:sz w:val="20"/>
          <w:szCs w:val="20"/>
          <w:color w:val="auto"/>
        </w:rPr>
      </w:pPr>
    </w:p>
    <w:p>
      <w:pPr>
        <w:spacing w:after="0"/>
        <w:rPr>
          <w:sz w:val="20"/>
          <w:szCs w:val="20"/>
          <w:color w:val="auto"/>
        </w:rPr>
      </w:pPr>
      <w:r>
        <w:rPr>
          <w:rFonts w:ascii="Arial" w:cs="Arial" w:eastAsia="Arial" w:hAnsi="Arial"/>
          <w:sz w:val="24"/>
          <w:szCs w:val="24"/>
          <w:color w:val="1E1E1E"/>
        </w:rPr>
        <w:t>Vice President, Treasurer</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1E1E1E"/>
        </w:rPr>
        <w:t>33 years with Genesco</w:t>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color w:val="1E1E1E"/>
        </w:rPr>
        <w:t>Ashley M. Randolph</w:t>
      </w:r>
    </w:p>
    <w:p>
      <w:pPr>
        <w:spacing w:after="0" w:line="30" w:lineRule="exact"/>
        <w:rPr>
          <w:sz w:val="20"/>
          <w:szCs w:val="20"/>
          <w:color w:val="auto"/>
        </w:rPr>
      </w:pPr>
    </w:p>
    <w:p>
      <w:pPr>
        <w:spacing w:after="0"/>
        <w:rPr>
          <w:sz w:val="20"/>
          <w:szCs w:val="20"/>
          <w:color w:val="auto"/>
        </w:rPr>
      </w:pPr>
      <w:r>
        <w:rPr>
          <w:rFonts w:ascii="Arial" w:cs="Arial" w:eastAsia="Arial" w:hAnsi="Arial"/>
          <w:sz w:val="24"/>
          <w:szCs w:val="24"/>
          <w:color w:val="1E1E1E"/>
        </w:rPr>
        <w:t>Vice President and Chief Accounting Officer</w:t>
      </w:r>
    </w:p>
    <w:p>
      <w:pPr>
        <w:spacing w:after="0" w:line="2" w:lineRule="exact"/>
        <w:rPr>
          <w:sz w:val="20"/>
          <w:szCs w:val="20"/>
          <w:color w:val="auto"/>
        </w:rPr>
      </w:pPr>
    </w:p>
    <w:p>
      <w:pPr>
        <w:spacing w:after="0"/>
        <w:rPr>
          <w:sz w:val="20"/>
          <w:szCs w:val="20"/>
          <w:color w:val="auto"/>
        </w:rPr>
      </w:pPr>
      <w:r>
        <w:rPr>
          <w:rFonts w:ascii="Arial" w:cs="Arial" w:eastAsia="Arial" w:hAnsi="Arial"/>
          <w:sz w:val="24"/>
          <w:szCs w:val="24"/>
          <w:color w:val="1E1E1E"/>
        </w:rPr>
        <w:t>20 years with Genesco</w:t>
      </w:r>
    </w:p>
    <w:p>
      <w:pPr>
        <w:sectPr>
          <w:pgSz w:w="12240" w:h="15840" w:orient="portrait"/>
          <w:cols w:equalWidth="0" w:num="1">
            <w:col w:w="10080"/>
          </w:cols>
          <w:pgMar w:left="720" w:top="926" w:right="1440" w:bottom="793"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1E1E1E"/>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1E1E1E"/>
        </w:rPr>
        <w:t>(This page intentionally left blank)</w:t>
      </w:r>
    </w:p>
    <w:p>
      <w:pPr>
        <w:sectPr>
          <w:pgSz w:w="12240" w:h="15840" w:orient="portrait"/>
          <w:cols w:equalWidth="0" w:num="1">
            <w:col w:w="9360"/>
          </w:cols>
          <w:pgMar w:left="1440" w:top="144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8"/>
          <w:szCs w:val="28"/>
          <w:b w:val="1"/>
          <w:bCs w:val="1"/>
          <w:color w:val="1E1E1E"/>
        </w:rPr>
        <w:t>UNITED STATES</w:t>
      </w:r>
    </w:p>
    <w:p>
      <w:pPr>
        <w:jc w:val="center"/>
        <w:spacing w:after="0" w:line="208" w:lineRule="auto"/>
        <w:rPr>
          <w:sz w:val="20"/>
          <w:szCs w:val="20"/>
          <w:color w:val="auto"/>
        </w:rPr>
      </w:pPr>
      <w:r>
        <w:rPr>
          <w:rFonts w:ascii="Times New Roman" w:cs="Times New Roman" w:eastAsia="Times New Roman" w:hAnsi="Times New Roman"/>
          <w:sz w:val="28"/>
          <w:szCs w:val="28"/>
          <w:b w:val="1"/>
          <w:bCs w:val="1"/>
          <w:color w:val="1E1E1E"/>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1E1E1E"/>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2267585</wp:posOffset>
                </wp:positionH>
                <wp:positionV relativeFrom="paragraph">
                  <wp:posOffset>-183515</wp:posOffset>
                </wp:positionV>
                <wp:extent cx="232219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2195" cy="4763"/>
                        </a:xfrm>
                        <a:prstGeom prst="line">
                          <a:avLst/>
                        </a:prstGeom>
                        <a:solidFill>
                          <a:srgbClr val="FFFFFF"/>
                        </a:solidFill>
                        <a:ln w="6095">
                          <a:solidFill>
                            <a:srgbClr val="1E1E1E"/>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5pt,-14.4499pt" to="361.4pt,-14.4499pt" o:allowincell="f" strokecolor="#1E1E1E" strokeweight="0.4799pt"/>
            </w:pict>
          </mc:Fallback>
        </mc:AlternateConten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(Mark One)</w:t>
      </w:r>
    </w:p>
    <w:p>
      <w:pPr>
        <w:spacing w:after="0" w:line="11" w:lineRule="exact"/>
        <w:rPr>
          <w:sz w:val="20"/>
          <w:szCs w:val="20"/>
          <w:color w:val="auto"/>
        </w:rPr>
      </w:pPr>
    </w:p>
    <w:p>
      <w:pPr>
        <w:ind w:left="700" w:hanging="638"/>
        <w:spacing w:after="0"/>
        <w:tabs>
          <w:tab w:leader="none" w:pos="70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18"/>
          <w:szCs w:val="18"/>
          <w:b w:val="1"/>
          <w:bCs w:val="1"/>
          <w:color w:val="1E1E1E"/>
        </w:rPr>
        <w:t>ANNUAL REPORT PURSUANT TO SECTION 13 OR 15(d) OF THE SECURITIES EXCHANGE ACT OF 1934</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1E1E1E"/>
        </w:rPr>
        <w:t>For the Fiscal Year Ended January 31, 2026</w:t>
      </w:r>
    </w:p>
    <w:p>
      <w:pPr>
        <w:spacing w:after="0" w:line="51" w:lineRule="exact"/>
        <w:rPr>
          <w:sz w:val="20"/>
          <w:szCs w:val="20"/>
          <w:color w:val="auto"/>
        </w:rPr>
      </w:pPr>
    </w:p>
    <w:p>
      <w:pPr>
        <w:ind w:left="700" w:hanging="638"/>
        <w:spacing w:after="0"/>
        <w:tabs>
          <w:tab w:leader="none" w:pos="70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18"/>
          <w:szCs w:val="18"/>
          <w:b w:val="1"/>
          <w:bCs w:val="1"/>
          <w:color w:val="1E1E1E"/>
        </w:rPr>
        <w:t>TRANSITION REPORT PURSUANT TO SECTION 13 OR 15(d) OF THE SECURITIES EXCHANGE ACT OF 1934</w:t>
      </w:r>
    </w:p>
    <w:p>
      <w:pPr>
        <w:spacing w:after="0" w:line="154" w:lineRule="exact"/>
        <w:rPr>
          <w:sz w:val="20"/>
          <w:szCs w:val="20"/>
          <w:color w:val="auto"/>
        </w:rPr>
      </w:pPr>
    </w:p>
    <w:p>
      <w:pPr>
        <w:ind w:left="720"/>
        <w:spacing w:after="0"/>
        <w:tabs>
          <w:tab w:leader="none" w:pos="3560" w:val="left"/>
        </w:tabs>
        <w:rPr>
          <w:sz w:val="20"/>
          <w:szCs w:val="20"/>
          <w:color w:val="auto"/>
        </w:rPr>
      </w:pPr>
      <w:r>
        <w:rPr>
          <w:rFonts w:ascii="Times New Roman" w:cs="Times New Roman" w:eastAsia="Times New Roman" w:hAnsi="Times New Roman"/>
          <w:sz w:val="18"/>
          <w:szCs w:val="18"/>
          <w:b w:val="1"/>
          <w:bCs w:val="1"/>
          <w:color w:val="1E1E1E"/>
        </w:rPr>
        <w:t>for the transition period from</w:t>
      </w:r>
      <w:r>
        <w:rPr>
          <w:sz w:val="20"/>
          <w:szCs w:val="20"/>
          <w:color w:val="auto"/>
        </w:rPr>
        <w:tab/>
      </w:r>
      <w:r>
        <w:rPr>
          <w:rFonts w:ascii="Times New Roman" w:cs="Times New Roman" w:eastAsia="Times New Roman" w:hAnsi="Times New Roman"/>
          <w:sz w:val="18"/>
          <w:szCs w:val="18"/>
          <w:b w:val="1"/>
          <w:bCs w:val="1"/>
          <w:color w:val="1E1E1E"/>
        </w:rPr>
        <w:t>to</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Commission File No. 1-3083</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1E1E1E"/>
        </w:rPr>
        <w:t>Genesco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2267585</wp:posOffset>
                </wp:positionH>
                <wp:positionV relativeFrom="paragraph">
                  <wp:posOffset>-186055</wp:posOffset>
                </wp:positionV>
                <wp:extent cx="232219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2195" cy="4763"/>
                        </a:xfrm>
                        <a:prstGeom prst="line">
                          <a:avLst/>
                        </a:prstGeom>
                        <a:solidFill>
                          <a:srgbClr val="FFFFFF"/>
                        </a:solidFill>
                        <a:ln w="6095">
                          <a:solidFill>
                            <a:srgbClr val="1E1E1E"/>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55pt,-14.6499pt" to="361.4pt,-14.6499pt" o:allowincell="f" strokecolor="#1E1E1E" strokeweight="0.4799pt"/>
            </w:pict>
          </mc:Fallback>
        </mc:AlternateConten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E1E1E"/>
        </w:rPr>
        <w:t>(Exact name of registrant as specified in its charter)</w:t>
      </w:r>
    </w:p>
    <w:p>
      <w:pPr>
        <w:spacing w:after="0" w:line="116"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5600" w:type="dxa"/>
            <w:vAlign w:val="bottom"/>
          </w:tcPr>
          <w:p>
            <w:pPr>
              <w:jc w:val="center"/>
              <w:ind w:right="2101"/>
              <w:spacing w:after="0"/>
              <w:rPr>
                <w:sz w:val="20"/>
                <w:szCs w:val="20"/>
                <w:color w:val="auto"/>
              </w:rPr>
            </w:pPr>
            <w:r>
              <w:rPr>
                <w:rFonts w:ascii="Times New Roman" w:cs="Times New Roman" w:eastAsia="Times New Roman" w:hAnsi="Times New Roman"/>
                <w:sz w:val="16"/>
                <w:szCs w:val="16"/>
                <w:b w:val="1"/>
                <w:bCs w:val="1"/>
                <w:color w:val="1E1E1E"/>
              </w:rPr>
              <w:t>Tennessee</w:t>
            </w:r>
          </w:p>
        </w:tc>
        <w:tc>
          <w:tcPr>
            <w:tcW w:w="2680" w:type="dxa"/>
            <w:vAlign w:val="bottom"/>
          </w:tcPr>
          <w:p>
            <w:pPr>
              <w:jc w:val="center"/>
              <w:ind w:left="1341"/>
              <w:spacing w:after="0"/>
              <w:rPr>
                <w:sz w:val="20"/>
                <w:szCs w:val="20"/>
                <w:color w:val="auto"/>
              </w:rPr>
            </w:pPr>
            <w:r>
              <w:rPr>
                <w:rFonts w:ascii="Times New Roman" w:cs="Times New Roman" w:eastAsia="Times New Roman" w:hAnsi="Times New Roman"/>
                <w:sz w:val="16"/>
                <w:szCs w:val="16"/>
                <w:b w:val="1"/>
                <w:bCs w:val="1"/>
                <w:color w:val="1E1E1E"/>
              </w:rPr>
              <w:t>62-0211340</w:t>
            </w:r>
          </w:p>
        </w:tc>
      </w:tr>
      <w:tr>
        <w:trPr>
          <w:trHeight w:val="185"/>
        </w:trPr>
        <w:tc>
          <w:tcPr>
            <w:tcW w:w="5600" w:type="dxa"/>
            <w:vAlign w:val="bottom"/>
          </w:tcPr>
          <w:p>
            <w:pPr>
              <w:jc w:val="center"/>
              <w:ind w:right="2081"/>
              <w:spacing w:after="0"/>
              <w:rPr>
                <w:sz w:val="20"/>
                <w:szCs w:val="20"/>
                <w:color w:val="auto"/>
              </w:rPr>
            </w:pPr>
            <w:r>
              <w:rPr>
                <w:rFonts w:ascii="Times New Roman" w:cs="Times New Roman" w:eastAsia="Times New Roman" w:hAnsi="Times New Roman"/>
                <w:sz w:val="16"/>
                <w:szCs w:val="16"/>
                <w:b w:val="1"/>
                <w:bCs w:val="1"/>
                <w:color w:val="1E1E1E"/>
                <w:w w:val="99"/>
              </w:rPr>
              <w:t>(State or other jurisdiction of</w:t>
            </w:r>
          </w:p>
        </w:tc>
        <w:tc>
          <w:tcPr>
            <w:tcW w:w="2680" w:type="dxa"/>
            <w:vAlign w:val="bottom"/>
          </w:tcPr>
          <w:p>
            <w:pPr>
              <w:jc w:val="center"/>
              <w:ind w:left="1341"/>
              <w:spacing w:after="0"/>
              <w:rPr>
                <w:sz w:val="20"/>
                <w:szCs w:val="20"/>
                <w:color w:val="auto"/>
              </w:rPr>
            </w:pPr>
            <w:r>
              <w:rPr>
                <w:rFonts w:ascii="Times New Roman" w:cs="Times New Roman" w:eastAsia="Times New Roman" w:hAnsi="Times New Roman"/>
                <w:sz w:val="16"/>
                <w:szCs w:val="16"/>
                <w:b w:val="1"/>
                <w:bCs w:val="1"/>
                <w:color w:val="1E1E1E"/>
                <w:w w:val="98"/>
              </w:rPr>
              <w:t>(I.R.S. Employer</w:t>
            </w:r>
          </w:p>
        </w:tc>
      </w:tr>
      <w:tr>
        <w:trPr>
          <w:trHeight w:val="217"/>
        </w:trPr>
        <w:tc>
          <w:tcPr>
            <w:tcW w:w="5600" w:type="dxa"/>
            <w:vAlign w:val="bottom"/>
          </w:tcPr>
          <w:p>
            <w:pPr>
              <w:jc w:val="center"/>
              <w:ind w:right="2101"/>
              <w:spacing w:after="0"/>
              <w:rPr>
                <w:sz w:val="20"/>
                <w:szCs w:val="20"/>
                <w:color w:val="auto"/>
              </w:rPr>
            </w:pPr>
            <w:r>
              <w:rPr>
                <w:rFonts w:ascii="Times New Roman" w:cs="Times New Roman" w:eastAsia="Times New Roman" w:hAnsi="Times New Roman"/>
                <w:sz w:val="16"/>
                <w:szCs w:val="16"/>
                <w:b w:val="1"/>
                <w:bCs w:val="1"/>
                <w:color w:val="1E1E1E"/>
              </w:rPr>
              <w:t>incorporation or organization)</w:t>
            </w:r>
          </w:p>
        </w:tc>
        <w:tc>
          <w:tcPr>
            <w:tcW w:w="2680" w:type="dxa"/>
            <w:vAlign w:val="bottom"/>
          </w:tcPr>
          <w:p>
            <w:pPr>
              <w:jc w:val="center"/>
              <w:ind w:left="1341"/>
              <w:spacing w:after="0"/>
              <w:rPr>
                <w:sz w:val="20"/>
                <w:szCs w:val="20"/>
                <w:color w:val="auto"/>
              </w:rPr>
            </w:pPr>
            <w:r>
              <w:rPr>
                <w:rFonts w:ascii="Times New Roman" w:cs="Times New Roman" w:eastAsia="Times New Roman" w:hAnsi="Times New Roman"/>
                <w:sz w:val="16"/>
                <w:szCs w:val="16"/>
                <w:b w:val="1"/>
                <w:bCs w:val="1"/>
                <w:color w:val="1E1E1E"/>
              </w:rPr>
              <w:t>Identification No.)</w:t>
            </w:r>
          </w:p>
        </w:tc>
      </w:tr>
      <w:tr>
        <w:trPr>
          <w:trHeight w:val="375"/>
        </w:trPr>
        <w:tc>
          <w:tcPr>
            <w:tcW w:w="5600" w:type="dxa"/>
            <w:vAlign w:val="bottom"/>
          </w:tcPr>
          <w:p>
            <w:pPr>
              <w:ind w:left="2860"/>
              <w:spacing w:after="0"/>
              <w:rPr>
                <w:sz w:val="20"/>
                <w:szCs w:val="20"/>
                <w:color w:val="auto"/>
              </w:rPr>
            </w:pPr>
            <w:r>
              <w:rPr>
                <w:rFonts w:ascii="Times New Roman" w:cs="Times New Roman" w:eastAsia="Times New Roman" w:hAnsi="Times New Roman"/>
                <w:sz w:val="16"/>
                <w:szCs w:val="16"/>
                <w:b w:val="1"/>
                <w:bCs w:val="1"/>
                <w:color w:val="1E1E1E"/>
              </w:rPr>
              <w:t>535 Marriott Drive</w:t>
            </w:r>
          </w:p>
        </w:tc>
        <w:tc>
          <w:tcPr>
            <w:tcW w:w="2680" w:type="dxa"/>
            <w:vAlign w:val="bottom"/>
          </w:tcPr>
          <w:p>
            <w:pPr>
              <w:jc w:val="center"/>
              <w:ind w:left="1361"/>
              <w:spacing w:after="0"/>
              <w:rPr>
                <w:sz w:val="20"/>
                <w:szCs w:val="20"/>
                <w:color w:val="auto"/>
              </w:rPr>
            </w:pPr>
            <w:r>
              <w:rPr>
                <w:rFonts w:ascii="Times New Roman" w:cs="Times New Roman" w:eastAsia="Times New Roman" w:hAnsi="Times New Roman"/>
                <w:sz w:val="16"/>
                <w:szCs w:val="16"/>
                <w:b w:val="1"/>
                <w:bCs w:val="1"/>
                <w:color w:val="1E1E1E"/>
                <w:w w:val="99"/>
              </w:rPr>
              <w:t>37214</w:t>
            </w:r>
          </w:p>
        </w:tc>
      </w:tr>
      <w:tr>
        <w:trPr>
          <w:trHeight w:val="235"/>
        </w:trPr>
        <w:tc>
          <w:tcPr>
            <w:tcW w:w="560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Nashville, Tennessee</w:t>
            </w:r>
          </w:p>
        </w:tc>
        <w:tc>
          <w:tcPr>
            <w:tcW w:w="2680" w:type="dxa"/>
            <w:vAlign w:val="bottom"/>
          </w:tcPr>
          <w:p>
            <w:pPr>
              <w:jc w:val="center"/>
              <w:ind w:left="1381"/>
              <w:spacing w:after="0"/>
              <w:rPr>
                <w:sz w:val="20"/>
                <w:szCs w:val="20"/>
                <w:color w:val="auto"/>
              </w:rPr>
            </w:pPr>
            <w:r>
              <w:rPr>
                <w:rFonts w:ascii="Times New Roman" w:cs="Times New Roman" w:eastAsia="Times New Roman" w:hAnsi="Times New Roman"/>
                <w:sz w:val="16"/>
                <w:szCs w:val="16"/>
                <w:b w:val="1"/>
                <w:bCs w:val="1"/>
                <w:color w:val="1E1E1E"/>
                <w:w w:val="99"/>
              </w:rPr>
              <w:t>(Zip Code)</w:t>
            </w:r>
          </w:p>
        </w:tc>
      </w:tr>
      <w:tr>
        <w:trPr>
          <w:trHeight w:val="235"/>
        </w:trPr>
        <w:tc>
          <w:tcPr>
            <w:tcW w:w="560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1E1E1E"/>
              </w:rPr>
              <w:t>(Address of principal executive offices)</w:t>
            </w:r>
          </w:p>
        </w:tc>
        <w:tc>
          <w:tcPr>
            <w:tcW w:w="2680" w:type="dxa"/>
            <w:vAlign w:val="bottom"/>
          </w:tcPr>
          <w:p>
            <w:pPr>
              <w:spacing w:after="0"/>
              <w:rPr>
                <w:sz w:val="20"/>
                <w:szCs w:val="20"/>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1E1E1E"/>
        </w:rPr>
        <w:t>Registrant’s telephone number, including area code: (615) 367-7000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6220" w:type="dxa"/>
            <w:vAlign w:val="bottom"/>
            <w:gridSpan w:val="2"/>
          </w:tcPr>
          <w:p>
            <w:pPr>
              <w:jc w:val="center"/>
              <w:ind w:right="1945"/>
              <w:spacing w:after="0"/>
              <w:rPr>
                <w:sz w:val="20"/>
                <w:szCs w:val="20"/>
                <w:color w:val="auto"/>
              </w:rPr>
            </w:pPr>
            <w:r>
              <w:rPr>
                <w:rFonts w:ascii="Times New Roman" w:cs="Times New Roman" w:eastAsia="Times New Roman" w:hAnsi="Times New Roman"/>
                <w:sz w:val="16"/>
                <w:szCs w:val="16"/>
                <w:b w:val="1"/>
                <w:bCs w:val="1"/>
                <w:color w:val="1E1E1E"/>
                <w:w w:val="99"/>
              </w:rPr>
              <w:t>Securities Registered Pursuant to Section 12(b) of the Act:</w:t>
            </w:r>
          </w:p>
        </w:tc>
        <w:tc>
          <w:tcPr>
            <w:tcW w:w="0" w:type="dxa"/>
            <w:vAlign w:val="bottom"/>
          </w:tcPr>
          <w:p>
            <w:pPr>
              <w:spacing w:after="0"/>
              <w:rPr>
                <w:sz w:val="1"/>
                <w:szCs w:val="1"/>
                <w:color w:val="auto"/>
              </w:rPr>
            </w:pPr>
          </w:p>
        </w:tc>
      </w:tr>
      <w:tr>
        <w:trPr>
          <w:trHeight w:val="219"/>
        </w:trPr>
        <w:tc>
          <w:tcPr>
            <w:tcW w:w="3300" w:type="dxa"/>
            <w:vAlign w:val="bottom"/>
            <w:vMerge w:val="restart"/>
          </w:tcPr>
          <w:p>
            <w:pPr>
              <w:jc w:val="center"/>
              <w:ind w:left="946"/>
              <w:spacing w:after="0"/>
              <w:rPr>
                <w:sz w:val="20"/>
                <w:szCs w:val="20"/>
                <w:color w:val="auto"/>
              </w:rPr>
            </w:pPr>
            <w:r>
              <w:rPr>
                <w:rFonts w:ascii="Times New Roman" w:cs="Times New Roman" w:eastAsia="Times New Roman" w:hAnsi="Times New Roman"/>
                <w:sz w:val="16"/>
                <w:szCs w:val="16"/>
                <w:b w:val="1"/>
                <w:bCs w:val="1"/>
                <w:color w:val="1E1E1E"/>
                <w:w w:val="99"/>
              </w:rPr>
              <w:t>Title of each class</w:t>
            </w:r>
          </w:p>
        </w:tc>
        <w:tc>
          <w:tcPr>
            <w:tcW w:w="3860" w:type="dxa"/>
            <w:vAlign w:val="bottom"/>
            <w:vMerge w:val="restart"/>
          </w:tcPr>
          <w:p>
            <w:pPr>
              <w:jc w:val="center"/>
              <w:ind w:left="261"/>
              <w:spacing w:after="0"/>
              <w:rPr>
                <w:sz w:val="20"/>
                <w:szCs w:val="20"/>
                <w:color w:val="auto"/>
              </w:rPr>
            </w:pPr>
            <w:r>
              <w:rPr>
                <w:rFonts w:ascii="Times New Roman" w:cs="Times New Roman" w:eastAsia="Times New Roman" w:hAnsi="Times New Roman"/>
                <w:sz w:val="16"/>
                <w:szCs w:val="16"/>
                <w:b w:val="1"/>
                <w:bCs w:val="1"/>
                <w:color w:val="1E1E1E"/>
              </w:rPr>
              <w:t>Trading Symbol</w:t>
            </w:r>
          </w:p>
        </w:tc>
        <w:tc>
          <w:tcPr>
            <w:tcW w:w="2360" w:type="dxa"/>
            <w:vAlign w:val="bottom"/>
          </w:tcPr>
          <w:p>
            <w:pPr>
              <w:jc w:val="center"/>
              <w:ind w:left="525"/>
              <w:spacing w:after="0"/>
              <w:rPr>
                <w:sz w:val="20"/>
                <w:szCs w:val="20"/>
                <w:color w:val="auto"/>
              </w:rPr>
            </w:pPr>
            <w:r>
              <w:rPr>
                <w:rFonts w:ascii="Times New Roman" w:cs="Times New Roman" w:eastAsia="Times New Roman" w:hAnsi="Times New Roman"/>
                <w:sz w:val="16"/>
                <w:szCs w:val="16"/>
                <w:b w:val="1"/>
                <w:bCs w:val="1"/>
                <w:color w:val="1E1E1E"/>
                <w:w w:val="99"/>
              </w:rPr>
              <w:t>Name of Exchange</w:t>
            </w:r>
          </w:p>
        </w:tc>
        <w:tc>
          <w:tcPr>
            <w:tcW w:w="0" w:type="dxa"/>
            <w:vAlign w:val="bottom"/>
          </w:tcPr>
          <w:p>
            <w:pPr>
              <w:spacing w:after="0"/>
              <w:rPr>
                <w:sz w:val="1"/>
                <w:szCs w:val="1"/>
                <w:color w:val="auto"/>
              </w:rPr>
            </w:pPr>
          </w:p>
        </w:tc>
      </w:tr>
      <w:tr>
        <w:trPr>
          <w:trHeight w:val="217"/>
        </w:trPr>
        <w:tc>
          <w:tcPr>
            <w:tcW w:w="3300" w:type="dxa"/>
            <w:vAlign w:val="bottom"/>
            <w:vMerge w:val="continue"/>
          </w:tcPr>
          <w:p>
            <w:pPr>
              <w:spacing w:after="0"/>
              <w:rPr>
                <w:sz w:val="18"/>
                <w:szCs w:val="18"/>
                <w:color w:val="auto"/>
              </w:rPr>
            </w:pPr>
          </w:p>
        </w:tc>
        <w:tc>
          <w:tcPr>
            <w:tcW w:w="3860" w:type="dxa"/>
            <w:vAlign w:val="bottom"/>
            <w:vMerge w:val="continue"/>
          </w:tcPr>
          <w:p>
            <w:pPr>
              <w:spacing w:after="0"/>
              <w:rPr>
                <w:sz w:val="18"/>
                <w:szCs w:val="18"/>
                <w:color w:val="auto"/>
              </w:rPr>
            </w:pPr>
          </w:p>
        </w:tc>
        <w:tc>
          <w:tcPr>
            <w:tcW w:w="2360" w:type="dxa"/>
            <w:vAlign w:val="bottom"/>
          </w:tcPr>
          <w:p>
            <w:pPr>
              <w:jc w:val="center"/>
              <w:ind w:left="525"/>
              <w:spacing w:after="0"/>
              <w:rPr>
                <w:sz w:val="20"/>
                <w:szCs w:val="20"/>
                <w:color w:val="auto"/>
              </w:rPr>
            </w:pPr>
            <w:r>
              <w:rPr>
                <w:rFonts w:ascii="Times New Roman" w:cs="Times New Roman" w:eastAsia="Times New Roman" w:hAnsi="Times New Roman"/>
                <w:sz w:val="16"/>
                <w:szCs w:val="16"/>
                <w:b w:val="1"/>
                <w:bCs w:val="1"/>
                <w:color w:val="1E1E1E"/>
              </w:rPr>
              <w:t>on which Registered</w:t>
            </w:r>
          </w:p>
        </w:tc>
        <w:tc>
          <w:tcPr>
            <w:tcW w:w="0" w:type="dxa"/>
            <w:vAlign w:val="bottom"/>
          </w:tcPr>
          <w:p>
            <w:pPr>
              <w:spacing w:after="0"/>
              <w:rPr>
                <w:sz w:val="1"/>
                <w:szCs w:val="1"/>
                <w:color w:val="auto"/>
              </w:rPr>
            </w:pPr>
          </w:p>
        </w:tc>
      </w:tr>
      <w:tr>
        <w:trPr>
          <w:trHeight w:val="226"/>
        </w:trPr>
        <w:tc>
          <w:tcPr>
            <w:tcW w:w="3300" w:type="dxa"/>
            <w:vAlign w:val="bottom"/>
          </w:tcPr>
          <w:p>
            <w:pPr>
              <w:jc w:val="center"/>
              <w:ind w:left="946"/>
              <w:spacing w:after="0"/>
              <w:rPr>
                <w:sz w:val="20"/>
                <w:szCs w:val="20"/>
                <w:color w:val="auto"/>
              </w:rPr>
            </w:pPr>
            <w:r>
              <w:rPr>
                <w:rFonts w:ascii="Times New Roman" w:cs="Times New Roman" w:eastAsia="Times New Roman" w:hAnsi="Times New Roman"/>
                <w:sz w:val="16"/>
                <w:szCs w:val="16"/>
                <w:color w:val="1E1E1E"/>
              </w:rPr>
              <w:t>Common Stock, $1.00 par value</w:t>
            </w:r>
          </w:p>
        </w:tc>
        <w:tc>
          <w:tcPr>
            <w:tcW w:w="3860" w:type="dxa"/>
            <w:vAlign w:val="bottom"/>
          </w:tcPr>
          <w:p>
            <w:pPr>
              <w:jc w:val="center"/>
              <w:ind w:left="261"/>
              <w:spacing w:after="0"/>
              <w:rPr>
                <w:sz w:val="20"/>
                <w:szCs w:val="20"/>
                <w:color w:val="auto"/>
              </w:rPr>
            </w:pPr>
            <w:r>
              <w:rPr>
                <w:rFonts w:ascii="Times New Roman" w:cs="Times New Roman" w:eastAsia="Times New Roman" w:hAnsi="Times New Roman"/>
                <w:sz w:val="16"/>
                <w:szCs w:val="16"/>
                <w:b w:val="1"/>
                <w:bCs w:val="1"/>
                <w:color w:val="1E1E1E"/>
                <w:w w:val="98"/>
              </w:rPr>
              <w:t>GCO</w:t>
            </w:r>
          </w:p>
        </w:tc>
        <w:tc>
          <w:tcPr>
            <w:tcW w:w="2360" w:type="dxa"/>
            <w:vAlign w:val="bottom"/>
          </w:tcPr>
          <w:p>
            <w:pPr>
              <w:jc w:val="center"/>
              <w:ind w:left="525"/>
              <w:spacing w:after="0"/>
              <w:rPr>
                <w:sz w:val="20"/>
                <w:szCs w:val="20"/>
                <w:color w:val="auto"/>
              </w:rPr>
            </w:pPr>
            <w:r>
              <w:rPr>
                <w:rFonts w:ascii="Times New Roman" w:cs="Times New Roman" w:eastAsia="Times New Roman" w:hAnsi="Times New Roman"/>
                <w:sz w:val="16"/>
                <w:szCs w:val="16"/>
                <w:color w:val="1E1E1E"/>
              </w:rPr>
              <w:t>New York Stock Exchange</w:t>
            </w:r>
          </w:p>
        </w:tc>
        <w:tc>
          <w:tcPr>
            <w:tcW w:w="0" w:type="dxa"/>
            <w:vAlign w:val="bottom"/>
          </w:tcPr>
          <w:p>
            <w:pPr>
              <w:spacing w:after="0"/>
              <w:rPr>
                <w:sz w:val="1"/>
                <w:szCs w:val="1"/>
                <w:color w:val="auto"/>
              </w:rPr>
            </w:pPr>
          </w:p>
        </w:tc>
      </w:tr>
      <w:tr>
        <w:trPr>
          <w:trHeight w:val="262"/>
        </w:trPr>
        <w:tc>
          <w:tcPr>
            <w:tcW w:w="3300" w:type="dxa"/>
            <w:vAlign w:val="bottom"/>
          </w:tcPr>
          <w:p>
            <w:pPr>
              <w:spacing w:after="0"/>
              <w:rPr>
                <w:sz w:val="22"/>
                <w:szCs w:val="22"/>
                <w:color w:val="auto"/>
              </w:rPr>
            </w:pPr>
          </w:p>
        </w:tc>
        <w:tc>
          <w:tcPr>
            <w:tcW w:w="6220" w:type="dxa"/>
            <w:vAlign w:val="bottom"/>
            <w:gridSpan w:val="2"/>
          </w:tcPr>
          <w:p>
            <w:pPr>
              <w:jc w:val="center"/>
              <w:ind w:right="1945"/>
              <w:spacing w:after="0"/>
              <w:rPr>
                <w:sz w:val="20"/>
                <w:szCs w:val="20"/>
                <w:color w:val="auto"/>
              </w:rPr>
            </w:pPr>
            <w:r>
              <w:rPr>
                <w:rFonts w:ascii="Times New Roman" w:cs="Times New Roman" w:eastAsia="Times New Roman" w:hAnsi="Times New Roman"/>
                <w:sz w:val="16"/>
                <w:szCs w:val="16"/>
                <w:b w:val="1"/>
                <w:bCs w:val="1"/>
                <w:color w:val="1E1E1E"/>
                <w:w w:val="99"/>
              </w:rPr>
              <w:t>Securities Registered Pursuant to Section 12(g) of the Act:</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6220" w:type="dxa"/>
            <w:vAlign w:val="bottom"/>
            <w:gridSpan w:val="2"/>
          </w:tcPr>
          <w:p>
            <w:pPr>
              <w:jc w:val="center"/>
              <w:ind w:right="1945"/>
              <w:spacing w:after="0" w:line="161" w:lineRule="exact"/>
              <w:rPr>
                <w:sz w:val="20"/>
                <w:szCs w:val="20"/>
                <w:color w:val="auto"/>
              </w:rPr>
            </w:pPr>
            <w:r>
              <w:rPr>
                <w:rFonts w:ascii="Times New Roman" w:cs="Times New Roman" w:eastAsia="Times New Roman" w:hAnsi="Times New Roman"/>
                <w:sz w:val="16"/>
                <w:szCs w:val="16"/>
                <w:b w:val="1"/>
                <w:bCs w:val="1"/>
                <w:color w:val="1E1E1E"/>
              </w:rPr>
              <w:t>Employees’ Subordinated Convertible Preferred Stock</w:t>
            </w:r>
          </w:p>
        </w:tc>
        <w:tc>
          <w:tcPr>
            <w:tcW w:w="0" w:type="dxa"/>
            <w:vAlign w:val="bottom"/>
          </w:tcPr>
          <w:p>
            <w:pPr>
              <w:spacing w:after="0"/>
              <w:rPr>
                <w:sz w:val="1"/>
                <w:szCs w:val="1"/>
                <w:color w:val="auto"/>
              </w:rPr>
            </w:pPr>
          </w:p>
        </w:tc>
      </w:tr>
      <w:tr>
        <w:trPr>
          <w:trHeight w:val="221"/>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 xml:space="preserve">Indicate by check mark if the registrant is a well-known seasoned issuer, as defined in Rule 405 of the Securities Act. Yes </w:t>
            </w:r>
            <w:r>
              <w:rPr>
                <w:rFonts w:ascii="PMingLiU" w:cs="PMingLiU" w:eastAsia="PMingLiU" w:hAnsi="PMingLiU"/>
                <w:sz w:val="14"/>
                <w:szCs w:val="14"/>
                <w:color w:val="1E1E1E"/>
              </w:rPr>
              <w:t/>
            </w: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1E1E1E"/>
              </w:rPr>
              <w:t xml:space="preserve">No </w:t>
            </w:r>
            <w:r>
              <w:rPr>
                <w:rFonts w:ascii="PMingLiU" w:cs="PMingLiU" w:eastAsia="PMingLiU" w:hAnsi="PMingLiU"/>
                <w:sz w:val="14"/>
                <w:szCs w:val="14"/>
                <w:color w:val="1E1E1E"/>
              </w:rPr>
              <w:t/>
            </w:r>
          </w:p>
        </w:tc>
        <w:tc>
          <w:tcPr>
            <w:tcW w:w="0" w:type="dxa"/>
            <w:vAlign w:val="bottom"/>
          </w:tcPr>
          <w:p>
            <w:pPr>
              <w:spacing w:after="0"/>
              <w:rPr>
                <w:sz w:val="1"/>
                <w:szCs w:val="1"/>
                <w:color w:val="auto"/>
              </w:rPr>
            </w:pPr>
          </w:p>
        </w:tc>
      </w:tr>
      <w:tr>
        <w:trPr>
          <w:trHeight w:val="281"/>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color w:val="1E1E1E"/>
              </w:rPr>
              <w:t xml:space="preserve">Indicate by check mark if the registrant is not required to file reports pursuant to Section 13 or Section 15(d) of the Act. Yes </w:t>
            </w:r>
            <w:r>
              <w:rPr>
                <w:rFonts w:ascii="PMingLiU" w:cs="PMingLiU" w:eastAsia="PMingLiU" w:hAnsi="PMingLiU"/>
                <w:sz w:val="14"/>
                <w:szCs w:val="14"/>
                <w:color w:val="1E1E1E"/>
              </w:rPr>
              <w:t/>
            </w: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1E1E1E"/>
              </w:rPr>
              <w:t xml:space="preserve">No </w:t>
            </w:r>
            <w:r>
              <w:rPr>
                <w:rFonts w:ascii="PMingLiU" w:cs="PMingLiU" w:eastAsia="PMingLiU" w:hAnsi="PMingLiU"/>
                <w:sz w:val="14"/>
                <w:szCs w:val="14"/>
                <w:color w:val="1E1E1E"/>
              </w:rPr>
              <w:t/>
            </w:r>
          </w:p>
        </w:tc>
        <w:tc>
          <w:tcPr>
            <w:tcW w:w="0" w:type="dxa"/>
            <w:vAlign w:val="bottom"/>
          </w:tcPr>
          <w:p>
            <w:pPr>
              <w:spacing w:after="0"/>
              <w:rPr>
                <w:sz w:val="1"/>
                <w:szCs w:val="1"/>
                <w:color w:val="auto"/>
              </w:rPr>
            </w:pPr>
          </w:p>
        </w:tc>
      </w:tr>
    </w:tbl>
    <w:p>
      <w:pPr>
        <w:spacing w:after="0" w:line="257" w:lineRule="auto"/>
        <w:rPr>
          <w:sz w:val="20"/>
          <w:szCs w:val="20"/>
          <w:color w:val="auto"/>
        </w:rPr>
      </w:pPr>
      <w:r>
        <w:rPr>
          <w:rFonts w:ascii="Times New Roman" w:cs="Times New Roman" w:eastAsia="Times New Roman" w:hAnsi="Times New Roman"/>
          <w:sz w:val="14"/>
          <w:szCs w:val="14"/>
          <w:color w:val="1E1E1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4"/>
          <w:szCs w:val="14"/>
          <w:color w:val="1E1E1E"/>
        </w:rPr>
        <w:t/>
      </w:r>
      <w:r>
        <w:rPr>
          <w:rFonts w:ascii="Times New Roman" w:cs="Times New Roman" w:eastAsia="Times New Roman" w:hAnsi="Times New Roman"/>
          <w:sz w:val="14"/>
          <w:szCs w:val="14"/>
          <w:color w:val="1E1E1E"/>
        </w:rPr>
        <w:t xml:space="preserve"> No </w:t>
      </w:r>
      <w:r>
        <w:rPr>
          <w:rFonts w:ascii="PMingLiU" w:cs="PMingLiU" w:eastAsia="PMingLiU" w:hAnsi="PMingLiU"/>
          <w:sz w:val="14"/>
          <w:szCs w:val="14"/>
          <w:color w:val="1E1E1E"/>
        </w:rPr>
        <w:t/>
      </w:r>
    </w:p>
    <w:p>
      <w:pPr>
        <w:sectPr>
          <w:pgSz w:w="12240" w:h="15840" w:orient="portrait"/>
          <w:cols w:equalWidth="0" w:num="1">
            <w:col w:w="10800"/>
          </w:cols>
          <w:pgMar w:left="720" w:top="869" w:right="720" w:bottom="704" w:gutter="0" w:footer="0" w:header="0"/>
        </w:sectPr>
      </w:pPr>
    </w:p>
    <w:p>
      <w:pPr>
        <w:spacing w:after="0" w:line="199" w:lineRule="auto"/>
        <w:rPr>
          <w:sz w:val="20"/>
          <w:szCs w:val="20"/>
          <w:color w:val="auto"/>
        </w:rPr>
      </w:pPr>
      <w:r>
        <w:rPr>
          <w:rFonts w:ascii="Times New Roman" w:cs="Times New Roman" w:eastAsia="Times New Roman" w:hAnsi="Times New Roman"/>
          <w:sz w:val="13"/>
          <w:szCs w:val="13"/>
          <w:color w:val="1E1E1E"/>
        </w:rPr>
        <w:t>Indicate by check mark whether the registrant has submitted electronically every Interactive Data File required to be submitted</w:t>
      </w:r>
    </w:p>
    <w:p>
      <w:pPr>
        <w:spacing w:after="0" w:line="1" w:lineRule="exact"/>
        <w:rPr>
          <w:sz w:val="20"/>
          <w:szCs w:val="20"/>
          <w:color w:val="auto"/>
        </w:rPr>
      </w:pPr>
    </w:p>
    <w:p>
      <w:pPr>
        <w:spacing w:after="0"/>
        <w:tabs>
          <w:tab w:leader="none" w:pos="6860" w:val="left"/>
        </w:tabs>
        <w:rPr>
          <w:sz w:val="20"/>
          <w:szCs w:val="20"/>
          <w:color w:val="auto"/>
        </w:rPr>
      </w:pPr>
      <w:r>
        <w:rPr>
          <w:rFonts w:ascii="Times New Roman" w:cs="Times New Roman" w:eastAsia="Times New Roman" w:hAnsi="Times New Roman"/>
          <w:sz w:val="14"/>
          <w:szCs w:val="14"/>
          <w:color w:val="1E1E1E"/>
        </w:rPr>
        <w:t xml:space="preserve">during the preceding 12 months (or for such shorter period that the registrant was required to submit such files). Yes </w:t>
      </w:r>
      <w:r>
        <w:rPr>
          <w:rFonts w:ascii="PMingLiU" w:cs="PMingLiU" w:eastAsia="PMingLiU" w:hAnsi="PMingLiU"/>
          <w:sz w:val="14"/>
          <w:szCs w:val="14"/>
          <w:color w:val="1E1E1E"/>
        </w:rPr>
        <w:t/>
      </w:r>
      <w:r>
        <w:rPr>
          <w:rFonts w:ascii="Times New Roman" w:cs="Times New Roman" w:eastAsia="Times New Roman" w:hAnsi="Times New Roman"/>
          <w:sz w:val="14"/>
          <w:szCs w:val="14"/>
          <w:color w:val="1E1E1E"/>
        </w:rPr>
        <w:tab/>
        <w:t>No</w:t>
      </w:r>
    </w:p>
    <w:p>
      <w:pPr>
        <w:spacing w:after="0" w:line="20" w:lineRule="exact"/>
        <w:rPr>
          <w:sz w:val="20"/>
          <w:szCs w:val="20"/>
          <w:color w:val="auto"/>
        </w:rPr>
      </w:pPr>
      <w:r>
        <w:rPr>
          <w:sz w:val="20"/>
          <w:szCs w:val="20"/>
          <w:color w:val="auto"/>
        </w:rPr>
        <w:br w:type="column"/>
      </w:r>
    </w:p>
    <w:p>
      <w:pPr>
        <w:ind w:hanging="5"/>
        <w:spacing w:after="0" w:line="253" w:lineRule="auto"/>
        <w:rPr>
          <w:sz w:val="20"/>
          <w:szCs w:val="20"/>
          <w:color w:val="auto"/>
        </w:rPr>
      </w:pPr>
      <w:r>
        <w:rPr>
          <w:rFonts w:ascii="Times New Roman" w:cs="Times New Roman" w:eastAsia="Times New Roman" w:hAnsi="Times New Roman"/>
          <w:sz w:val="14"/>
          <w:szCs w:val="14"/>
          <w:color w:val="1E1E1E"/>
        </w:rPr>
        <w:t xml:space="preserve">pursuant to Rule 405 of Regulation S-T (§232-405 of this chapter) </w:t>
      </w:r>
      <w:r>
        <w:rPr>
          <w:rFonts w:ascii="PMingLiU" w:cs="PMingLiU" w:eastAsia="PMingLiU" w:hAnsi="PMingLiU"/>
          <w:sz w:val="14"/>
          <w:szCs w:val="14"/>
          <w:color w:val="1E1E1E"/>
        </w:rPr>
        <w:t/>
      </w:r>
    </w:p>
    <w:p>
      <w:pPr>
        <w:spacing w:after="0" w:line="1" w:lineRule="exact"/>
        <w:rPr>
          <w:sz w:val="20"/>
          <w:szCs w:val="20"/>
          <w:color w:val="auto"/>
        </w:rPr>
      </w:pPr>
    </w:p>
    <w:p>
      <w:pPr>
        <w:sectPr>
          <w:pgSz w:w="12240" w:h="15840" w:orient="portrait"/>
          <w:cols w:equalWidth="0" w:num="2">
            <w:col w:w="7060" w:space="60"/>
            <w:col w:w="3680"/>
          </w:cols>
          <w:pgMar w:left="720" w:top="869" w:right="720" w:bottom="704" w:gutter="0" w:footer="0" w:header="0"/>
          <w:type w:val="continuous"/>
        </w:sectPr>
      </w:pPr>
    </w:p>
    <w:p>
      <w:pPr>
        <w:jc w:val="both"/>
        <w:spacing w:after="0" w:line="223" w:lineRule="auto"/>
        <w:rPr>
          <w:sz w:val="20"/>
          <w:szCs w:val="20"/>
          <w:color w:val="auto"/>
        </w:rPr>
      </w:pPr>
      <w:r>
        <w:rPr>
          <w:rFonts w:ascii="Times New Roman" w:cs="Times New Roman" w:eastAsia="Times New Roman" w:hAnsi="Times New Roman"/>
          <w:sz w:val="14"/>
          <w:szCs w:val="14"/>
          <w:color w:val="1E1E1E"/>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1E1E1E"/>
              </w:rPr>
              <w:t>Large accelerated filer</w:t>
            </w:r>
          </w:p>
        </w:tc>
        <w:tc>
          <w:tcPr>
            <w:tcW w:w="3420" w:type="dxa"/>
            <w:vAlign w:val="bottom"/>
          </w:tcPr>
          <w:p>
            <w:pPr>
              <w:jc w:val="right"/>
              <w:ind w:right="2330"/>
              <w:spacing w:after="0"/>
              <w:rPr>
                <w:sz w:val="20"/>
                <w:szCs w:val="20"/>
                <w:color w:val="auto"/>
              </w:rPr>
            </w:pPr>
            <w:r>
              <w:rPr>
                <w:rFonts w:ascii="PMingLiU" w:cs="PMingLiU" w:eastAsia="PMingLiU" w:hAnsi="PMingLiU"/>
                <w:sz w:val="14"/>
                <w:szCs w:val="14"/>
                <w:color w:val="1E1E1E"/>
              </w:rPr>
              <w:t/>
            </w:r>
          </w:p>
        </w:tc>
        <w:tc>
          <w:tcPr>
            <w:tcW w:w="4460" w:type="dxa"/>
            <w:vAlign w:val="bottom"/>
          </w:tcPr>
          <w:p>
            <w:pPr>
              <w:ind w:left="2420"/>
              <w:spacing w:after="0"/>
              <w:rPr>
                <w:sz w:val="20"/>
                <w:szCs w:val="20"/>
                <w:color w:val="auto"/>
              </w:rPr>
            </w:pPr>
            <w:r>
              <w:rPr>
                <w:rFonts w:ascii="Times New Roman" w:cs="Times New Roman" w:eastAsia="Times New Roman" w:hAnsi="Times New Roman"/>
                <w:sz w:val="14"/>
                <w:szCs w:val="14"/>
                <w:color w:val="1E1E1E"/>
              </w:rPr>
              <w:t>Accelerated filer</w:t>
            </w:r>
          </w:p>
        </w:tc>
        <w:tc>
          <w:tcPr>
            <w:tcW w:w="600" w:type="dxa"/>
            <w:vAlign w:val="bottom"/>
          </w:tcPr>
          <w:p>
            <w:pPr>
              <w:jc w:val="right"/>
              <w:spacing w:after="0"/>
              <w:rPr>
                <w:sz w:val="20"/>
                <w:szCs w:val="20"/>
                <w:color w:val="auto"/>
              </w:rPr>
            </w:pPr>
            <w:r>
              <w:rPr>
                <w:rFonts w:ascii="PMingLiU" w:cs="PMingLiU" w:eastAsia="PMingLiU" w:hAnsi="PMingLiU"/>
                <w:sz w:val="14"/>
                <w:szCs w:val="14"/>
                <w:color w:val="1E1E1E"/>
              </w:rPr>
              <w:t/>
            </w:r>
          </w:p>
        </w:tc>
      </w:tr>
      <w:tr>
        <w:trPr>
          <w:trHeight w:val="235"/>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1E1E1E"/>
              </w:rPr>
              <w:t>Non-accelerated filer</w:t>
            </w:r>
          </w:p>
        </w:tc>
        <w:tc>
          <w:tcPr>
            <w:tcW w:w="3420" w:type="dxa"/>
            <w:vAlign w:val="bottom"/>
          </w:tcPr>
          <w:p>
            <w:pPr>
              <w:jc w:val="right"/>
              <w:ind w:right="2330"/>
              <w:spacing w:after="0"/>
              <w:rPr>
                <w:sz w:val="20"/>
                <w:szCs w:val="20"/>
                <w:color w:val="auto"/>
              </w:rPr>
            </w:pPr>
            <w:r>
              <w:rPr>
                <w:rFonts w:ascii="PMingLiU" w:cs="PMingLiU" w:eastAsia="PMingLiU" w:hAnsi="PMingLiU"/>
                <w:sz w:val="14"/>
                <w:szCs w:val="14"/>
                <w:color w:val="1E1E1E"/>
              </w:rPr>
              <w:t/>
            </w:r>
          </w:p>
        </w:tc>
        <w:tc>
          <w:tcPr>
            <w:tcW w:w="4460" w:type="dxa"/>
            <w:vAlign w:val="bottom"/>
          </w:tcPr>
          <w:p>
            <w:pPr>
              <w:ind w:left="2420"/>
              <w:spacing w:after="0"/>
              <w:rPr>
                <w:sz w:val="20"/>
                <w:szCs w:val="20"/>
                <w:color w:val="auto"/>
              </w:rPr>
            </w:pPr>
            <w:r>
              <w:rPr>
                <w:rFonts w:ascii="Times New Roman" w:cs="Times New Roman" w:eastAsia="Times New Roman" w:hAnsi="Times New Roman"/>
                <w:sz w:val="14"/>
                <w:szCs w:val="14"/>
                <w:color w:val="1E1E1E"/>
              </w:rPr>
              <w:t>Smaller reporting company</w:t>
            </w:r>
          </w:p>
        </w:tc>
        <w:tc>
          <w:tcPr>
            <w:tcW w:w="600" w:type="dxa"/>
            <w:vAlign w:val="bottom"/>
          </w:tcPr>
          <w:p>
            <w:pPr>
              <w:jc w:val="right"/>
              <w:spacing w:after="0"/>
              <w:rPr>
                <w:sz w:val="20"/>
                <w:szCs w:val="20"/>
                <w:color w:val="auto"/>
              </w:rPr>
            </w:pPr>
            <w:r>
              <w:rPr>
                <w:rFonts w:ascii="PMingLiU" w:cs="PMingLiU" w:eastAsia="PMingLiU" w:hAnsi="PMingLiU"/>
                <w:sz w:val="14"/>
                <w:szCs w:val="14"/>
                <w:color w:val="1E1E1E"/>
              </w:rPr>
              <w:t/>
            </w:r>
          </w:p>
        </w:tc>
      </w:tr>
      <w:tr>
        <w:trPr>
          <w:trHeight w:val="316"/>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60" w:type="dxa"/>
            <w:vAlign w:val="bottom"/>
          </w:tcPr>
          <w:p>
            <w:pPr>
              <w:ind w:left="2420"/>
              <w:spacing w:after="0"/>
              <w:rPr>
                <w:sz w:val="20"/>
                <w:szCs w:val="20"/>
                <w:color w:val="auto"/>
              </w:rPr>
            </w:pPr>
            <w:r>
              <w:rPr>
                <w:rFonts w:ascii="Times New Roman" w:cs="Times New Roman" w:eastAsia="Times New Roman" w:hAnsi="Times New Roman"/>
                <w:sz w:val="14"/>
                <w:szCs w:val="14"/>
                <w:color w:val="1E1E1E"/>
              </w:rPr>
              <w:t>Emerging Growth company</w:t>
            </w:r>
          </w:p>
        </w:tc>
        <w:tc>
          <w:tcPr>
            <w:tcW w:w="600" w:type="dxa"/>
            <w:vAlign w:val="bottom"/>
          </w:tcPr>
          <w:p>
            <w:pPr>
              <w:jc w:val="right"/>
              <w:spacing w:after="0"/>
              <w:rPr>
                <w:sz w:val="20"/>
                <w:szCs w:val="20"/>
                <w:color w:val="auto"/>
              </w:rPr>
            </w:pPr>
            <w:r>
              <w:rPr>
                <w:rFonts w:ascii="PMingLiU" w:cs="PMingLiU" w:eastAsia="PMingLiU" w:hAnsi="PMingLiU"/>
                <w:sz w:val="14"/>
                <w:szCs w:val="14"/>
                <w:color w:val="1E1E1E"/>
              </w:rPr>
              <w:t/>
            </w:r>
          </w:p>
        </w:tc>
      </w:tr>
    </w:tbl>
    <w:p>
      <w:pPr>
        <w:spacing w:after="0" w:line="6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4"/>
          <w:szCs w:val="14"/>
          <w:color w:val="1E1E1E"/>
        </w:rPr>
        <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4"/>
          <w:szCs w:val="14"/>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4"/>
          <w:szCs w:val="14"/>
          <w:color w:val="1E1E1E"/>
        </w:rPr>
        <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4"/>
          <w:szCs w:val="14"/>
          <w:color w:val="1E1E1E"/>
        </w:rPr>
        <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4"/>
          <w:szCs w:val="14"/>
          <w:color w:val="1E1E1E"/>
        </w:rPr>
        <w:t/>
      </w:r>
    </w:p>
    <w:p>
      <w:pPr>
        <w:ind w:right="140"/>
        <w:spacing w:after="0" w:line="253" w:lineRule="auto"/>
        <w:rPr>
          <w:sz w:val="20"/>
          <w:szCs w:val="20"/>
          <w:color w:val="auto"/>
        </w:rPr>
      </w:pPr>
      <w:r>
        <w:rPr>
          <w:rFonts w:ascii="Times New Roman" w:cs="Times New Roman" w:eastAsia="Times New Roman" w:hAnsi="Times New Roman"/>
          <w:sz w:val="14"/>
          <w:szCs w:val="14"/>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4"/>
          <w:szCs w:val="14"/>
          <w:color w:val="1E1E1E"/>
        </w:rPr>
        <w:t/>
      </w:r>
    </w:p>
    <w:p>
      <w:pPr>
        <w:spacing w:after="0" w:line="1"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4"/>
          <w:szCs w:val="14"/>
          <w:color w:val="1E1E1E"/>
        </w:rPr>
        <w:t/>
      </w:r>
    </w:p>
    <w:p>
      <w:pPr>
        <w:spacing w:after="0" w:line="1" w:lineRule="exact"/>
        <w:rPr>
          <w:sz w:val="20"/>
          <w:szCs w:val="20"/>
          <w:color w:val="auto"/>
        </w:rPr>
      </w:pPr>
    </w:p>
    <w:p>
      <w:pPr>
        <w:spacing w:after="0"/>
        <w:tabs>
          <w:tab w:leader="none" w:pos="6340" w:val="left"/>
        </w:tabs>
        <w:rPr>
          <w:sz w:val="20"/>
          <w:szCs w:val="20"/>
          <w:color w:val="auto"/>
        </w:rPr>
      </w:pPr>
      <w:r>
        <w:rPr>
          <w:rFonts w:ascii="Times New Roman" w:cs="Times New Roman" w:eastAsia="Times New Roman" w:hAnsi="Times New Roman"/>
          <w:sz w:val="14"/>
          <w:szCs w:val="14"/>
          <w:color w:val="1E1E1E"/>
        </w:rPr>
        <w:t xml:space="preserve">Indicate by check mark whether the registrant is a shell company (as defined in Rule 12b-2 of the Act.) Yes </w:t>
      </w:r>
      <w:r>
        <w:rPr>
          <w:rFonts w:ascii="PMingLiU" w:cs="PMingLiU" w:eastAsia="PMingLiU" w:hAnsi="PMingLiU"/>
          <w:sz w:val="14"/>
          <w:szCs w:val="14"/>
          <w:color w:val="1E1E1E"/>
        </w:rPr>
        <w:t/>
      </w:r>
      <w:r>
        <w:rPr>
          <w:rFonts w:ascii="Times New Roman" w:cs="Times New Roman" w:eastAsia="Times New Roman" w:hAnsi="Times New Roman"/>
          <w:sz w:val="14"/>
          <w:szCs w:val="14"/>
          <w:color w:val="1E1E1E"/>
        </w:rPr>
        <w:tab/>
        <w:t xml:space="preserve">No </w:t>
      </w:r>
      <w:r>
        <w:rPr>
          <w:rFonts w:ascii="PMingLiU" w:cs="PMingLiU" w:eastAsia="PMingLiU" w:hAnsi="PMingLiU"/>
          <w:sz w:val="14"/>
          <w:szCs w:val="14"/>
          <w:color w:val="1E1E1E"/>
        </w:rPr>
        <w:t/>
      </w:r>
    </w:p>
    <w:p>
      <w:pPr>
        <w:spacing w:after="0" w:line="57"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4"/>
          <w:szCs w:val="14"/>
          <w:color w:val="1E1E1E"/>
        </w:rPr>
        <w:t>State the aggregate market value of the voting and non-voting common equity held by non -affiliates computed by reference to the price at which the common equity was sold, or the average bid and asked price of such common equity, as of the last business day of the registrant’s most recently completed second fiscal quarter - $255,000,000. The market value calculation was determined using a per share price of $23.64, the price at which the common stock was last sold on the New York Stock Exchange on August 1, 2025, the last business day of the registrant’s most recently completed second fiscal quarter. For purposes of this calculation, shares of common stock held by nonaffiliates excludes only those shares beneficially owned by officers, directors, and shareholders owning 10% or more of the outstanding common stock (and, in each case, their immediate family members and affiliates).</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1E1E1E"/>
        </w:rPr>
        <w:t>Indicate the number of shares outstanding of each of the registrant’s classes of common stock as of the latest practicable date: As of March 13, 2026, 10,858,224 shares of the registrant’s common stock were outstanding.</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Documents Incorporated by Reference</w:t>
      </w:r>
    </w:p>
    <w:p>
      <w:pPr>
        <w:sectPr>
          <w:pgSz w:w="12240" w:h="15840" w:orient="portrait"/>
          <w:cols w:equalWidth="0" w:num="1">
            <w:col w:w="10800"/>
          </w:cols>
          <w:pgMar w:left="720" w:top="869" w:right="720" w:bottom="704" w:gutter="0" w:footer="0" w:header="0"/>
          <w:type w:val="continuous"/>
        </w:sectPr>
      </w:pPr>
    </w:p>
    <w:p>
      <w:pPr>
        <w:spacing w:after="0" w:line="10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1E1E1E"/>
        </w:rPr>
        <w:t>Certain portions of registrant’s Definitive Proxy Statement for its 2026 Annual Meeting of Shareholders (which is expected to be filed with the Securities and Exchange Commission within 120 days after the end of the registrant’s fiscal year ended January 31, 2026) are incorporated by reference into Part III of this Annual Report on Form 10-K.</w:t>
      </w:r>
    </w:p>
    <w:p>
      <w:pPr>
        <w:sectPr>
          <w:pgSz w:w="12240" w:h="15840" w:orient="portrait"/>
          <w:cols w:equalWidth="0" w:num="1">
            <w:col w:w="10800"/>
          </w:cols>
          <w:pgMar w:left="720" w:top="869" w:right="720" w:bottom="704" w:gutter="0" w:footer="0" w:header="0"/>
          <w:type w:val="continuous"/>
        </w:sectPr>
      </w:pPr>
    </w:p>
    <w:bookmarkStart w:id="8" w:name="page9"/>
    <w:bookmarkEnd w:id="8"/>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0" w:type="dxa"/>
            <w:vAlign w:val="bottom"/>
          </w:tcPr>
          <w:p>
            <w:pPr>
              <w:spacing w:after="0"/>
              <w:rPr>
                <w:sz w:val="23"/>
                <w:szCs w:val="23"/>
                <w:color w:val="auto"/>
              </w:rPr>
            </w:pPr>
          </w:p>
        </w:tc>
        <w:tc>
          <w:tcPr>
            <w:tcW w:w="8440" w:type="dxa"/>
            <w:vAlign w:val="bottom"/>
          </w:tcPr>
          <w:p>
            <w:pPr>
              <w:ind w:left="3200"/>
              <w:spacing w:after="0"/>
              <w:rPr>
                <w:sz w:val="20"/>
                <w:szCs w:val="20"/>
                <w:color w:val="auto"/>
              </w:rPr>
            </w:pPr>
            <w:r>
              <w:rPr>
                <w:rFonts w:ascii="Times New Roman" w:cs="Times New Roman" w:eastAsia="Times New Roman" w:hAnsi="Times New Roman"/>
                <w:sz w:val="20"/>
                <w:szCs w:val="20"/>
                <w:color w:val="1E1E1E"/>
              </w:rPr>
              <w:t>TABLE OF CONTENTS</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840" w:type="dxa"/>
            <w:vAlign w:val="bottom"/>
          </w:tcPr>
          <w:p>
            <w:pPr>
              <w:spacing w:after="0"/>
              <w:rPr>
                <w:sz w:val="24"/>
                <w:szCs w:val="24"/>
                <w:color w:val="auto"/>
              </w:rPr>
            </w:pPr>
          </w:p>
        </w:tc>
        <w:tc>
          <w:tcPr>
            <w:tcW w:w="8440" w:type="dxa"/>
            <w:vAlign w:val="bottom"/>
            <w:vMerge w:val="restart"/>
          </w:tcPr>
          <w:p>
            <w:pPr>
              <w:jc w:val="center"/>
              <w:ind w:right="799"/>
              <w:spacing w:after="0"/>
              <w:rPr>
                <w:sz w:val="20"/>
                <w:szCs w:val="20"/>
                <w:color w:val="auto"/>
              </w:rPr>
            </w:pPr>
            <w:r>
              <w:rPr>
                <w:rFonts w:ascii="Times New Roman" w:cs="Times New Roman" w:eastAsia="Times New Roman" w:hAnsi="Times New Roman"/>
                <w:sz w:val="20"/>
                <w:szCs w:val="20"/>
                <w:b w:val="1"/>
                <w:bCs w:val="1"/>
                <w:color w:val="1E1E1E"/>
                <w:w w:val="98"/>
              </w:rPr>
              <w:t>PART I</w:t>
            </w:r>
          </w:p>
        </w:tc>
        <w:tc>
          <w:tcPr>
            <w:tcW w:w="900" w:type="dxa"/>
            <w:vAlign w:val="bottom"/>
            <w:tcBorders>
              <w:bottom w:val="single" w:sz="8" w:color="1E1E1E"/>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84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1A.</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1B.</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0" w:type="dxa"/>
            <w:vAlign w:val="bottom"/>
          </w:tcPr>
          <w:p>
            <w:pPr>
              <w:spacing w:after="0"/>
              <w:rPr>
                <w:sz w:val="1"/>
                <w:szCs w:val="1"/>
                <w:color w:val="auto"/>
              </w:rPr>
            </w:pPr>
          </w:p>
        </w:tc>
      </w:tr>
      <w:tr>
        <w:trPr>
          <w:trHeight w:val="226"/>
        </w:trPr>
        <w:tc>
          <w:tcPr>
            <w:tcW w:w="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Item 1C.</w:t>
            </w:r>
          </w:p>
        </w:tc>
        <w:tc>
          <w:tcPr>
            <w:tcW w:w="844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Cybersecurity</w:t>
            </w: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2.</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3.</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4.</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330"/>
        </w:trPr>
        <w:tc>
          <w:tcPr>
            <w:tcW w:w="840" w:type="dxa"/>
            <w:vAlign w:val="bottom"/>
          </w:tcPr>
          <w:p>
            <w:pPr>
              <w:spacing w:after="0"/>
              <w:rPr>
                <w:sz w:val="24"/>
                <w:szCs w:val="24"/>
                <w:color w:val="auto"/>
              </w:rPr>
            </w:pPr>
          </w:p>
        </w:tc>
        <w:tc>
          <w:tcPr>
            <w:tcW w:w="8440" w:type="dxa"/>
            <w:vAlign w:val="bottom"/>
          </w:tcPr>
          <w:p>
            <w:pPr>
              <w:jc w:val="center"/>
              <w:ind w:right="799"/>
              <w:spacing w:after="0"/>
              <w:rPr>
                <w:sz w:val="20"/>
                <w:szCs w:val="20"/>
                <w:color w:val="auto"/>
              </w:rPr>
            </w:pPr>
            <w:r>
              <w:rPr>
                <w:rFonts w:ascii="Times New Roman" w:cs="Times New Roman" w:eastAsia="Times New Roman" w:hAnsi="Times New Roman"/>
                <w:sz w:val="20"/>
                <w:szCs w:val="20"/>
                <w:b w:val="1"/>
                <w:bCs w:val="1"/>
                <w:color w:val="1E1E1E"/>
                <w:w w:val="98"/>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5.</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Market for Registrant’s Common Equity, Related Stockholder Matters and Issuer Purchases of Equity</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6.</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7.</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0" w:type="dxa"/>
            <w:vAlign w:val="bottom"/>
          </w:tcPr>
          <w:p>
            <w:pPr>
              <w:spacing w:after="0"/>
              <w:rPr>
                <w:sz w:val="1"/>
                <w:szCs w:val="1"/>
                <w:color w:val="auto"/>
              </w:rPr>
            </w:pPr>
          </w:p>
        </w:tc>
      </w:tr>
      <w:tr>
        <w:trPr>
          <w:trHeight w:val="226"/>
        </w:trPr>
        <w:tc>
          <w:tcPr>
            <w:tcW w:w="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Item 7A.</w:t>
            </w:r>
          </w:p>
        </w:tc>
        <w:tc>
          <w:tcPr>
            <w:tcW w:w="844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Quantitative and Qualitative Disclosures about Market Risk</w:t>
            </w: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8.</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9.</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9A.</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9B.</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9C.</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0" w:type="dxa"/>
            <w:vAlign w:val="bottom"/>
          </w:tcPr>
          <w:p>
            <w:pPr>
              <w:spacing w:after="0"/>
              <w:rPr>
                <w:sz w:val="1"/>
                <w:szCs w:val="1"/>
                <w:color w:val="auto"/>
              </w:rPr>
            </w:pPr>
          </w:p>
        </w:tc>
      </w:tr>
      <w:tr>
        <w:trPr>
          <w:trHeight w:val="330"/>
        </w:trPr>
        <w:tc>
          <w:tcPr>
            <w:tcW w:w="840" w:type="dxa"/>
            <w:vAlign w:val="bottom"/>
          </w:tcPr>
          <w:p>
            <w:pPr>
              <w:spacing w:after="0"/>
              <w:rPr>
                <w:sz w:val="24"/>
                <w:szCs w:val="24"/>
                <w:color w:val="auto"/>
              </w:rPr>
            </w:pPr>
          </w:p>
        </w:tc>
        <w:tc>
          <w:tcPr>
            <w:tcW w:w="8440" w:type="dxa"/>
            <w:vAlign w:val="bottom"/>
          </w:tcPr>
          <w:p>
            <w:pPr>
              <w:jc w:val="center"/>
              <w:ind w:right="799"/>
              <w:spacing w:after="0"/>
              <w:rPr>
                <w:sz w:val="20"/>
                <w:szCs w:val="20"/>
                <w:color w:val="auto"/>
              </w:rPr>
            </w:pPr>
            <w:r>
              <w:rPr>
                <w:rFonts w:ascii="Times New Roman" w:cs="Times New Roman" w:eastAsia="Times New Roman" w:hAnsi="Times New Roman"/>
                <w:sz w:val="20"/>
                <w:szCs w:val="20"/>
                <w:b w:val="1"/>
                <w:bCs w:val="1"/>
                <w:color w:val="1E1E1E"/>
                <w:w w:val="98"/>
              </w:rPr>
              <w:t>PART III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10.</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86</w:t>
            </w:r>
          </w:p>
        </w:tc>
        <w:tc>
          <w:tcPr>
            <w:tcW w:w="0" w:type="dxa"/>
            <w:vAlign w:val="bottom"/>
          </w:tcPr>
          <w:p>
            <w:pPr>
              <w:spacing w:after="0"/>
              <w:rPr>
                <w:sz w:val="1"/>
                <w:szCs w:val="1"/>
                <w:color w:val="auto"/>
              </w:rPr>
            </w:pPr>
          </w:p>
        </w:tc>
      </w:tr>
      <w:tr>
        <w:trPr>
          <w:trHeight w:val="226"/>
        </w:trPr>
        <w:tc>
          <w:tcPr>
            <w:tcW w:w="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Item 11.</w:t>
            </w:r>
          </w:p>
        </w:tc>
        <w:tc>
          <w:tcPr>
            <w:tcW w:w="844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1E1E1E"/>
              </w:rPr>
              <w:t>Executive Compensation</w:t>
            </w: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86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12.</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13.</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14.</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0" w:type="dxa"/>
            <w:vAlign w:val="bottom"/>
          </w:tcPr>
          <w:p>
            <w:pPr>
              <w:spacing w:after="0"/>
              <w:rPr>
                <w:sz w:val="1"/>
                <w:szCs w:val="1"/>
                <w:color w:val="auto"/>
              </w:rPr>
            </w:pPr>
          </w:p>
        </w:tc>
      </w:tr>
      <w:tr>
        <w:trPr>
          <w:trHeight w:val="330"/>
        </w:trPr>
        <w:tc>
          <w:tcPr>
            <w:tcW w:w="840" w:type="dxa"/>
            <w:vAlign w:val="bottom"/>
          </w:tcPr>
          <w:p>
            <w:pPr>
              <w:spacing w:after="0"/>
              <w:rPr>
                <w:sz w:val="24"/>
                <w:szCs w:val="24"/>
                <w:color w:val="auto"/>
              </w:rPr>
            </w:pPr>
          </w:p>
        </w:tc>
        <w:tc>
          <w:tcPr>
            <w:tcW w:w="8440" w:type="dxa"/>
            <w:vAlign w:val="bottom"/>
          </w:tcPr>
          <w:p>
            <w:pPr>
              <w:jc w:val="center"/>
              <w:ind w:right="799"/>
              <w:spacing w:after="0"/>
              <w:rPr>
                <w:sz w:val="20"/>
                <w:szCs w:val="20"/>
                <w:color w:val="auto"/>
              </w:rPr>
            </w:pPr>
            <w:r>
              <w:rPr>
                <w:rFonts w:ascii="Times New Roman" w:cs="Times New Roman" w:eastAsia="Times New Roman" w:hAnsi="Times New Roman"/>
                <w:sz w:val="20"/>
                <w:szCs w:val="20"/>
                <w:b w:val="1"/>
                <w:bCs w:val="1"/>
                <w:color w:val="1E1E1E"/>
              </w:rPr>
              <w:t>PART IV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15.</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Exhibits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88</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1E1E1E"/>
              </w:rPr>
              <w:t>Item 16.</w:t>
            </w:r>
          </w:p>
        </w:tc>
        <w:tc>
          <w:tcPr>
            <w:tcW w:w="8440" w:type="dxa"/>
            <w:vAlign w:val="bottom"/>
          </w:tcPr>
          <w:p>
            <w:pPr>
              <w:ind w:left="120"/>
              <w:spacing w:after="0"/>
              <w:rPr>
                <w:sz w:val="20"/>
                <w:szCs w:val="20"/>
                <w:color w:val="auto"/>
              </w:rPr>
            </w:pPr>
            <w:r>
              <w:rPr>
                <w:rFonts w:ascii="Times New Roman" w:cs="Times New Roman" w:eastAsia="Times New Roman" w:hAnsi="Times New Roman"/>
                <w:sz w:val="20"/>
                <w:szCs w:val="20"/>
                <w:color w:val="1E1E1E"/>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60" w:top="1440"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1E1E1E"/>
        </w:rPr>
        <w:t>2</w:t>
      </w:r>
    </w:p>
    <w:p>
      <w:pPr>
        <w:sectPr>
          <w:pgSz w:w="12240" w:h="15840" w:orient="portrait"/>
          <w:cols w:equalWidth="0" w:num="1">
            <w:col w:w="10180"/>
          </w:cols>
          <w:pgMar w:left="1060" w:top="1440" w:right="1000" w:bottom="178" w:gutter="0" w:footer="0" w:header="0"/>
          <w:type w:val="continuous"/>
        </w:sectPr>
      </w:pPr>
    </w:p>
    <w:bookmarkStart w:id="9" w:name="page10"/>
    <w:bookmarkEnd w:id="9"/>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1E1E1E"/>
        </w:rPr>
        <w:t>Cautionary Notice Regarding Forward-Looking Statements</w:t>
      </w:r>
    </w:p>
    <w:p>
      <w:pPr>
        <w:spacing w:after="0" w:line="2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1E1E1E"/>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(including the timing and amount thereof)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including disruptions as a result of pandemics or geopolitical events, including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other sources of market weakness in the locations in which we operate; the effectiveness of our omni-channel initiatives;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or as the result of the restructuring of our information technology functions; changes in tax laws and tax rates and our ability to realize any anticipated tax benefits in both the amount and timeframe anticipated; and the cost and outcome of litigation, investigations, environmental matters and other disputes that involve us. For a full discussion of risk factors, see Item 1A, "Risk Factors".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w:t>
      </w:r>
    </w:p>
    <w:p>
      <w:pPr>
        <w:sectPr>
          <w:pgSz w:w="12240" w:h="15840" w:orient="portrait"/>
          <w:cols w:equalWidth="0" w:num="1">
            <w:col w:w="10260"/>
          </w:cols>
          <w:pgMar w:left="1000" w:top="1440" w:right="980" w:bottom="178" w:gutter="0" w:footer="0" w:header="0"/>
          <w:type w:val="continuous"/>
        </w:sectPr>
      </w:pPr>
    </w:p>
    <w:bookmarkStart w:id="10" w:name="page11"/>
    <w:bookmarkEnd w:id="10"/>
    <w:p>
      <w:pPr>
        <w:spacing w:after="0" w:line="16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2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u w:val="single" w:color="auto"/>
          <w:color w:val="1E1E1E"/>
        </w:rPr>
        <w:t>ITEM 1. BUSINESS</w:t>
      </w:r>
    </w:p>
    <w:p>
      <w:pPr>
        <w:spacing w:after="0" w:line="2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u w:val="single" w:color="auto"/>
          <w:color w:val="1E1E1E"/>
        </w:rPr>
        <w:t>General</w:t>
      </w:r>
    </w:p>
    <w:p>
      <w:pPr>
        <w:spacing w:after="0" w:line="247" w:lineRule="exact"/>
        <w:rPr>
          <w:sz w:val="20"/>
          <w:szCs w:val="20"/>
          <w:color w:val="auto"/>
        </w:rPr>
      </w:pPr>
    </w:p>
    <w:p>
      <w:pPr>
        <w:jc w:val="both"/>
        <w:ind w:left="6" w:right="20"/>
        <w:spacing w:after="0" w:line="283" w:lineRule="auto"/>
        <w:rPr>
          <w:sz w:val="20"/>
          <w:szCs w:val="20"/>
          <w:color w:val="auto"/>
        </w:rPr>
      </w:pPr>
      <w:r>
        <w:rPr>
          <w:rFonts w:ascii="Times New Roman" w:cs="Times New Roman" w:eastAsia="Times New Roman" w:hAnsi="Times New Roman"/>
          <w:sz w:val="19"/>
          <w:szCs w:val="19"/>
          <w:color w:val="1E1E1E"/>
        </w:rPr>
        <w:t>Genesco Inc., incorporated in 1934 in the State of Tennessee, is a leading retailer and wholesaler of branded footwear, apparel and accessories with net sales for Fiscal 2026 of $2.4 billion. During Fiscal 2026, we operated four reportable business segments (not including corporate): (i) Journeys Group, comprised of the Journeys</w:t>
      </w:r>
      <w:r>
        <w:rPr>
          <w:rFonts w:ascii="Times New Roman" w:cs="Times New Roman" w:eastAsia="Times New Roman" w:hAnsi="Times New Roman"/>
          <w:sz w:val="24"/>
          <w:szCs w:val="24"/>
          <w:color w:val="1E1E1E"/>
          <w:vertAlign w:val="superscript"/>
        </w:rPr>
        <w:t>®</w:t>
      </w:r>
      <w:r>
        <w:rPr>
          <w:rFonts w:ascii="Times New Roman" w:cs="Times New Roman" w:eastAsia="Times New Roman" w:hAnsi="Times New Roman"/>
          <w:sz w:val="19"/>
          <w:szCs w:val="19"/>
          <w:color w:val="1E1E1E"/>
        </w:rPr>
        <w:t>, Journeys Kidz</w:t>
      </w:r>
      <w:r>
        <w:rPr>
          <w:rFonts w:ascii="Times New Roman" w:cs="Times New Roman" w:eastAsia="Times New Roman" w:hAnsi="Times New Roman"/>
          <w:sz w:val="24"/>
          <w:szCs w:val="24"/>
          <w:color w:val="1E1E1E"/>
          <w:vertAlign w:val="superscript"/>
        </w:rPr>
        <w:t>®</w:t>
      </w:r>
      <w:r>
        <w:rPr>
          <w:rFonts w:ascii="Times New Roman" w:cs="Times New Roman" w:eastAsia="Times New Roman" w:hAnsi="Times New Roman"/>
          <w:sz w:val="19"/>
          <w:szCs w:val="19"/>
          <w:color w:val="1E1E1E"/>
        </w:rPr>
        <w:t xml:space="preserve"> and Little Burgundy</w:t>
      </w:r>
      <w:r>
        <w:rPr>
          <w:rFonts w:ascii="Times New Roman" w:cs="Times New Roman" w:eastAsia="Times New Roman" w:hAnsi="Times New Roman"/>
          <w:sz w:val="24"/>
          <w:szCs w:val="24"/>
          <w:color w:val="1E1E1E"/>
          <w:vertAlign w:val="superscript"/>
        </w:rPr>
        <w:t>®</w:t>
      </w:r>
      <w:r>
        <w:rPr>
          <w:rFonts w:ascii="Times New Roman" w:cs="Times New Roman" w:eastAsia="Times New Roman" w:hAnsi="Times New Roman"/>
          <w:sz w:val="19"/>
          <w:szCs w:val="19"/>
          <w:color w:val="1E1E1E"/>
        </w:rPr>
        <w:t xml:space="preserve"> retail footwear chains and e-commerce operations; (ii) Schuh Group, comprised of the Schuh retail footwear chain and e-commerce operations;</w:t>
      </w:r>
    </w:p>
    <w:p>
      <w:pPr>
        <w:spacing w:after="0" w:line="1" w:lineRule="exact"/>
        <w:rPr>
          <w:sz w:val="20"/>
          <w:szCs w:val="20"/>
          <w:color w:val="auto"/>
        </w:rPr>
      </w:pPr>
    </w:p>
    <w:p>
      <w:pPr>
        <w:jc w:val="both"/>
        <w:ind w:left="6" w:right="20" w:hanging="6"/>
        <w:spacing w:after="0" w:line="252" w:lineRule="auto"/>
        <w:tabs>
          <w:tab w:leader="none" w:pos="377"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Johnston &amp; Murphy Group, comprised of Johnston &amp; Murphy</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retail operations, e-commerce operations and wholesale distribution of products under the Johnston &amp; Murphy</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and (iv) Genesco Brands Group, comprised of the licensed Dockers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("Dockers") and Levi's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("Levi's") brands, as well as other brands we license for footwear. We also source, design, market and distribute footwear, apparel and accessories at wholesale, primarily under our Johnston &amp; Murphy brand, the licensed Dockers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the licensed Levi's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and other brands that we license for footwear to over 900 retail accounts in the United States, including a number of leading department, discount, and specialty stores as well as e-commerce retailers. Our license with Levi's expires in May 2026 and we are in the process of exiting that business.</w:t>
      </w:r>
    </w:p>
    <w:p>
      <w:pPr>
        <w:spacing w:after="0" w:line="204" w:lineRule="exact"/>
        <w:rPr>
          <w:sz w:val="20"/>
          <w:szCs w:val="20"/>
          <w:color w:val="auto"/>
        </w:rPr>
      </w:pPr>
    </w:p>
    <w:p>
      <w:pPr>
        <w:jc w:val="both"/>
        <w:ind w:left="6" w:right="20"/>
        <w:spacing w:after="0" w:line="278" w:lineRule="auto"/>
        <w:rPr>
          <w:sz w:val="20"/>
          <w:szCs w:val="20"/>
          <w:color w:val="auto"/>
        </w:rPr>
      </w:pPr>
      <w:r>
        <w:rPr>
          <w:rFonts w:ascii="Times New Roman" w:cs="Times New Roman" w:eastAsia="Times New Roman" w:hAnsi="Times New Roman"/>
          <w:sz w:val="20"/>
          <w:szCs w:val="20"/>
          <w:color w:val="1E1E1E"/>
        </w:rPr>
        <w:t>During the second quarter of Fiscal 2026, we signed a multi-year licensing agreement with Kontoor Brands, Inc. ("Kontoor") to design, source market and distribute men's, women's and children's footwear under the Wrangler</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("Wrangler"). We expect to launch the first Wrangler footwear collection under the licensing agreement in the Fall of calendar year 2026.</w:t>
      </w:r>
    </w:p>
    <w:p>
      <w:pPr>
        <w:spacing w:after="0" w:line="161" w:lineRule="exact"/>
        <w:rPr>
          <w:sz w:val="20"/>
          <w:szCs w:val="20"/>
          <w:color w:val="auto"/>
        </w:rPr>
      </w:pPr>
    </w:p>
    <w:p>
      <w:pPr>
        <w:jc w:val="both"/>
        <w:ind w:left="6"/>
        <w:spacing w:after="0" w:line="321" w:lineRule="auto"/>
        <w:rPr>
          <w:sz w:val="20"/>
          <w:szCs w:val="20"/>
          <w:color w:val="auto"/>
        </w:rPr>
      </w:pPr>
      <w:r>
        <w:rPr>
          <w:rFonts w:ascii="Times New Roman" w:cs="Times New Roman" w:eastAsia="Times New Roman" w:hAnsi="Times New Roman"/>
          <w:sz w:val="19"/>
          <w:szCs w:val="19"/>
          <w:color w:val="1E1E1E"/>
        </w:rPr>
        <w:t>During the third quarter of Fiscal 2026, we announced the formation of the Journeys Global Retail Group which unites Journeys, Schuh and Little Burgundy. This alignment creates a powerful opportunity across our retail banners to position the business as the world’s leading style-led, youth footwear retail group, with a sharp focus on the female consumer. The Journeys Global Retail Group will boost our global voice, unlock greater growth potential for brand partners and elevate our world-class talent.</w:t>
      </w:r>
    </w:p>
    <w:p>
      <w:pPr>
        <w:spacing w:after="0" w:line="132" w:lineRule="exact"/>
        <w:rPr>
          <w:sz w:val="20"/>
          <w:szCs w:val="20"/>
          <w:color w:val="auto"/>
        </w:rPr>
      </w:pPr>
    </w:p>
    <w:p>
      <w:pPr>
        <w:jc w:val="both"/>
        <w:ind w:left="6"/>
        <w:spacing w:after="0" w:line="302" w:lineRule="auto"/>
        <w:rPr>
          <w:sz w:val="20"/>
          <w:szCs w:val="20"/>
          <w:color w:val="auto"/>
        </w:rPr>
      </w:pPr>
      <w:r>
        <w:rPr>
          <w:rFonts w:ascii="Times New Roman" w:cs="Times New Roman" w:eastAsia="Times New Roman" w:hAnsi="Times New Roman"/>
          <w:sz w:val="20"/>
          <w:szCs w:val="20"/>
          <w:color w:val="1E1E1E"/>
        </w:rPr>
        <w:t>At January 31, 2026, we operated 1,236 retail footwear, apparel and accessory stores located primarily throughout the United States and Puerto Rico, including 63 footwear stores in Canada and 118 footwear stores in the United Kingdom ("U.K.") and the Republic of Ireland ("ROI"). We plan to open a total of approximately 23 new retail stores and to close approximately 75 retail stores in Fiscal 2027 as part of our ongoing store optimization efforts.</w:t>
      </w:r>
    </w:p>
    <w:p>
      <w:pPr>
        <w:spacing w:after="0" w:line="148" w:lineRule="exact"/>
        <w:rPr>
          <w:sz w:val="20"/>
          <w:szCs w:val="20"/>
          <w:color w:val="auto"/>
        </w:rPr>
      </w:pPr>
    </w:p>
    <w:p>
      <w:pPr>
        <w:jc w:val="both"/>
        <w:ind w:left="6" w:right="20"/>
        <w:spacing w:after="0" w:line="326" w:lineRule="auto"/>
        <w:rPr>
          <w:sz w:val="20"/>
          <w:szCs w:val="20"/>
          <w:color w:val="auto"/>
        </w:rPr>
      </w:pPr>
      <w:r>
        <w:rPr>
          <w:rFonts w:ascii="Times New Roman" w:cs="Times New Roman" w:eastAsia="Times New Roman" w:hAnsi="Times New Roman"/>
          <w:sz w:val="20"/>
          <w:szCs w:val="20"/>
          <w:color w:val="1E1E1E"/>
        </w:rPr>
        <w:t>The following table sets forth certain additional information concerning our retail footwear, apparel and accessory stores during the five most recent fiscal years as we optimize our retail footprint and adapt to changing consumer shopping behavior:</w:t>
      </w:r>
    </w:p>
    <w:p>
      <w:pPr>
        <w:spacing w:after="0" w:line="156"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Fiscal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Fiscal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Fiscal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Fiscal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Fiscal</w:t>
            </w:r>
          </w:p>
        </w:tc>
      </w:tr>
      <w:tr>
        <w:trPr>
          <w:trHeight w:val="255"/>
        </w:trPr>
        <w:tc>
          <w:tcPr>
            <w:tcW w:w="460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2022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r>
      <w:tr>
        <w:trPr>
          <w:trHeight w:val="220"/>
        </w:trPr>
        <w:tc>
          <w:tcPr>
            <w:tcW w:w="460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Retail Stores</w:t>
            </w:r>
          </w:p>
        </w:tc>
        <w:tc>
          <w:tcPr>
            <w:tcW w:w="8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spacing w:after="0"/>
              <w:rPr>
                <w:sz w:val="19"/>
                <w:szCs w:val="19"/>
                <w:color w:val="auto"/>
              </w:rPr>
            </w:pPr>
          </w:p>
        </w:tc>
      </w:tr>
      <w:tr>
        <w:trPr>
          <w:trHeight w:val="230"/>
        </w:trPr>
        <w:tc>
          <w:tcPr>
            <w:tcW w:w="46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Beginning of year</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1,460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1,425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1,410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1,341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1E1E1E"/>
              </w:rPr>
              <w:t>1,278</w:t>
            </w:r>
          </w:p>
        </w:tc>
      </w:tr>
      <w:tr>
        <w:trPr>
          <w:trHeight w:val="230"/>
        </w:trPr>
        <w:tc>
          <w:tcPr>
            <w:tcW w:w="46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Opened during year</w:t>
            </w:r>
          </w:p>
        </w:tc>
        <w:tc>
          <w:tcPr>
            <w:tcW w:w="112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114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112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32</w:t>
            </w:r>
          </w:p>
        </w:tc>
        <w:tc>
          <w:tcPr>
            <w:tcW w:w="114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112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w:t>
            </w:r>
          </w:p>
        </w:tc>
      </w:tr>
      <w:tr>
        <w:trPr>
          <w:trHeight w:val="226"/>
        </w:trPr>
        <w:tc>
          <w:tcPr>
            <w:tcW w:w="4600" w:type="dxa"/>
            <w:vAlign w:val="bottom"/>
            <w:tcBorders>
              <w:bottom w:val="single" w:sz="8" w:color="E4E4E4"/>
            </w:tcBorders>
          </w:tcPr>
          <w:p>
            <w:pPr>
              <w:ind w:left="400"/>
              <w:spacing w:after="0" w:line="226" w:lineRule="exact"/>
              <w:rPr>
                <w:sz w:val="20"/>
                <w:szCs w:val="20"/>
                <w:color w:val="auto"/>
              </w:rPr>
            </w:pPr>
            <w:r>
              <w:rPr>
                <w:rFonts w:ascii="Times New Roman" w:cs="Times New Roman" w:eastAsia="Times New Roman" w:hAnsi="Times New Roman"/>
                <w:sz w:val="20"/>
                <w:szCs w:val="20"/>
                <w:color w:val="1E1E1E"/>
              </w:rPr>
              <w:t>Closed during year</w:t>
            </w:r>
          </w:p>
        </w:tc>
        <w:tc>
          <w:tcPr>
            <w:tcW w:w="100" w:type="dxa"/>
            <w:vAlign w:val="bottom"/>
            <w:tcBorders>
              <w:bottom w:val="single" w:sz="8" w:color="E4E4E4"/>
            </w:tcBorders>
            <w:gridSpan w:val="2"/>
          </w:tcPr>
          <w:p>
            <w:pPr>
              <w:spacing w:after="0"/>
              <w:rPr>
                <w:sz w:val="19"/>
                <w:szCs w:val="19"/>
                <w:color w:val="auto"/>
              </w:rPr>
            </w:pPr>
          </w:p>
        </w:tc>
        <w:tc>
          <w:tcPr>
            <w:tcW w:w="10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(41)</w:t>
            </w:r>
          </w:p>
        </w:tc>
        <w:tc>
          <w:tcPr>
            <w:tcW w:w="120" w:type="dxa"/>
            <w:vAlign w:val="bottom"/>
            <w:tcBorders>
              <w:bottom w:val="single" w:sz="8" w:color="E4E4E4"/>
            </w:tcBorders>
            <w:gridSpan w:val="2"/>
          </w:tcPr>
          <w:p>
            <w:pPr>
              <w:spacing w:after="0"/>
              <w:rPr>
                <w:sz w:val="19"/>
                <w:szCs w:val="19"/>
                <w:color w:val="auto"/>
              </w:rPr>
            </w:pPr>
          </w:p>
        </w:tc>
        <w:tc>
          <w:tcPr>
            <w:tcW w:w="10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(43)</w:t>
            </w:r>
          </w:p>
        </w:tc>
        <w:tc>
          <w:tcPr>
            <w:tcW w:w="100" w:type="dxa"/>
            <w:vAlign w:val="bottom"/>
            <w:tcBorders>
              <w:bottom w:val="single" w:sz="8" w:color="E4E4E4"/>
            </w:tcBorders>
            <w:gridSpan w:val="2"/>
          </w:tcPr>
          <w:p>
            <w:pPr>
              <w:spacing w:after="0"/>
              <w:rPr>
                <w:sz w:val="19"/>
                <w:szCs w:val="19"/>
                <w:color w:val="auto"/>
              </w:rPr>
            </w:pPr>
          </w:p>
        </w:tc>
        <w:tc>
          <w:tcPr>
            <w:tcW w:w="10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(101)</w:t>
            </w:r>
          </w:p>
        </w:tc>
        <w:tc>
          <w:tcPr>
            <w:tcW w:w="120" w:type="dxa"/>
            <w:vAlign w:val="bottom"/>
            <w:tcBorders>
              <w:bottom w:val="single" w:sz="8" w:color="E4E4E4"/>
            </w:tcBorders>
            <w:gridSpan w:val="2"/>
          </w:tcPr>
          <w:p>
            <w:pPr>
              <w:spacing w:after="0"/>
              <w:rPr>
                <w:sz w:val="19"/>
                <w:szCs w:val="19"/>
                <w:color w:val="auto"/>
              </w:rPr>
            </w:pPr>
          </w:p>
        </w:tc>
        <w:tc>
          <w:tcPr>
            <w:tcW w:w="10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(75)</w:t>
            </w:r>
          </w:p>
        </w:tc>
        <w:tc>
          <w:tcPr>
            <w:tcW w:w="100" w:type="dxa"/>
            <w:vAlign w:val="bottom"/>
            <w:tcBorders>
              <w:bottom w:val="single" w:sz="8" w:color="E4E4E4"/>
            </w:tcBorders>
            <w:gridSpan w:val="2"/>
          </w:tcPr>
          <w:p>
            <w:pPr>
              <w:spacing w:after="0"/>
              <w:rPr>
                <w:sz w:val="19"/>
                <w:szCs w:val="19"/>
                <w:color w:val="auto"/>
              </w:rPr>
            </w:pPr>
          </w:p>
        </w:tc>
        <w:tc>
          <w:tcPr>
            <w:tcW w:w="102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(65)</w:t>
            </w:r>
          </w:p>
        </w:tc>
      </w:tr>
      <w:tr>
        <w:trPr>
          <w:trHeight w:val="222"/>
        </w:trPr>
        <w:tc>
          <w:tcPr>
            <w:tcW w:w="4600" w:type="dxa"/>
            <w:vAlign w:val="bottom"/>
            <w:shd w:val="clear" w:color="auto" w:fill="E4E4E4"/>
          </w:tcPr>
          <w:p>
            <w:pPr>
              <w:ind w:left="200"/>
              <w:spacing w:after="0" w:line="223" w:lineRule="exact"/>
              <w:rPr>
                <w:sz w:val="20"/>
                <w:szCs w:val="20"/>
                <w:color w:val="auto"/>
              </w:rPr>
            </w:pPr>
            <w:r>
              <w:rPr>
                <w:rFonts w:ascii="Times New Roman" w:cs="Times New Roman" w:eastAsia="Times New Roman" w:hAnsi="Times New Roman"/>
                <w:sz w:val="20"/>
                <w:szCs w:val="20"/>
                <w:color w:val="1E1E1E"/>
              </w:rPr>
              <w:t>End of year</w:t>
            </w:r>
          </w:p>
        </w:tc>
        <w:tc>
          <w:tcPr>
            <w:tcW w:w="1120" w:type="dxa"/>
            <w:vAlign w:val="bottom"/>
            <w:gridSpan w:val="3"/>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color w:val="1E1E1E"/>
              </w:rPr>
              <w:t>1,425</w:t>
            </w:r>
          </w:p>
        </w:tc>
        <w:tc>
          <w:tcPr>
            <w:tcW w:w="1140" w:type="dxa"/>
            <w:vAlign w:val="bottom"/>
            <w:gridSpan w:val="3"/>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color w:val="1E1E1E"/>
              </w:rPr>
              <w:t>1,410</w:t>
            </w:r>
          </w:p>
        </w:tc>
        <w:tc>
          <w:tcPr>
            <w:tcW w:w="1120" w:type="dxa"/>
            <w:vAlign w:val="bottom"/>
            <w:gridSpan w:val="3"/>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color w:val="1E1E1E"/>
              </w:rPr>
              <w:t>1,341</w:t>
            </w:r>
          </w:p>
        </w:tc>
        <w:tc>
          <w:tcPr>
            <w:tcW w:w="1140" w:type="dxa"/>
            <w:vAlign w:val="bottom"/>
            <w:gridSpan w:val="3"/>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color w:val="1E1E1E"/>
              </w:rPr>
              <w:t>1,278</w:t>
            </w:r>
          </w:p>
        </w:tc>
        <w:tc>
          <w:tcPr>
            <w:tcW w:w="1120" w:type="dxa"/>
            <w:vAlign w:val="bottom"/>
            <w:gridSpan w:val="3"/>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color w:val="1E1E1E"/>
              </w:rPr>
              <w:t>1,236</w:t>
            </w:r>
          </w:p>
        </w:tc>
      </w:tr>
      <w:tr>
        <w:trPr>
          <w:trHeight w:val="20"/>
        </w:trPr>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left="6"/>
        <w:spacing w:after="0" w:line="315" w:lineRule="auto"/>
        <w:rPr>
          <w:sz w:val="20"/>
          <w:szCs w:val="20"/>
          <w:color w:val="auto"/>
        </w:rPr>
      </w:pPr>
      <w:r>
        <w:rPr>
          <w:rFonts w:ascii="Times New Roman" w:cs="Times New Roman" w:eastAsia="Times New Roman" w:hAnsi="Times New Roman"/>
          <w:sz w:val="19"/>
          <w:szCs w:val="19"/>
          <w:color w:val="1E1E1E"/>
        </w:rPr>
        <w:t>Shorthand references to fiscal years (e.g., “Fiscal 2026”) refer to the fiscal year ended on the Saturday nearest January 31st in the named year (e.g., January 31, 2026). Fiscal 2026 and 2025 were 52-week years and Fiscal 2024 was a 53-week year.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w:t>
      </w:r>
    </w:p>
    <w:p>
      <w:pPr>
        <w:sectPr>
          <w:pgSz w:w="12240" w:h="15840" w:orient="portrait"/>
          <w:cols w:equalWidth="0" w:num="1">
            <w:col w:w="10266"/>
          </w:cols>
          <w:pgMar w:left="994"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1E1E1E"/>
        </w:rPr>
        <w:t>4</w:t>
      </w:r>
    </w:p>
    <w:p>
      <w:pPr>
        <w:sectPr>
          <w:pgSz w:w="12240" w:h="15840" w:orient="portrait"/>
          <w:cols w:equalWidth="0" w:num="1">
            <w:col w:w="10266"/>
          </w:cols>
          <w:pgMar w:left="994" w:top="1440" w:right="980" w:bottom="178" w:gutter="0" w:footer="0" w:header="0"/>
          <w:type w:val="continuous"/>
        </w:sectPr>
      </w:pPr>
    </w:p>
    <w:bookmarkStart w:id="11" w:name="page12"/>
    <w:bookmarkEnd w:id="11"/>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Strategy</w:t>
      </w:r>
    </w:p>
    <w:p>
      <w:pPr>
        <w:spacing w:after="0" w:line="2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We strive to build enduring relationships with our target customers, leveraging our deep consumer and market insights. We seek to excite and constantly exceed customer expectations by delivering distinctive products and experiences, using our deep direct-to-consumer expertise across physical and digital channels. The strength of our concepts and the advantages we have built over time have established long-lasting leadership positions that make our footwear businesses outstanding on their own, but what they share through the benefit of synergies makes them even stronger together. We have evolved our strategy to focus more closely around the consumer with our footwear first strategy, comprised of four strategic growth drivers: 1) create and curate winning product, 2) elevate our distinctive retail and consumer brands, 3) deliver exceptional consumer experiences, and 4) build amazing teams. We anticipate continuing to optimize our store footprint in the future, concentrating on locations that we believe will be most productive, as well as closing certain stores, but improving productivity in our existing locations and investing in store remodels, technology and infrastructure to support omni-channel retailing.</w:t>
      </w:r>
    </w:p>
    <w:p>
      <w:pPr>
        <w:spacing w:after="0" w:line="167"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We have made acquisitions, including the acquisitions of the Schuh Group in June 2011, Little Burgundy in December 2015 and Togast in January 2020. We expect to concentrate our efforts on opportunities to leverage our direct-to-consumer capabilities to grow our branded platform and leverage its strategies at the appropriate time going forward.</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More generally, we work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for example, by driving sales of products with lower average selling prices or products which are more widely available in the marketplace and thus more subject to competitive pressures than our typical offering. Moreover, economic factors, such as inflation, supply chain disruptions and increased logistics costs, and any future economic contraction, inflationary trends, and changes in tax and tariff policies, may reduce the consumer’s disposable income or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Segments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Journeys Group</w:t>
      </w:r>
    </w:p>
    <w:p>
      <w:pPr>
        <w:spacing w:after="0" w:line="24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1E1E1E"/>
        </w:rPr>
        <w:t>The Journeys Group accounted for 61% of our net sales in Fiscal 2026. Journeys stores target customers in the 13 to 22 year age group through the use of youth-oriented trends and multi-channel media. Journeys stores carry predominately branded merchandise across a wide range of prices. The Journeys Kidz stores sell footwear and accessories primarily for younger children, toddler age to 12 years old. Little Burgundy stores sell footwear and accessories to fashion-oriented men and women in the 21 to 34 year age group ranging from students to young professionals.</w:t>
      </w:r>
    </w:p>
    <w:p>
      <w:pPr>
        <w:spacing w:after="0" w:line="15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9"/>
          <w:szCs w:val="19"/>
          <w:color w:val="1E1E1E"/>
        </w:rPr>
        <w:t>At January 31, 2026, Journeys Group operated 965 stores, including 741 Journeys stores, 194 Journeys Kidz stores and 30 Little Burgundy stores averaging approximately 2,100 square feet, located primarily in malls and factory outlet centers throughout the United States, Puerto Rico and Canada, selling footwear and accessories for children, teenagers and young adults. Journeys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w:t>
      </w:r>
    </w:p>
    <w:p>
      <w:pPr>
        <w:sectPr>
          <w:pgSz w:w="12240" w:h="15840" w:orient="portrait"/>
          <w:cols w:equalWidth="0" w:num="1">
            <w:col w:w="10260"/>
          </w:cols>
          <w:pgMar w:left="1000" w:top="1440" w:right="980" w:bottom="178" w:gutter="0" w:footer="0" w:header="0"/>
          <w:type w:val="continuous"/>
        </w:sectPr>
      </w:pPr>
    </w:p>
    <w:bookmarkStart w:id="12" w:name="page13"/>
    <w:bookmarkEnd w:id="12"/>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Group's e-commerce websites include the following: journeys.com, journeyskidz.com, journeys.ca and littleburgundyshoes.com.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Fiscal 2026, the Journeys Group closed a net of 41 stores.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Schuh Group</w:t>
      </w:r>
    </w:p>
    <w:p>
      <w:pPr>
        <w:spacing w:after="0" w:line="24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1E1E1E"/>
        </w:rPr>
        <w:t>The Schuh Group accounted for 21% of our net sales in Fiscal 2026. Schuh Group stores target teenagers and young adults in the 16 to 24 year age group, selling a broad range of branded casual and athletic footwear. At January 31, 2026, Schuh Group operated 118 Schuh stores, averaging approximately 4,950 square feet, which include both street-level and mall locations in the U.K. and the ROI. Schuh Group's e-commerce websites are schuh.co.uk, schuh.ie and schuh.eu. In Fiscal 2026, Schuh Group closed a net of six stores.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Johnston &amp; Murphy Group</w:t>
      </w:r>
    </w:p>
    <w:p>
      <w:pPr>
        <w:spacing w:after="0" w:line="241"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20"/>
          <w:szCs w:val="20"/>
          <w:color w:val="1E1E1E"/>
        </w:rPr>
        <w:t>The Johnston &amp; Murphy Group accounted for 13% of our net sales in Fiscal 2026. All sales of Johnston &amp; Murphy Group's retail and wholesale businesses are of the Genesco-owned Johnston &amp; Murphy brand.</w:t>
      </w:r>
    </w:p>
    <w:p>
      <w:pPr>
        <w:spacing w:after="0" w:line="1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Johnston &amp; Murphy Retail Operations. At January 31, 2026, Johnston &amp; Murphy operated 153 retail shops and factory stores in the United States averaging approximately 1,950 square feet and selling footwear, apparel and accessories primarily for men in the 25 to 55 year age group. Johnston &amp; Murphy retail shops are located primarily in higher-end malls and airports nationwide and sell a broad range of men’s casual and dress footwear, apparel and accessories. Women’s footwear, apparel and accessories are sold in select Johnston &amp; Murphy locations. We also sell Johnston &amp; Murphy products directly to consumers through the johnstonmurphy.com e-commerce website. Footwear accounted for 52% of Johnston &amp; Murphy retail sales in Fiscal 2026, with the balance consisting primarily of apparel and accessories. Johnston &amp; Murphy Group opened a net of five shops and factory stores, including three shops and two factory stores, in Fiscal 2026.</w:t>
      </w:r>
    </w:p>
    <w:p>
      <w:pPr>
        <w:spacing w:after="0" w:line="16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Johnston &amp; Murphy Wholesale Operations. Johnston &amp; Murphy men’s and boy's footwear, apparel and accessories, along with women's footwear are sold at wholesale, primarily to better department stores, independent specialty stores and e-commerce retailers. Johnston &amp; Murphy’s wholesale customers offer the brand’s footwear for dress, dress casual, and casual occasions, with the majority of styles offered in these channels selling from $100 to $195.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Genesco Brands Group</w:t>
      </w:r>
    </w:p>
    <w:p>
      <w:pPr>
        <w:spacing w:after="0" w:line="2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The Genesco Brands Group segment accounted for 5% of our net sales in Fiscal 2026. Genesco Brands Group designs and sources licensed footwear under the Wrangler, Dockers and Levi's brand names, among others. In the second quarter of Fiscal 2026, we signed a licensing agreement with Kontoor to design, source, market and distribute men's, women's and children's footwear under the Wrangler brand. The Wrangler product will be distributed through wholesale channels, including western specialty, farm and ranch, outdoor, sporting goods and premium family footwear retailers with suggested retail prices ranging from $50 to $180. The products will also be available through wrangler.com. During Fiscal 2026, Dockers footwear was marketed to men aged 30 to 55 through many of the same national retail chains that carry Dockers pants and sportswear and in department and specialty stores across the country. Suggested retail prices for Dockers footwear generally range from $40 to $90. Our license with Levi's expires in May 2026 and we are in the process of exiting that business. In the fourth quarter of Fiscal 2022, we signed a licensing agreement with STARTER to be their exclusive U.S. and Canadian footwear licensee for athletic footwear. We design and source the STARTER brand footwear for men, women and children with suggested retail prices ranging from $49 to $120. Genesco Brands Group e-commerce website is nashvilleshoewarehouse.com.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Manufacturing and Sourcing</w:t>
      </w:r>
    </w:p>
    <w:p>
      <w:pPr>
        <w:spacing w:after="0" w:line="247"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We rely on independent third-party manufacturers for production of our footwear products sold at Johnston &amp; Murphy Group and Genesco Brands Group. We source footwear and accessory products from foreign manufacturers located in Bangladesh,</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w:t>
      </w:r>
    </w:p>
    <w:p>
      <w:pPr>
        <w:sectPr>
          <w:pgSz w:w="12240" w:h="15840" w:orient="portrait"/>
          <w:cols w:equalWidth="0" w:num="1">
            <w:col w:w="10260"/>
          </w:cols>
          <w:pgMar w:left="1000" w:top="1440" w:right="980" w:bottom="178" w:gutter="0" w:footer="0" w:header="0"/>
          <w:type w:val="continuous"/>
        </w:sectPr>
      </w:pPr>
    </w:p>
    <w:bookmarkStart w:id="13" w:name="page14"/>
    <w:bookmarkEnd w:id="13"/>
    <w:p>
      <w:pPr>
        <w:spacing w:after="0" w:line="16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Brazil, Cambodia, China, India, Italy, Pakistan, Peru, Portugal, Sri Lanka, Turkey and Vietnam. Our Journeys Group and Schuh Group businesses sell primarily branded products from third parties who source primarily overseas.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Competition</w:t>
      </w:r>
    </w:p>
    <w:p>
      <w:pPr>
        <w:spacing w:after="0" w:line="2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Competition is intense in the footwear, apparel and accessory industries. Our retail footwear, apparel and accessory competitors range from small, locally owned stores to regional and national department stores, discount stores, specialty chains, our vendors with their own direct-to-consumer channels and online retailers. We also compete with hundreds of footwear wholesale operations in the United States and throughout the world, most of which are relatively small, specialized operations, but some of which are 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Licenses</w:t>
      </w:r>
    </w:p>
    <w:p>
      <w:pPr>
        <w:spacing w:after="0" w:line="2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1E1E1E"/>
        </w:rPr>
        <w:t>We own our Johnston &amp; Murphy</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and own or license the trade names of our retail concepts either directly or through wholly-owned subsidiaries. The Wrangler</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footwear line, which will be introduced in the fall of calendar year 2026, will be sold under a license agreement granting us the exclusive right to sell men's, women's and children's footwear under the trademark in the U.S. and its territories and possessions, including Puerto Rico, and Canada. The Wrangler license agreement expires December 31, 2030, with a renewal term through December 31, 2035 if mutually agreed upon by April 1, 2029. In the first quarter of Fiscal 2027, we signed a new license agreement with Authentic Brands Group ("ABG") for the Dockers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footwear line which was first introduced in Fiscal 1993. The Dockers brand was previously owned by Levi Strauss &amp; Co. Under the new license agreement, ABG is granting us the exclusive right to sell men’s, women's and children's footwear under the trademark in the U.S. and its territories and possessions, including Puerto Rico, and Canada. The new Dockers license agreement expires December 31, 2031. The STARTER license agreement expires December 31, 2026. Our license agreement with Levi Strauss &amp; Co. expires May 30, 2026 and we are in the process of exiting that business. We license certain other footwear brands, mostly in foreign markets. License royalty income was not material in Fiscal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Wholesale Backlog</w:t>
      </w:r>
    </w:p>
    <w:p>
      <w:pPr>
        <w:spacing w:after="0" w:line="24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1E1E1E"/>
        </w:rPr>
        <w:t>Most of the orders in our wholesale divisions are for delivery within 150 days. Historically, most of our business has been at-once, and as a result, the backlog at any one time has not necessarily been indicative of future sales. As of February 28, 2026, our wholesale operations had a backlog of orders, including unconfirmed customer purchase orders, amounting to approximately $55.9 million, compared to approximately $57.1 million as of March 1, 2025. The backlog is somewhat seasonal, reaching a peak in the spring.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Corporate Responsibility Initiatives</w:t>
      </w:r>
    </w:p>
    <w:p>
      <w:pPr>
        <w:spacing w:after="0" w:line="24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As a leading retailer and wholesaler of branded footwear, apparel and accessories, we strive to make a positive impact on our industry, our communities and our planet by committing to transparent, socially conscious, and sustainable business practices. We believe that our practices should serve our shareholders, employees, customers and business partners.</w:t>
      </w:r>
    </w:p>
    <w:p>
      <w:pPr>
        <w:spacing w:after="0" w:line="14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During Fiscal 2026, we completed our fourth measurements or baselines for our greenhouse gas emissions. We issued our second corporate responsibility report in Fiscal 2026 which can be found at www.genesco.com. Our website address is provided as an inactive textual reference only. The information provided on our website is not a part of this report, and therefore is not incorporated herein by reference.</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w:t>
      </w:r>
    </w:p>
    <w:p>
      <w:pPr>
        <w:sectPr>
          <w:pgSz w:w="12240" w:h="15840" w:orient="portrait"/>
          <w:cols w:equalWidth="0" w:num="1">
            <w:col w:w="10260"/>
          </w:cols>
          <w:pgMar w:left="1000" w:top="1440" w:right="980" w:bottom="178" w:gutter="0" w:footer="0" w:header="0"/>
          <w:type w:val="continuous"/>
        </w:sectPr>
      </w:pPr>
    </w:p>
    <w:bookmarkStart w:id="14" w:name="page15"/>
    <w:bookmarkEnd w:id="14"/>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Environmental</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We are committed to reducing our impact on the environment by focusing on sustainability initiatives in our operations and throughout our supply chain and product lifecycle. To this end, we belong to the Leather Working Group ("LWG"). The LWG is a not-for-profit organization responsible for the world's leading environmental certification for the leather manufacturing industry. As a member of the LWG, we apply holistic practices in the supply chain for leather manufacturing for our third-party manufacturers.</w:t>
      </w:r>
    </w:p>
    <w:p>
      <w:pPr>
        <w:spacing w:after="0" w:line="15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We also monitor chemicals and substances in our supply chain for compliance with legal and regulatory requirements consistent with our Environmental Policy and expect our contracted factories and suppliers to take a proactive stance in eliminating any hazardous chemicals or substances in the manufacture of our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Human Capital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Our Employees</w:t>
      </w:r>
    </w:p>
    <w:p>
      <w:pPr>
        <w:spacing w:after="0" w:line="245"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We had approximately 16,000 employees as of January 31, 2026, with approximately 13,000 employed in the United States and Canada, and approximately 3,000 in the U.K. and the ROI. The majority of our workforce consists of retail-based, customer-facing employees with approximately 70% part-time and 30% full-time as of January 31, 2026.</w:t>
      </w:r>
    </w:p>
    <w:p>
      <w:pPr>
        <w:spacing w:after="0" w:line="14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We consider our employees to be core to our success. Our values include treating our customers and each other with integrity, trust and respect, and creating an unrivaled home for talent to grow and succeed.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Workplace Health &amp; Safety</w:t>
      </w:r>
    </w:p>
    <w:p>
      <w:pPr>
        <w:spacing w:after="0" w:line="24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1E1E1E"/>
        </w:rPr>
        <w:t>We conduct health and safety training with our retail and distribution employees to build knowledge and awareness of workplace conditions and hazards according to local, regional and national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Benefits and Compensation</w:t>
      </w:r>
    </w:p>
    <w:p>
      <w:pPr>
        <w:spacing w:after="0" w:line="24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We offer a comprehensive benefits package designed to meet the diverse needs of our employees and their families. This package includes many benefits dedicated to our employees’ physical, mental and financial well-being.</w:t>
      </w:r>
    </w:p>
    <w:p>
      <w:pPr>
        <w:spacing w:after="0" w:line="129"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We also provide valuable benefits based on the unique needs and interests of each individual employee such as domestic partner allowances, paid parental leave, family building benefits, education support, paid time for community service, financial assistance with emergencies, scholarship opportunities, matching gift contributions and a generous product discount.</w:t>
      </w:r>
    </w:p>
    <w:p>
      <w:pPr>
        <w:spacing w:after="0" w:line="14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Our compensation programs are designed to attract, retain and motivate employees. We provide short-term and long-term incentives to encourage and reward superior performance and also drive long-term shareholder value. We engage a nationally recognized outside compensation consulting firm to independently evaluate the effectiveness of our executive compensation programs and to provide benchmarking against our peers within the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Empowering Our People</w:t>
      </w:r>
    </w:p>
    <w:p>
      <w:pPr>
        <w:spacing w:after="0" w:line="24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We are committed to continually strengthen our talent and to make a meaningful difference for our employees, our customers, and our communities.</w:t>
      </w:r>
    </w:p>
    <w:p>
      <w:pPr>
        <w:spacing w:after="0" w:line="12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We have enhanced our commitment to our people by building on our solid foundation. Through employee engagement and defined vision, we are focusing our attention on areas where we can make the most impact – our talent, our business practices and our communities. We have identified opportunities that will advance our efforts across our portfolio of brands, including</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w:t>
      </w:r>
    </w:p>
    <w:p>
      <w:pPr>
        <w:sectPr>
          <w:pgSz w:w="12240" w:h="15840" w:orient="portrait"/>
          <w:cols w:equalWidth="0" w:num="1">
            <w:col w:w="10260"/>
          </w:cols>
          <w:pgMar w:left="1000" w:top="1440" w:right="980" w:bottom="178" w:gutter="0" w:footer="0" w:header="0"/>
          <w:type w:val="continuous"/>
        </w:sectPr>
      </w:pPr>
    </w:p>
    <w:bookmarkStart w:id="15" w:name="page16"/>
    <w:bookmarkEnd w:id="15"/>
    <w:p>
      <w:pPr>
        <w:spacing w:after="0" w:line="16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expanded training and development programs, compensation studies, the launch of business resource groups and ongoing engagement through communication and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Employee Engagement</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We conduct annual employee engagement surveys as well as other targeted surveys with various segments of our workforce to measure important aspects of the employee experience. The survey measures employee sentiment on a variety of topics including leadership, management, alignment, involvement, respect in the workplace, learning and development, social connection and work life balance, among others. The survey creates the opportunity to establish two-way communication and gives employees a direct voice in influencing change. Our results indicate high participation rates and strong engagement scores. We remain committed to listening to and learning from our employees.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Training and Development</w:t>
      </w:r>
    </w:p>
    <w:p>
      <w:pPr>
        <w:spacing w:after="0" w:line="25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We provide employees with the opportunity to grow their careers and be rewarded for their contributions. We have a strong promote from within culture and target training and development that is relevant to an employee’s current role as well as future roles to which they aspire.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Social Capital</w:t>
      </w:r>
    </w:p>
    <w:p>
      <w:pPr>
        <w:spacing w:after="0" w:line="31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0"/>
          <w:szCs w:val="20"/>
          <w:color w:val="1E1E1E"/>
        </w:rPr>
        <w:t>We are committed to responsible sourcing practices in our supply chain. We depend on third-party vendors to produce the products we sell but strive to work only with those vendors who share our commitment to responsible practices, especially in their relationships with employees and their stewardship of the environment. Our supply chain and ethical practices policies are among the ways we seek to implement this commitment, including our Vendor Code of Conduct policy.</w:t>
      </w:r>
    </w:p>
    <w:p>
      <w:pPr>
        <w:spacing w:after="0" w:line="2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In 2025, we updated our comprehensive human rights policy with its commitment to respecting human rights and belief in fundamental standards that support our commitment to treat our employees, customers and business partners with integrity, trust and respect. Our human rights policy addresses our internal business ethics and code of conduct policies and principles embedded in our business operations, and is guided by the United Nations Guiding Principles on Business and Human Rights, the UN Universal Declaration of Human Rights, and the Organization for Economic Cooperation and Development ("OECD") Guidelines for Multi National Enterprises.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Information Security and Cybersecurity</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As part of our retail and wholesale activities, marketing campaigns, customer relationship efforts and use of some third-party partners, we may handle and process certain non-public personal information that customers provide to purchase products, enroll in promotional or marketing programs, register on websites, or otherwise communicate to us in the course of providing support. This may include phone numbers, email addresses, physical addresses, contact preferences, personal information stored on electronic devices, and certain payment related information, including credit and debit card data. We have removed the transmission, processing, and storage of credit card data from our environment in North America through the use of hardware based end-to-end encryption along with tokenization.</w:t>
      </w:r>
    </w:p>
    <w:p>
      <w:pPr>
        <w:spacing w:after="0" w:line="159"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We gather and retain information about our employees only as necessary to fulfill our responsibilities as an employer. We may share information about such persons with benefit and/or employee services vendors that assist with certain aspects of our human resources offering.</w:t>
      </w:r>
    </w:p>
    <w:p>
      <w:pPr>
        <w:spacing w:after="0" w:line="142"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9"/>
          <w:szCs w:val="19"/>
          <w:color w:val="1E1E1E"/>
        </w:rPr>
        <w:t>We maintain controls and safeguards to mitigate the risks to our systems and to protect this information and have made significant investments to improve our information security and privacy posture and keep pace with the ever changing and evolving risks to our systems and our information. For example, we have implemented hardware based end-to-end encryption with tokenization,</w:t>
      </w:r>
    </w:p>
    <w:p>
      <w:pPr>
        <w:sectPr>
          <w:pgSz w:w="12240" w:h="15840" w:orient="portrait"/>
          <w:cols w:equalWidth="0" w:num="1">
            <w:col w:w="10260"/>
          </w:cols>
          <w:pgMar w:left="1000" w:top="1440" w:right="980" w:bottom="178"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9</w:t>
      </w:r>
    </w:p>
    <w:p>
      <w:pPr>
        <w:sectPr>
          <w:pgSz w:w="12240" w:h="15840" w:orient="portrait"/>
          <w:cols w:equalWidth="0" w:num="1">
            <w:col w:w="10260"/>
          </w:cols>
          <w:pgMar w:left="1000" w:top="1440" w:right="980" w:bottom="178" w:gutter="0" w:footer="0" w:header="0"/>
          <w:type w:val="continuous"/>
        </w:sectPr>
      </w:pPr>
    </w:p>
    <w:bookmarkStart w:id="16" w:name="page17"/>
    <w:bookmarkEnd w:id="16"/>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multi-factor authentication protocols, next generation firewalls, comprehensive cloud email security and endpoint protection, detection, and response software, conducted continuous risk assessments, and established data security breach preparedness and response plans. We also promote security awareness with our employees and require all endpoint users to successfully complete our annual security awareness training.</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In addition to information security, we must comply with increasingly complex and demanding regulatory standards enacted to protect the privacy of business and personal data in the United States, Europe and other jurisdictions. For example, the European Union adopted the General Data Protection Regulation (the “GDPR”), which went into effect on May 25, 2018; and California enacted the California Consumer Privacy Act (the "CCPA") which went into effect on January 1, 2020, and additional jurisdictions are considering proposing or adopting similar regulations. These privacy laws impose additional requirements on companies regarding the handling of personal data and provide certain individual privacy rights to persons whose data is stored or processed.</w:t>
      </w:r>
    </w:p>
    <w:p>
      <w:pPr>
        <w:spacing w:after="0" w:line="159" w:lineRule="exact"/>
        <w:rPr>
          <w:sz w:val="20"/>
          <w:szCs w:val="20"/>
          <w:color w:val="auto"/>
        </w:rPr>
      </w:pPr>
    </w:p>
    <w:p>
      <w:pPr>
        <w:jc w:val="both"/>
        <w:ind w:right="20"/>
        <w:spacing w:after="0" w:line="356" w:lineRule="auto"/>
        <w:rPr>
          <w:sz w:val="20"/>
          <w:szCs w:val="20"/>
          <w:color w:val="auto"/>
        </w:rPr>
      </w:pPr>
      <w:r>
        <w:rPr>
          <w:rFonts w:ascii="Times New Roman" w:cs="Times New Roman" w:eastAsia="Times New Roman" w:hAnsi="Times New Roman"/>
          <w:sz w:val="19"/>
          <w:szCs w:val="19"/>
          <w:color w:val="1E1E1E"/>
        </w:rPr>
        <w:t>We have implemented processes and systems to allow for the expedient response and resolution of data subject to access requests in accordance with existing privacy laws and regulations that are applicable to our business, including GDPR and CCPA.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Community</w:t>
      </w:r>
    </w:p>
    <w:p>
      <w:pPr>
        <w:spacing w:after="0" w:line="24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1E1E1E"/>
        </w:rPr>
        <w:t xml:space="preserve">Building better communities is part of our everyday values. Our community outreach initiatives support underserved communities including our unique signature community outreach programs </w:t>
      </w:r>
      <w:r>
        <w:rPr>
          <w:rFonts w:ascii="Times New Roman" w:cs="Times New Roman" w:eastAsia="Times New Roman" w:hAnsi="Times New Roman"/>
          <w:sz w:val="20"/>
          <w:szCs w:val="20"/>
          <w:i w:val="1"/>
          <w:iCs w:val="1"/>
          <w:color w:val="1E1E1E"/>
        </w:rPr>
        <w:t>Cold Feet, Warm Shoes</w:t>
      </w:r>
      <w:r>
        <w:rPr>
          <w:rFonts w:ascii="Times New Roman" w:cs="Times New Roman" w:eastAsia="Times New Roman" w:hAnsi="Times New Roman"/>
          <w:sz w:val="20"/>
          <w:szCs w:val="20"/>
          <w:color w:val="1E1E1E"/>
        </w:rPr>
        <w:t xml:space="preserve">, the </w:t>
      </w:r>
      <w:r>
        <w:rPr>
          <w:rFonts w:ascii="Times New Roman" w:cs="Times New Roman" w:eastAsia="Times New Roman" w:hAnsi="Times New Roman"/>
          <w:sz w:val="20"/>
          <w:szCs w:val="20"/>
          <w:i w:val="1"/>
          <w:iCs w:val="1"/>
          <w:color w:val="1E1E1E"/>
        </w:rPr>
        <w:t>Make a Difference Charity Golf</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Tournament </w:t>
      </w:r>
      <w:r>
        <w:rPr>
          <w:rFonts w:ascii="Times New Roman" w:cs="Times New Roman" w:eastAsia="Times New Roman" w:hAnsi="Times New Roman"/>
          <w:sz w:val="20"/>
          <w:szCs w:val="20"/>
          <w:color w:val="1E1E1E"/>
        </w:rPr>
        <w:t>benefitting United Way and Schuh’s</w:t>
      </w:r>
      <w:r>
        <w:rPr>
          <w:rFonts w:ascii="Times New Roman" w:cs="Times New Roman" w:eastAsia="Times New Roman" w:hAnsi="Times New Roman"/>
          <w:sz w:val="20"/>
          <w:szCs w:val="20"/>
          <w:i w:val="1"/>
          <w:iCs w:val="1"/>
          <w:color w:val="1E1E1E"/>
        </w:rPr>
        <w:t xml:space="preserve"> Do More Good </w:t>
      </w:r>
      <w:r>
        <w:rPr>
          <w:rFonts w:ascii="Times New Roman" w:cs="Times New Roman" w:eastAsia="Times New Roman" w:hAnsi="Times New Roman"/>
          <w:sz w:val="20"/>
          <w:szCs w:val="20"/>
          <w:color w:val="1E1E1E"/>
        </w:rPr>
        <w:t>program. In addition, the Company and our employees engage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through community sponsorship and leadership, including actively supporting the United Way of Greater Nashville’s annual campaign, among other initiatives.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Governance</w:t>
      </w:r>
    </w:p>
    <w:p>
      <w:pPr>
        <w:spacing w:after="0" w:line="24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We have corporate governance mechanisms in place, along with internal controls over our financial reporting framework. We also have Enterprise Risk Management and Ethics and Compliance program frameworks, with annual updates provided to committees of our board of directors ("Board of Directors" or "Board") and our Board. To drive our efforts, we have established a corporate responsibility management and oversight framework under the direction of our Senior Vice President, Corporate Secretary and General Counsel. A subcommittee of the Nominating and Governance Committee of our Board oversees these efforts.</w:t>
      </w:r>
    </w:p>
    <w:p>
      <w:pPr>
        <w:spacing w:after="0" w:line="162"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We are committed to bringing a wide range of skills, expertise and perspectives to our Board, which is comprised of 67% of members who are diverse in either gender and/or ethnicity as of January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Seasonality</w:t>
      </w:r>
    </w:p>
    <w:p>
      <w:pPr>
        <w:spacing w:after="0" w:line="25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Our business is seasonal with our investment in working capital normally reaching peaks in the spring and fall of each year and a significant portion of our net sales and operating income generated during the fourth quarter. The wholesale backlog is somewhat seasonal, reaching a peak in the spring. We maintain in-stock programs for selected product lines with anticipated high-volume sales.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Environmental Matters</w:t>
      </w:r>
    </w:p>
    <w:p>
      <w:pPr>
        <w:spacing w:after="0" w:line="24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9"/>
          <w:szCs w:val="19"/>
          <w:color w:val="1E1E1E"/>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w:t>
      </w:r>
    </w:p>
    <w:p>
      <w:pPr>
        <w:sectPr>
          <w:pgSz w:w="12240" w:h="15840" w:orient="portrait"/>
          <w:cols w:equalWidth="0" w:num="1">
            <w:col w:w="10260"/>
          </w:cols>
          <w:pgMar w:left="1000" w:top="1440" w:right="980" w:bottom="178" w:gutter="0" w:footer="0" w:header="0"/>
        </w:sect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10</w:t>
      </w:r>
    </w:p>
    <w:p>
      <w:pPr>
        <w:sectPr>
          <w:pgSz w:w="12240" w:h="15840" w:orient="portrait"/>
          <w:cols w:equalWidth="0" w:num="1">
            <w:col w:w="10260"/>
          </w:cols>
          <w:pgMar w:left="1000" w:top="1440" w:right="980" w:bottom="178" w:gutter="0" w:footer="0" w:header="0"/>
          <w:type w:val="continuous"/>
        </w:sectPr>
      </w:pPr>
    </w:p>
    <w:bookmarkStart w:id="17" w:name="page18"/>
    <w:bookmarkEnd w:id="17"/>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remediation of environmental conditions and, in the case of governmental agencies, to impose fines and penalties. Several of the facilities owned by us in the past were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15 to the Consolidated Financial Statements included in Item 8, "Financial Statements and Supplementary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Information About Our Executive Officers</w:t>
      </w:r>
    </w:p>
    <w:p>
      <w:pPr>
        <w:spacing w:after="0" w:line="24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5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1E1E1E"/>
        </w:rPr>
        <w:t xml:space="preserve">Mimi Eckel Vaughn, </w:t>
      </w:r>
      <w:r>
        <w:rPr>
          <w:rFonts w:ascii="Times New Roman" w:cs="Times New Roman" w:eastAsia="Times New Roman" w:hAnsi="Times New Roman"/>
          <w:sz w:val="20"/>
          <w:szCs w:val="20"/>
          <w:color w:val="1E1E1E"/>
        </w:rPr>
        <w:t>59,</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i w:val="1"/>
          <w:iCs w:val="1"/>
          <w:color w:val="1E1E1E"/>
        </w:rPr>
        <w:t>Board Chair, President, Interim Chief Financial Officer and Chief Executive Officer.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Ms. Vaughn</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joined the Company in September 2003 as vice president of 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her replacement was appointed in June 2019. In October 2019, Ms. Vaughn was appointed to become president and a member of the Board of Directors. Ms. Vaughn was appointed chief executive officer of the Company on February 2, 2020. In July 2020, Ms. Vaughn was appointed Board chair of the Company. As of March 6, 2025, Ms. Vaughn became the Company's interim chief financial officer until the Company names a successor.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b w:val="1"/>
          <w:bCs w:val="1"/>
          <w:color w:val="1E1E1E"/>
        </w:rPr>
        <w:t xml:space="preserve">Parag D. Desai, </w:t>
      </w:r>
      <w:r>
        <w:rPr>
          <w:rFonts w:ascii="Times New Roman" w:cs="Times New Roman" w:eastAsia="Times New Roman" w:hAnsi="Times New Roman"/>
          <w:sz w:val="20"/>
          <w:szCs w:val="20"/>
          <w:color w:val="1E1E1E"/>
        </w:rPr>
        <w:t>51,</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i w:val="1"/>
          <w:iCs w:val="1"/>
          <w:color w:val="1E1E1E"/>
        </w:rPr>
        <w:t>Senior Vice President - Chief Strategy and Digital Officer.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Mr. Desai joined the Company in 2014 as senior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vice president of strategy and shared services. He was named chief strategy and digital officer in May 2021. Prior to joining the Company, Mr. Desai spent 14 years with McKinsey and Company, including seven years as a partner. Previously, Mr. Desai also held business development and technology positions at Outpace Systems and Booz Allen &amp; Hamilton.</w:t>
      </w:r>
    </w:p>
    <w:p>
      <w:pPr>
        <w:spacing w:after="0" w:line="147"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b w:val="1"/>
          <w:bCs w:val="1"/>
          <w:color w:val="1E1E1E"/>
        </w:rPr>
        <w:t xml:space="preserve">Cassandra E. Harris, 53, </w:t>
      </w:r>
      <w:r>
        <w:rPr>
          <w:rFonts w:ascii="Times New Roman" w:cs="Times New Roman" w:eastAsia="Times New Roman" w:hAnsi="Times New Roman"/>
          <w:sz w:val="20"/>
          <w:szCs w:val="20"/>
          <w:i w:val="1"/>
          <w:iCs w:val="1"/>
          <w:color w:val="1E1E1E"/>
        </w:rPr>
        <w:t>Principal Accounting Officer.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Ms. Harris joined the Company in October 2024 as senior vice president</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of finance and chief financial officer. She was named the Company's principal accounting officer in December 2024. As previously announced, Ms. Harris resigned as senior vice president - finance and chief financial officer, effective March 6, 2026. Ms. Harris will continue to serve as the Company's principal accounting officer through the filing of this report. Ms. Harris has an extensive background of chief financial officer and finance leadership roles in retail and consumer brands companies. Prior to joining Genesco, she most recently served as chief financial officer for Artisan Design Group from 2023 to 2024. Previously, Ms. Harris was chief financial officer and chief operating officer of publicly-held Tupperware Brands Corporation from 2019 to 2022. Prior to joining Tupperware Brands Corporation, Ms. Harris spent almost 10 years at VF Corporation from 2008 to 2017 where she served in multiple senior leadership roles.</w:t>
      </w:r>
    </w:p>
    <w:p>
      <w:pPr>
        <w:spacing w:after="0" w:line="16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b w:val="1"/>
          <w:bCs w:val="1"/>
          <w:color w:val="1E1E1E"/>
        </w:rPr>
        <w:t>Scott E. Becker</w:t>
      </w:r>
      <w:r>
        <w:rPr>
          <w:rFonts w:ascii="Times New Roman" w:cs="Times New Roman" w:eastAsia="Times New Roman" w:hAnsi="Times New Roman"/>
          <w:sz w:val="20"/>
          <w:szCs w:val="20"/>
          <w:color w:val="1E1E1E"/>
        </w:rPr>
        <w:t>, 58,</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i w:val="1"/>
          <w:iCs w:val="1"/>
          <w:color w:val="1E1E1E"/>
        </w:rPr>
        <w:t>Senior Vice President - General Counsel and Corporate Secretary</w:t>
      </w:r>
      <w:r>
        <w:rPr>
          <w:rFonts w:ascii="Times New Roman" w:cs="Times New Roman" w:eastAsia="Times New Roman" w:hAnsi="Times New Roman"/>
          <w:sz w:val="20"/>
          <w:szCs w:val="20"/>
          <w:color w:val="1E1E1E"/>
        </w:rPr>
        <w:t>. In October 2019, Mr. Becker joined the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Company as senior vice 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 From 2006 to 2009, he served as Nissan’s general counsel, corporate secretary and vice president, legal and government affairs. Prior to joining Nissan, Mr. Becker served in various legal roles at Sears Holdings Corporation. Mr. Becker began his legal career with several Chicago area law firms.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11</w:t>
      </w:r>
    </w:p>
    <w:p>
      <w:pPr>
        <w:sectPr>
          <w:pgSz w:w="12240" w:h="15840" w:orient="portrait"/>
          <w:cols w:equalWidth="0" w:num="1">
            <w:col w:w="10260"/>
          </w:cols>
          <w:pgMar w:left="1000" w:top="1440" w:right="980" w:bottom="178" w:gutter="0" w:footer="0" w:header="0"/>
          <w:type w:val="continuous"/>
        </w:sectPr>
      </w:pPr>
    </w:p>
    <w:bookmarkStart w:id="18" w:name="page19"/>
    <w:bookmarkEnd w:id="18"/>
    <w:p>
      <w:pPr>
        <w:spacing w:after="0" w:line="1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b w:val="1"/>
          <w:bCs w:val="1"/>
          <w:color w:val="1E1E1E"/>
        </w:rPr>
        <w:t>Daniel E. Ewoldsen</w:t>
      </w:r>
      <w:r>
        <w:rPr>
          <w:rFonts w:ascii="Times New Roman" w:cs="Times New Roman" w:eastAsia="Times New Roman" w:hAnsi="Times New Roman"/>
          <w:sz w:val="20"/>
          <w:szCs w:val="20"/>
          <w:color w:val="1E1E1E"/>
        </w:rPr>
        <w:t>, 56,</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i w:val="1"/>
          <w:iCs w:val="1"/>
          <w:color w:val="1E1E1E"/>
        </w:rPr>
        <w:t>Senior Vice President</w:t>
      </w:r>
      <w:r>
        <w:rPr>
          <w:rFonts w:ascii="Times New Roman" w:cs="Times New Roman" w:eastAsia="Times New Roman" w:hAnsi="Times New Roman"/>
          <w:sz w:val="20"/>
          <w:szCs w:val="20"/>
          <w:color w:val="1E1E1E"/>
        </w:rPr>
        <w:t>. Mr. Ewoldsen is a 22-year Johnston &amp; Murphy veteran. He joined Johnston &amp;</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Murphy in 2003 as vice president store operations and was later promoted to vice president store and consumer sales in 2006. He was named executive vice president, Johnston &amp; Murphy Retail and E-Commerce in 2013, president of Johnston &amp; Murphy Group in February 2018 and named senior vice president of Genesco in July 2019. Prior to joining Genesco, Mr. Ewoldsen was with Wilsons Leather from 1996 to 2002 serving in roles with increasing responsibilities, including vice president of stores for the El Portal division.</w:t>
      </w:r>
    </w:p>
    <w:p>
      <w:pPr>
        <w:spacing w:after="0" w:line="1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b w:val="1"/>
          <w:bCs w:val="1"/>
          <w:color w:val="1E1E1E"/>
        </w:rPr>
        <w:t>Andrew I. Gray</w:t>
      </w:r>
      <w:r>
        <w:rPr>
          <w:rFonts w:ascii="Times New Roman" w:cs="Times New Roman" w:eastAsia="Times New Roman" w:hAnsi="Times New Roman"/>
          <w:sz w:val="20"/>
          <w:szCs w:val="20"/>
          <w:color w:val="1E1E1E"/>
        </w:rPr>
        <w:t>, 48,</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i w:val="1"/>
          <w:iCs w:val="1"/>
          <w:color w:val="1E1E1E"/>
        </w:rPr>
        <w:t>Senior Vice President</w:t>
      </w:r>
      <w:r>
        <w:rPr>
          <w:rFonts w:ascii="Times New Roman" w:cs="Times New Roman" w:eastAsia="Times New Roman" w:hAnsi="Times New Roman"/>
          <w:sz w:val="20"/>
          <w:szCs w:val="20"/>
          <w:color w:val="1E1E1E"/>
        </w:rPr>
        <w:t>. Mr. Gray joined the Company in January 2024 as senior vice president and president</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of the Journeys Group. He was named chief executive officer of the newly formed Journeys Global Retail Group in September 2025. Journeys Global Retail Group unites Journeys, Schuh and Little Burgundy under one leadership. Prior to joining Genesco, he served over two decades in several senior leadership positions at Foot Locker. Mr. Gray most recently served as executive vice president, global president of Foot Locker, Kids Foot Locker, Champs Sports and Sidestep, a position he held from June 2022 until his departure from the company in January 2023. Previously, Mr. Gray served as executive vice president, chief commercial officer from July 2020 to June 2022, chief merchandising officer from October 2017 to July 2020, general manager of Foot Locker and Lady Foot Locker North America from February 2016 to October 2017, and as vice president and general merchandise manager of Foot Locker Europe from July 2013 to February 2016. During his time at Foot Locker, he developed a multi-dimensional skill set spanning merchandising, general management, retail and digital, consumer insight, brand building and global leadership.</w:t>
      </w:r>
    </w:p>
    <w:p>
      <w:pPr>
        <w:spacing w:after="0" w:line="15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b w:val="1"/>
          <w:bCs w:val="1"/>
          <w:color w:val="1E1E1E"/>
        </w:rPr>
        <w:t xml:space="preserve">Matthew N. Johnson, </w:t>
      </w:r>
      <w:r>
        <w:rPr>
          <w:rFonts w:ascii="Times New Roman" w:cs="Times New Roman" w:eastAsia="Times New Roman" w:hAnsi="Times New Roman"/>
          <w:sz w:val="20"/>
          <w:szCs w:val="20"/>
          <w:color w:val="1E1E1E"/>
        </w:rPr>
        <w:t>61,</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i w:val="1"/>
          <w:iCs w:val="1"/>
          <w:color w:val="1E1E1E"/>
        </w:rPr>
        <w:t>Vice President and Treasurer</w:t>
      </w:r>
      <w:r>
        <w:rPr>
          <w:rFonts w:ascii="Times New Roman" w:cs="Times New Roman" w:eastAsia="Times New Roman" w:hAnsi="Times New Roman"/>
          <w:sz w:val="20"/>
          <w:szCs w:val="20"/>
          <w:color w:val="1E1E1E"/>
        </w:rPr>
        <w:t>. Mr. Johnson joined the Company in 1993 as manager, corporate finance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and was elected assistant 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Available Information</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and Board committees are also available free of charge through the website. The information provided on our website is not part of this Annual Report on Form 10-K and is therefore not incorporated by reference unless such information is otherwise specifically incorporated elsewhere in this Annual Report on Form 10-K.</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12</w:t>
      </w:r>
    </w:p>
    <w:p>
      <w:pPr>
        <w:sectPr>
          <w:pgSz w:w="12240" w:h="15840" w:orient="portrait"/>
          <w:cols w:equalWidth="0" w:num="1">
            <w:col w:w="10260"/>
          </w:cols>
          <w:pgMar w:left="1000" w:top="1440" w:right="980" w:bottom="178" w:gutter="0" w:footer="0" w:header="0"/>
          <w:type w:val="continuous"/>
        </w:sectPr>
      </w:pPr>
    </w:p>
    <w:bookmarkStart w:id="19" w:name="page20"/>
    <w:bookmarkEnd w:id="19"/>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1A. RISK FACTORS</w:t>
      </w:r>
    </w:p>
    <w:p>
      <w:pPr>
        <w:spacing w:after="0" w:line="2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Our business is subject to a variety of risks which might have a material impact on our business. You should carefully consider the risks and uncertainties described below and the other information in this Annual Report on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Competitive, Demand-Related and Reputational Risks</w:t>
      </w:r>
    </w:p>
    <w:p>
      <w:pPr>
        <w:spacing w:after="0" w:line="245"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Consumer spending is affected by poor and/or volatile economic conditions and other factors and may significantly harm our business, affecting our financial condition, liquidity, and results of operations.</w:t>
      </w:r>
    </w:p>
    <w:p>
      <w:pPr>
        <w:spacing w:after="0" w:line="10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1E1E1E"/>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2" w:lineRule="exact"/>
        <w:rPr>
          <w:sz w:val="20"/>
          <w:szCs w:val="20"/>
          <w:color w:val="auto"/>
        </w:rPr>
      </w:pPr>
    </w:p>
    <w:p>
      <w:pPr>
        <w:ind w:left="720" w:right="20" w:hanging="366"/>
        <w:spacing w:after="0" w:line="294" w:lineRule="auto"/>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general economic and industry conditions, including the risks associated with recessions or other macroeconomic conditions and pressures such as inflationary impacts and supply chain challenges;</w:t>
      </w:r>
    </w:p>
    <w:p>
      <w:pPr>
        <w:spacing w:after="0" w:line="1"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weather conditions;</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energy costs, which affect gasoline and home heating prices;</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the level of consumer debt;</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pricing of products, including the impact of the imposition of tariffs;</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interest rates;</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public health issues (including pandemics and quarantines);</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tax rates, refunds and policies;</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civil disturbances;</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war, terrorism and other geopolitical hostilities; and</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consumer confidence in future economic conditions.</w:t>
      </w:r>
    </w:p>
    <w:p>
      <w:pPr>
        <w:spacing w:after="0" w:line="24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1E1E1E"/>
        </w:rPr>
        <w:t>Adverse economic conditions and any related decrease in consumer demand for discretionary items could have a material adverse effect on our business, results of operations and financial condition. We generally sell discretionary items. Reduced consumer confidence and spending may result in reduced demand for discretionary items and may force us to take inventory markdowns, which may decrease sales and gross margin and make expense leverage difficult to achieve. In addition, inflationary pressure on the products we sell might limit our ability to pass on cost increases to our customers resulting in gross margin impact or reduced demand. Demand can also be influenced by other factors beyond our control.</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Moreover, while we believe that our operating cash flows and borrowing capacity under committed lines of credit will be adequate for our anticipated cash requirements, if the economy were to experience a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on favorable terms, if at all. These same factors could impact our wholesale customers, limiting their ability to buy or pay for merchandise offered by us.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13</w:t>
      </w:r>
    </w:p>
    <w:p>
      <w:pPr>
        <w:sectPr>
          <w:pgSz w:w="12240" w:h="15840" w:orient="portrait"/>
          <w:cols w:equalWidth="0" w:num="1">
            <w:col w:w="10260"/>
          </w:cols>
          <w:pgMar w:left="1000" w:top="1440" w:right="980" w:bottom="178" w:gutter="0" w:footer="0" w:header="0"/>
          <w:type w:val="continuous"/>
        </w:sectPr>
      </w:pPr>
    </w:p>
    <w:bookmarkStart w:id="20" w:name="page21"/>
    <w:bookmarkEnd w:id="20"/>
    <w:p>
      <w:pPr>
        <w:spacing w:after="0" w:line="16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20"/>
          <w:szCs w:val="20"/>
          <w:b w:val="1"/>
          <w:bCs w:val="1"/>
          <w:color w:val="1E1E1E"/>
        </w:rPr>
        <w:t>A failure to increase sales at our existing stores, given our high fixed expense cost structure, and in our e-commerce businesses or an inability to reduce costs may adversely affect our results of operations which may adversely impact our stock price.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 number of factors have historically affected, and will continue to affect, our results and gross margin, including:</w:t>
      </w:r>
    </w:p>
    <w:p>
      <w:pPr>
        <w:spacing w:after="0" w:line="48" w:lineRule="exact"/>
        <w:rPr>
          <w:sz w:val="20"/>
          <w:szCs w:val="20"/>
          <w:color w:val="auto"/>
        </w:rPr>
      </w:pPr>
    </w:p>
    <w:p>
      <w:pPr>
        <w:ind w:left="580" w:hanging="226"/>
        <w:spacing w:after="0"/>
        <w:tabs>
          <w:tab w:leader="none" w:pos="580" w:val="left"/>
        </w:tabs>
        <w:numPr>
          <w:ilvl w:val="0"/>
          <w:numId w:val="7"/>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consumer trends, such as less disposable income due to the impact of economic conditions, tax policies and other factors;</w:t>
      </w:r>
    </w:p>
    <w:p>
      <w:pPr>
        <w:spacing w:after="0" w:line="55" w:lineRule="exact"/>
        <w:rPr>
          <w:rFonts w:ascii="Times New Roman" w:cs="Times New Roman" w:eastAsia="Times New Roman" w:hAnsi="Times New Roman"/>
          <w:sz w:val="19"/>
          <w:szCs w:val="19"/>
          <w:color w:val="1E1E1E"/>
        </w:rPr>
      </w:pPr>
    </w:p>
    <w:p>
      <w:pPr>
        <w:ind w:left="360" w:right="20" w:hanging="6"/>
        <w:spacing w:after="0" w:line="288" w:lineRule="auto"/>
        <w:tabs>
          <w:tab w:leader="none" w:pos="651"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lack of new fashion trends to drive demand in certain of our businesses and our ability to adjust to changes in fashion trends on a timely basis;</w:t>
      </w:r>
    </w:p>
    <w:p>
      <w:pPr>
        <w:ind w:left="700" w:hanging="346"/>
        <w:spacing w:after="0"/>
        <w:tabs>
          <w:tab w:leader="none" w:pos="7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closing of department stores that anchor malls or a significant number of non-anchor mall formats;</w:t>
      </w:r>
    </w:p>
    <w:p>
      <w:pPr>
        <w:spacing w:after="0" w:line="48"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competition;</w:t>
      </w:r>
    </w:p>
    <w:p>
      <w:pPr>
        <w:spacing w:after="0" w:line="43" w:lineRule="exact"/>
        <w:rPr>
          <w:rFonts w:ascii="Times New Roman" w:cs="Times New Roman" w:eastAsia="Times New Roman" w:hAnsi="Times New Roman"/>
          <w:sz w:val="20"/>
          <w:szCs w:val="20"/>
          <w:color w:val="1E1E1E"/>
        </w:rPr>
      </w:pPr>
    </w:p>
    <w:p>
      <w:pPr>
        <w:ind w:left="680" w:hanging="326"/>
        <w:spacing w:after="0"/>
        <w:tabs>
          <w:tab w:leader="none" w:pos="68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declining mall traffic due to changing customer preferences in the way they shop;</w:t>
      </w:r>
    </w:p>
    <w:p>
      <w:pPr>
        <w:spacing w:after="0" w:line="48"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timing of holidays, including sales tax holidays and the timing of tax refunds;</w:t>
      </w:r>
    </w:p>
    <w:p>
      <w:pPr>
        <w:spacing w:after="0" w:line="43" w:lineRule="exact"/>
        <w:rPr>
          <w:rFonts w:ascii="Times New Roman" w:cs="Times New Roman" w:eastAsia="Times New Roman" w:hAnsi="Times New Roman"/>
          <w:sz w:val="20"/>
          <w:szCs w:val="20"/>
          <w:color w:val="1E1E1E"/>
        </w:rPr>
      </w:pPr>
    </w:p>
    <w:p>
      <w:pPr>
        <w:ind w:left="740" w:hanging="386"/>
        <w:spacing w:after="0"/>
        <w:tabs>
          <w:tab w:leader="none" w:pos="74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general regional and national economic conditions;</w:t>
      </w:r>
    </w:p>
    <w:p>
      <w:pPr>
        <w:spacing w:after="0" w:line="48" w:lineRule="exact"/>
        <w:rPr>
          <w:rFonts w:ascii="Times New Roman" w:cs="Times New Roman" w:eastAsia="Times New Roman" w:hAnsi="Times New Roman"/>
          <w:sz w:val="20"/>
          <w:szCs w:val="20"/>
          <w:color w:val="1E1E1E"/>
        </w:rPr>
      </w:pPr>
    </w:p>
    <w:p>
      <w:pPr>
        <w:ind w:left="800" w:hanging="446"/>
        <w:spacing w:after="0"/>
        <w:tabs>
          <w:tab w:leader="none" w:pos="8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inclement weather;</w:t>
      </w:r>
    </w:p>
    <w:p>
      <w:pPr>
        <w:spacing w:after="0" w:line="43"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new merchandise introductions and changes in our merchandise mix;</w:t>
      </w:r>
    </w:p>
    <w:p>
      <w:pPr>
        <w:spacing w:after="0" w:line="48" w:lineRule="exact"/>
        <w:rPr>
          <w:rFonts w:ascii="Times New Roman" w:cs="Times New Roman" w:eastAsia="Times New Roman" w:hAnsi="Times New Roman"/>
          <w:sz w:val="20"/>
          <w:szCs w:val="20"/>
          <w:color w:val="1E1E1E"/>
        </w:rPr>
      </w:pPr>
    </w:p>
    <w:p>
      <w:pPr>
        <w:ind w:left="640" w:hanging="286"/>
        <w:spacing w:after="0"/>
        <w:tabs>
          <w:tab w:leader="none" w:pos="64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distribute merchandise efficiently to our stores;</w:t>
      </w:r>
    </w:p>
    <w:p>
      <w:pPr>
        <w:spacing w:after="0" w:line="43"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timing and type of sales events, promotional activities or other advertising;</w:t>
      </w:r>
    </w:p>
    <w:p>
      <w:pPr>
        <w:spacing w:after="0" w:line="48" w:lineRule="exact"/>
        <w:rPr>
          <w:rFonts w:ascii="Times New Roman" w:cs="Times New Roman" w:eastAsia="Times New Roman" w:hAnsi="Times New Roman"/>
          <w:sz w:val="20"/>
          <w:szCs w:val="20"/>
          <w:color w:val="1E1E1E"/>
        </w:rPr>
      </w:pPr>
    </w:p>
    <w:p>
      <w:pPr>
        <w:ind w:left="740" w:hanging="386"/>
        <w:spacing w:after="0"/>
        <w:tabs>
          <w:tab w:leader="none" w:pos="74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adapt to changing customer e-commerce preferences;</w:t>
      </w:r>
    </w:p>
    <w:p>
      <w:pPr>
        <w:spacing w:after="0" w:line="43" w:lineRule="exact"/>
        <w:rPr>
          <w:rFonts w:ascii="Times New Roman" w:cs="Times New Roman" w:eastAsia="Times New Roman" w:hAnsi="Times New Roman"/>
          <w:sz w:val="20"/>
          <w:szCs w:val="20"/>
          <w:color w:val="1E1E1E"/>
        </w:rPr>
      </w:pPr>
    </w:p>
    <w:p>
      <w:pPr>
        <w:ind w:left="800" w:hanging="446"/>
        <w:spacing w:after="0"/>
        <w:tabs>
          <w:tab w:leader="none" w:pos="8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access to allocated product from our vendors;</w:t>
      </w:r>
    </w:p>
    <w:p>
      <w:pPr>
        <w:spacing w:after="0" w:line="48" w:lineRule="exact"/>
        <w:rPr>
          <w:rFonts w:ascii="Times New Roman" w:cs="Times New Roman" w:eastAsia="Times New Roman" w:hAnsi="Times New Roman"/>
          <w:sz w:val="20"/>
          <w:szCs w:val="20"/>
          <w:color w:val="1E1E1E"/>
        </w:rPr>
      </w:pPr>
    </w:p>
    <w:p>
      <w:pPr>
        <w:ind w:left="800" w:hanging="446"/>
        <w:spacing w:after="0"/>
        <w:tabs>
          <w:tab w:leader="none" w:pos="8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realize anticipated cost reductions;</w:t>
      </w:r>
    </w:p>
    <w:p>
      <w:pPr>
        <w:spacing w:after="0" w:line="43" w:lineRule="exact"/>
        <w:rPr>
          <w:rFonts w:ascii="Times New Roman" w:cs="Times New Roman" w:eastAsia="Times New Roman" w:hAnsi="Times New Roman"/>
          <w:sz w:val="20"/>
          <w:szCs w:val="20"/>
          <w:color w:val="1E1E1E"/>
        </w:rPr>
      </w:pPr>
    </w:p>
    <w:p>
      <w:pPr>
        <w:ind w:left="740" w:hanging="386"/>
        <w:spacing w:after="0"/>
        <w:tabs>
          <w:tab w:leader="none" w:pos="74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ability to execute our business strategy effectively; and</w:t>
      </w:r>
    </w:p>
    <w:p>
      <w:pPr>
        <w:spacing w:after="0" w:line="48" w:lineRule="exact"/>
        <w:rPr>
          <w:rFonts w:ascii="Times New Roman" w:cs="Times New Roman" w:eastAsia="Times New Roman" w:hAnsi="Times New Roman"/>
          <w:sz w:val="20"/>
          <w:szCs w:val="20"/>
          <w:color w:val="1E1E1E"/>
        </w:rPr>
      </w:pPr>
    </w:p>
    <w:p>
      <w:pPr>
        <w:ind w:left="800" w:hanging="446"/>
        <w:spacing w:after="0"/>
        <w:tabs>
          <w:tab w:leader="none" w:pos="80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other external events beyond our control.</w:t>
      </w:r>
    </w:p>
    <w:p>
      <w:pPr>
        <w:spacing w:after="0" w:line="24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Failure to protect our reputation could have a material adverse effect on our brand names.</w:t>
      </w:r>
    </w:p>
    <w:p>
      <w:pPr>
        <w:spacing w:after="0" w:line="2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 potentially lead to various adverse consumer, regulatory and employee actions. Any of these events could result in decreased revenue or otherwise adversely affect our business.</w:t>
      </w:r>
    </w:p>
    <w:p>
      <w:pPr>
        <w:spacing w:after="0" w:line="163"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Our success depends on our ability to respond to changing consumer preferences, identify and interpret consumer trends, and successfully market new products.</w:t>
      </w:r>
    </w:p>
    <w:p>
      <w:pPr>
        <w:spacing w:after="0" w:line="11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The industry in which we operate is subject to rapid changes in fashion and consumer preferences. The continued popularity of our footwear and apparel and the development and selection of new lines and styles of footwear and apparel with widespread consumer appeal, requires us to accurately identify and interpret changing consumer trends and preferences and to effectively respond in a timely manner. Continuing demand and market acceptance for both existing and new products are uncertain and</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14</w:t>
      </w:r>
    </w:p>
    <w:p>
      <w:pPr>
        <w:sectPr>
          <w:pgSz w:w="12240" w:h="15840" w:orient="portrait"/>
          <w:cols w:equalWidth="0" w:num="1">
            <w:col w:w="10260"/>
          </w:cols>
          <w:pgMar w:left="1000" w:top="1440" w:right="980" w:bottom="178" w:gutter="0" w:footer="0" w:header="0"/>
          <w:type w:val="continuous"/>
        </w:sectPr>
      </w:pPr>
    </w:p>
    <w:bookmarkStart w:id="21" w:name="page22"/>
    <w:bookmarkEnd w:id="21"/>
    <w:p>
      <w:pPr>
        <w:spacing w:after="0" w:line="16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depend on substantial investment in product innovation, design and development, an ongoing commitment to product quality and significant and sustained marketing efforts and expenditures.</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In assessing our response to anticipated changing consumer preferences and trends, we frequently must make decisions about product designs and marketing expenditures months in advance of the time when actual consumer acceptance can be determined. As a result, we may not be successful in responding to shifting consumer preferences and trends with new products. If we fail to identify and interpret changing consumer preferences and trends, or are not successful in responding to these changes with the timely development or sourcing of products, we could experience excess inventories and higher than normal markdowns, returns, order cancellations or an inability to profitably sell our products.</w:t>
      </w:r>
    </w:p>
    <w:p>
      <w:pPr>
        <w:spacing w:after="0" w:line="159"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Our failure to appropriately address emerging sustainability matters could have a material adverse impact on our reputation and, as a result, our business.</w:t>
      </w:r>
    </w:p>
    <w:p>
      <w:pPr>
        <w:spacing w:after="0" w:line="10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There is uncertainty in the markets in which we operate regarding potential policies related to issues surrounding global environmental sustainability. Greenhouse gases may have an adverse effect on global temperatures, weather patterns, and the frequency and severity of extreme weather and natural disasters. Such events could have a negative effect on our business. Changes in the legal or regulatory environment affecting responsible sourcing, transportation cost, supply chain transparency, the effects of climate change or environmental protection, among others, including regulations to increase disclosure related to greenhouse gas emissions, to limit carbon dioxide and other greenhouse gas emissions, to discourage the use of plastic or to limit or to impose additional costs on commercial water use may result in a material adverse effect on our business or increased compliance costs for us and our business partners.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results may be adversely affected by declines in consumer traffic in malls.</w:t>
      </w:r>
    </w:p>
    <w:p>
      <w:pPr>
        <w:spacing w:after="0" w:line="24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The majority of our stores are located within shopping malls and depend to varying degrees on consumer traffic in the malls to generate sales. We cannot control the success of malls, and an increase in store closures by other retailers may lead to reduced foot traffic, mall vacancies and mall bankruptcies. Declines in mall traffic may negatively impact our ability to maintain or grow our sales in existing stores, which could have an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results of operations are subject to seasonal and quarterly fluctuations.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1E1E1E"/>
        </w:rPr>
        <w:t>Our business is seasonal, with a significant portion of our net sales and operating income generated during the fourth quarter of our fiscal year, which includes the holiday shopping season. As a result, we have limited ability to compensate for shortfalls in fourth quarter sales or earnings by changing our operations or strategies in other quarters. Adverse events outside of our control, such as supply chain interruptions, increased labor costs and labor availability, decreased consumer traffic or deteriorating economic conditions could result in lower than expected sales during the holiday shopping season or other periods in which we anticipate higher net sales, which could materially adversely impact our financial condition and results of operations. Our quarterly results of operations also may fluctuate significantly based on other factors such as:</w:t>
      </w:r>
    </w:p>
    <w:p>
      <w:pPr>
        <w:spacing w:after="0" w:line="4" w:lineRule="exact"/>
        <w:rPr>
          <w:sz w:val="20"/>
          <w:szCs w:val="20"/>
          <w:color w:val="auto"/>
        </w:rPr>
      </w:pPr>
    </w:p>
    <w:p>
      <w:pPr>
        <w:ind w:left="600" w:hanging="246"/>
        <w:spacing w:after="0"/>
        <w:tabs>
          <w:tab w:leader="none" w:pos="60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timing of new store openings and renewals;</w:t>
      </w:r>
    </w:p>
    <w:p>
      <w:pPr>
        <w:spacing w:after="0" w:line="43" w:lineRule="exact"/>
        <w:rPr>
          <w:rFonts w:ascii="Times New Roman" w:cs="Times New Roman" w:eastAsia="Times New Roman" w:hAnsi="Times New Roman"/>
          <w:sz w:val="20"/>
          <w:szCs w:val="20"/>
          <w:color w:val="1E1E1E"/>
        </w:rPr>
      </w:pPr>
    </w:p>
    <w:p>
      <w:pPr>
        <w:ind w:left="640" w:hanging="286"/>
        <w:spacing w:after="0"/>
        <w:tabs>
          <w:tab w:leader="none" w:pos="64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amount of net sales contributed by new and existing stores;</w:t>
      </w:r>
    </w:p>
    <w:p>
      <w:pPr>
        <w:spacing w:after="0" w:line="48"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timing of certain holidays and sales events;</w:t>
      </w:r>
    </w:p>
    <w:p>
      <w:pPr>
        <w:spacing w:after="0" w:line="43"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quarter end dates due to changes in the length of our fiscal year from year to year;</w:t>
      </w:r>
    </w:p>
    <w:p>
      <w:pPr>
        <w:spacing w:after="0" w:line="48" w:lineRule="exact"/>
        <w:rPr>
          <w:rFonts w:ascii="Times New Roman" w:cs="Times New Roman" w:eastAsia="Times New Roman" w:hAnsi="Times New Roman"/>
          <w:sz w:val="20"/>
          <w:szCs w:val="20"/>
          <w:color w:val="1E1E1E"/>
        </w:rPr>
      </w:pPr>
    </w:p>
    <w:p>
      <w:pPr>
        <w:ind w:left="640" w:hanging="286"/>
        <w:spacing w:after="0"/>
        <w:tabs>
          <w:tab w:leader="none" w:pos="64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our merchandise mix;</w:t>
      </w:r>
    </w:p>
    <w:p>
      <w:pPr>
        <w:spacing w:after="0" w:line="43"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weather conditions that affect consumer spending; and</w:t>
      </w:r>
    </w:p>
    <w:p>
      <w:pPr>
        <w:spacing w:after="0" w:line="48" w:lineRule="exact"/>
        <w:rPr>
          <w:rFonts w:ascii="Times New Roman" w:cs="Times New Roman" w:eastAsia="Times New Roman" w:hAnsi="Times New Roman"/>
          <w:sz w:val="20"/>
          <w:szCs w:val="20"/>
          <w:color w:val="1E1E1E"/>
        </w:rPr>
      </w:pPr>
    </w:p>
    <w:p>
      <w:pPr>
        <w:ind w:left="740" w:hanging="386"/>
        <w:spacing w:after="0"/>
        <w:tabs>
          <w:tab w:leader="none" w:pos="74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actions of competitors.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15</w:t>
      </w:r>
    </w:p>
    <w:p>
      <w:pPr>
        <w:sectPr>
          <w:pgSz w:w="12240" w:h="15840" w:orient="portrait"/>
          <w:cols w:equalWidth="0" w:num="1">
            <w:col w:w="10260"/>
          </w:cols>
          <w:pgMar w:left="1000" w:top="1440" w:right="980" w:bottom="178" w:gutter="0" w:footer="0" w:header="0"/>
          <w:type w:val="continuous"/>
        </w:sectPr>
      </w:pPr>
    </w:p>
    <w:bookmarkStart w:id="22" w:name="page23"/>
    <w:bookmarkEnd w:id="22"/>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Changes in the retail industry could have a material adverse effect on our business or financial condition.</w:t>
      </w:r>
    </w:p>
    <w:p>
      <w:pPr>
        <w:spacing w:after="0" w:line="2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In recent years, the retail industry has experienced consolidation, store closures, bankruptcies and other ownership changes. In the future, retailers in the U.S.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Growth in e-commerce competition could result in financial difficulties, including store closures, bankruptcies or liquidations for our brick-and-mortar stores and those of our wholesale customers who fail to compete effectively in the e-commerce market.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16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Our future success will be determined, in part, on our ability to manage the impact of the rapidly changing retail environment and identify and capitalize on retail trends, including technology, enhanced digital capabilities, e-commerce and other process efficiencies that will better service our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business is intensely competitive and increased or new competition could have a material adverse effect on us.</w:t>
      </w:r>
    </w:p>
    <w:p>
      <w:pPr>
        <w:spacing w:after="0" w:line="24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1E1E1E"/>
        </w:rPr>
        <w:t>The retail footwear and accessory markets are intensely competitive. We currently compete against a diverse group of retailers, including regional and national specialty stores, department and discount stores, small independents and e-commerce retailers, and our own vendors who are increasingly selling the same or similar products direct-to-consumers.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ind w:left="600" w:hanging="246"/>
        <w:spacing w:after="0"/>
        <w:tabs>
          <w:tab w:leader="none" w:pos="60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increased operational efficiencies of competitors;</w:t>
      </w:r>
    </w:p>
    <w:p>
      <w:pPr>
        <w:spacing w:after="0" w:line="43" w:lineRule="exact"/>
        <w:rPr>
          <w:rFonts w:ascii="Times New Roman" w:cs="Times New Roman" w:eastAsia="Times New Roman" w:hAnsi="Times New Roman"/>
          <w:sz w:val="20"/>
          <w:szCs w:val="20"/>
          <w:color w:val="1E1E1E"/>
        </w:rPr>
      </w:pPr>
    </w:p>
    <w:p>
      <w:pPr>
        <w:ind w:left="640" w:hanging="286"/>
        <w:spacing w:after="0"/>
        <w:tabs>
          <w:tab w:leader="none" w:pos="64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competitive pricing strategies;</w:t>
      </w:r>
    </w:p>
    <w:p>
      <w:pPr>
        <w:spacing w:after="0" w:line="48"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expansion by existing competitors;</w:t>
      </w:r>
    </w:p>
    <w:p>
      <w:pPr>
        <w:spacing w:after="0" w:line="43"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expansion of direct-to-consumer selling by our vendors;</w:t>
      </w:r>
    </w:p>
    <w:p>
      <w:pPr>
        <w:spacing w:after="0" w:line="48" w:lineRule="exact"/>
        <w:rPr>
          <w:rFonts w:ascii="Times New Roman" w:cs="Times New Roman" w:eastAsia="Times New Roman" w:hAnsi="Times New Roman"/>
          <w:sz w:val="20"/>
          <w:szCs w:val="20"/>
          <w:color w:val="1E1E1E"/>
        </w:rPr>
      </w:pPr>
    </w:p>
    <w:p>
      <w:pPr>
        <w:ind w:left="640" w:hanging="286"/>
        <w:spacing w:after="0"/>
        <w:tabs>
          <w:tab w:leader="none" w:pos="64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entry by new competitors into markets in which we currently operate; and</w:t>
      </w:r>
    </w:p>
    <w:p>
      <w:pPr>
        <w:spacing w:after="0" w:line="43" w:lineRule="exact"/>
        <w:rPr>
          <w:rFonts w:ascii="Times New Roman" w:cs="Times New Roman" w:eastAsia="Times New Roman" w:hAnsi="Times New Roman"/>
          <w:sz w:val="20"/>
          <w:szCs w:val="20"/>
          <w:color w:val="1E1E1E"/>
        </w:rPr>
      </w:pPr>
    </w:p>
    <w:p>
      <w:pPr>
        <w:ind w:left="700" w:hanging="346"/>
        <w:spacing w:after="0"/>
        <w:tabs>
          <w:tab w:leader="none" w:pos="70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adoption by existing retail competitors of innovative store formats or sales methods.</w:t>
      </w:r>
    </w:p>
    <w:p>
      <w:pPr>
        <w:spacing w:after="0" w:line="243"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20"/>
          <w:szCs w:val="20"/>
          <w:b w:val="1"/>
          <w:bCs w:val="1"/>
          <w:color w:val="1E1E1E"/>
        </w:rPr>
        <w:t>If our online e-commerce sites, or those of our customers, do not function effectively or meet the expectations or preferences of our customers, our business and financial results could be materially adversely affected.</w:t>
      </w:r>
    </w:p>
    <w:p>
      <w:pPr>
        <w:spacing w:after="0" w:line="10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An increasing amount of our products are sold on our e-commerce sites and third-party e-commerce sites. Consumers are also increasingly using mobile-based applications to engage with us and our competitors through digital experiences that are offered on mobile platforms, and we are increasingly using social media to interact with our consumers. Any failure to provide effective, reliable, user-friendly e-commerce platforms that offer a wide assortment of our products and that continually meet the evolving expectations of online shoppers or any failure to provide attractive digital experiences could place us at a competitive disadvantage, result in the loss of sales, and have a material adverse impact on our business and financial results. Our e-commerce business may be particularly vulnerable to cyber threats including unauthorized access and denial of service attacks. Sales in our e-commerce channel may also divert sales from our retail and wholesale channels.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Investments and Infrastructure Risks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We face a number of risks in opening new stores and renewing leases on existing stores.</w:t>
      </w:r>
    </w:p>
    <w:p>
      <w:pPr>
        <w:spacing w:after="0" w:line="24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We may open new stores, both in regional malls, where most of the operational experience of our U.S. businesses lies, and in other venues including outlet centers, airports and other off-mall locations. We cannot offer assurances that we will be able to</w:t>
      </w:r>
    </w:p>
    <w:p>
      <w:pPr>
        <w:sectPr>
          <w:pgSz w:w="12240" w:h="15840" w:orient="portrait"/>
          <w:cols w:equalWidth="0" w:num="1">
            <w:col w:w="10260"/>
          </w:cols>
          <w:pgMar w:left="1000" w:top="1440" w:right="980" w:bottom="178" w:gutter="0" w:footer="0" w:header="0"/>
        </w:sect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16</w:t>
      </w:r>
    </w:p>
    <w:p>
      <w:pPr>
        <w:sectPr>
          <w:pgSz w:w="12240" w:h="15840" w:orient="portrait"/>
          <w:cols w:equalWidth="0" w:num="1">
            <w:col w:w="10260"/>
          </w:cols>
          <w:pgMar w:left="1000" w:top="1440" w:right="980" w:bottom="178" w:gutter="0" w:footer="0" w:header="0"/>
          <w:type w:val="continuous"/>
        </w:sectPr>
      </w:pPr>
    </w:p>
    <w:bookmarkStart w:id="23" w:name="page24"/>
    <w:bookmarkEnd w:id="23"/>
    <w:p>
      <w:pPr>
        <w:spacing w:after="0" w:line="16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color w:val="1E1E1E"/>
        </w:rPr>
        <w:t>open as many stores as we have planned, that any new store will achieve similar operating results to those of our existing stores or that new stores opened in markets in which we already operate will not have a material adverse effect on the revenues and profitability of our existing stores. In addition to the risks already discussed for existing stores, the success of any planned expansion or remodels is dependent upon numerous factors, many of which are beyond our control, including the following:</w:t>
      </w:r>
    </w:p>
    <w:p>
      <w:pPr>
        <w:spacing w:after="0" w:line="3" w:lineRule="exact"/>
        <w:rPr>
          <w:sz w:val="20"/>
          <w:szCs w:val="20"/>
          <w:color w:val="auto"/>
        </w:rPr>
      </w:pPr>
    </w:p>
    <w:p>
      <w:pPr>
        <w:ind w:left="720" w:hanging="366"/>
        <w:spacing w:after="0"/>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identify suitable markets and individual store sites within those markets;</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the competition for suitable store sites;</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10"/>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negotiate favorable lease terms for new stores and renewals (including rent and other costs) with landlords;</w:t>
      </w:r>
    </w:p>
    <w:p>
      <w:pPr>
        <w:spacing w:after="0" w:line="68" w:lineRule="exact"/>
        <w:rPr>
          <w:rFonts w:ascii="Arial" w:cs="Arial" w:eastAsia="Arial" w:hAnsi="Arial"/>
          <w:sz w:val="19"/>
          <w:szCs w:val="19"/>
          <w:color w:val="1E1E1E"/>
        </w:rPr>
      </w:pPr>
    </w:p>
    <w:p>
      <w:pPr>
        <w:ind w:left="720" w:right="20" w:hanging="366"/>
        <w:spacing w:after="0" w:line="294" w:lineRule="auto"/>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obtain governmental and other third-party consents, permits and licenses necessary to the operation of our stores or otherwise;</w:t>
      </w:r>
    </w:p>
    <w:p>
      <w:pPr>
        <w:spacing w:after="0" w:line="1" w:lineRule="exact"/>
        <w:rPr>
          <w:rFonts w:ascii="Arial" w:cs="Arial" w:eastAsia="Arial" w:hAnsi="Arial"/>
          <w:sz w:val="20"/>
          <w:szCs w:val="20"/>
          <w:color w:val="1E1E1E"/>
        </w:rPr>
      </w:pPr>
    </w:p>
    <w:p>
      <w:pPr>
        <w:ind w:left="720" w:hanging="366"/>
        <w:spacing w:after="0"/>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the ability to build and remodel stores on schedule and at acceptable cost;</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the availability of employees to staff new stores and our ability to hire, train, motivate and retain store personnel;</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the effect of changes to laws and regulations, including wage, over-time, and employee benefits laws on store expense;</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the availability of adequate management and financial resources to manage an increased number of stores;</w:t>
      </w:r>
    </w:p>
    <w:p>
      <w:pPr>
        <w:spacing w:after="0" w:line="57" w:lineRule="exact"/>
        <w:rPr>
          <w:rFonts w:ascii="Arial" w:cs="Arial" w:eastAsia="Arial" w:hAnsi="Arial"/>
          <w:sz w:val="20"/>
          <w:szCs w:val="20"/>
          <w:color w:val="1E1E1E"/>
        </w:rPr>
      </w:pPr>
    </w:p>
    <w:p>
      <w:pPr>
        <w:ind w:left="720" w:right="20" w:hanging="366"/>
        <w:spacing w:after="0" w:line="294" w:lineRule="auto"/>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our ability to adapt our distribution and other operational and management systems to an expanded network of stores; and</w:t>
      </w:r>
    </w:p>
    <w:p>
      <w:pPr>
        <w:spacing w:after="0" w:line="1" w:lineRule="exact"/>
        <w:rPr>
          <w:rFonts w:ascii="Arial" w:cs="Arial" w:eastAsia="Arial" w:hAnsi="Arial"/>
          <w:sz w:val="20"/>
          <w:szCs w:val="20"/>
          <w:color w:val="1E1E1E"/>
        </w:rPr>
      </w:pPr>
    </w:p>
    <w:p>
      <w:pPr>
        <w:ind w:left="720" w:hanging="366"/>
        <w:spacing w:after="0"/>
        <w:tabs>
          <w:tab w:leader="none" w:pos="72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unforeseen events could prevent or delay store openings and impact our liquidity needed for store openings.</w:t>
      </w:r>
    </w:p>
    <w:p>
      <w:pPr>
        <w:spacing w:after="0" w:line="249"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19"/>
          <w:szCs w:val="19"/>
          <w:color w:val="1E1E1E"/>
        </w:rPr>
        <w:t>Additionally, the results we expect to achieve during each fiscal quarter are dependent upon opening new stores and renewing leases on existing stores on schedule and at expected costs. If we fall behind in our new store openings,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30"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20"/>
          <w:szCs w:val="20"/>
          <w:b w:val="1"/>
          <w:bCs w:val="1"/>
          <w:color w:val="1E1E1E"/>
        </w:rPr>
        <w:t>Any acquisitions we make or new businesses we launch, as well as any dispositions of assets or businesses, involve a degree of risk.</w:t>
      </w:r>
    </w:p>
    <w:p>
      <w:pPr>
        <w:spacing w:after="0" w:line="10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Acquisitions have been a component of our growth strategy and we expect that in the future we may engage in acquisitions or launch new businesses to grow our revenues and meet our other strategic objectives. If acquisitions are not successfully integrated with our business, our ongoing operations could be adversely affected. Acquisitions or new businesses may also divert management's attention and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we cannot offer assurance that we can obtain such provisions in our acquisitions or that they will fully protect us from unforeseen costs or liabilities associated with the acquisitions. We may also incur significant costs and diversion of management time and attention in connection with pursuing possible acquisitions even if the acquisition is not ultimately consummated.</w:t>
      </w:r>
    </w:p>
    <w:p>
      <w:pPr>
        <w:spacing w:after="0" w:line="15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Additionally, we have in the past and may in the future divest assets or businesses. Following any such divestitures, we may retain or incur liabilities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guarantees. Under these arrangements, performance by the divested businesses or conditions outside our control could adversely affect our business and results of operations.</w:t>
      </w:r>
    </w:p>
    <w:p>
      <w:pPr>
        <w:spacing w:after="0" w:line="16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ectPr>
          <w:pgSz w:w="12240" w:h="15840" w:orient="portrait"/>
          <w:cols w:equalWidth="0" w:num="1">
            <w:col w:w="10260"/>
          </w:cols>
          <w:pgMar w:left="1000" w:top="1440" w:right="980" w:bottom="178" w:gutter="0" w:footer="0" w:header="0"/>
        </w:sect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17</w:t>
      </w:r>
    </w:p>
    <w:p>
      <w:pPr>
        <w:sectPr>
          <w:pgSz w:w="12240" w:h="15840" w:orient="portrait"/>
          <w:cols w:equalWidth="0" w:num="1">
            <w:col w:w="10260"/>
          </w:cols>
          <w:pgMar w:left="1000" w:top="1440" w:right="980" w:bottom="178" w:gutter="0" w:footer="0" w:header="0"/>
          <w:type w:val="continuous"/>
        </w:sectPr>
      </w:pPr>
    </w:p>
    <w:bookmarkStart w:id="24" w:name="page25"/>
    <w:bookmarkEnd w:id="24"/>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Goodwill recorded with acquisitions is subject to impairment which could reduce the Company's profitability.</w:t>
      </w:r>
    </w:p>
    <w:p>
      <w:pPr>
        <w:spacing w:after="0" w:line="2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In connection with acquisitions, we record goodwill on our Consolidated Balance Sheets. This asset is not amortized, but is subject to an impairment test at least annually, where we have the option to assess qualitative factors to determine whether events and circumstances indicate that it is more likely than not that goodwill is impaired. If after such assessment we conclude that the asset is impaired,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the fourth quarter of our fiscal year, or more frequently if events or circumstances indicate that the value of the asset might be impaired.</w:t>
      </w:r>
    </w:p>
    <w:p>
      <w:pPr>
        <w:spacing w:after="0" w:line="16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Deterioration in our equity market value, whether related to our operating performance or to disruptions in the equity markets or deterioration in the operating performance of the business unit with which goodwill is associated could cause us to recognize the impairment of some or all of the $9.5 million of goodwill on our Consolidated Balance Sheets at January 31, 2026, resulting in the reduction of net assets and a corresponding non-cash charge to earnings in the amount of the impairment.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Technology, Data Security and Privacy Risks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The operation of our business is heavily dependent on our information systems.</w:t>
      </w:r>
    </w:p>
    <w:p>
      <w:pPr>
        <w:spacing w:after="0" w:line="25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We depend on information technology systems for the efficient functioning of our business (including multiple e-commerce websites) and security of information. Much information essential to our business is maintained electronically, including competitively sensitive information and personal information about customers and employees.</w:t>
      </w:r>
    </w:p>
    <w:p>
      <w:pPr>
        <w:spacing w:after="0" w:line="14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Despite our preventative efforts, our information technology systems and websites may be vulnerable to damage or interruption from events such as computer viruses, security breaches, errors by third-party providers, power outages and difficulties in replacing or integrating the systems of acquired businesses. Any material disruption to our information systems could adversely affect our operations and financial results.</w:t>
      </w:r>
    </w:p>
    <w:p>
      <w:pPr>
        <w:spacing w:after="0" w:line="1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1E1E1E"/>
        </w:rPr>
        <w:t>Our insurance policies may not cover business interruption, security breaches and similar incidents or may have limits inadequate for such losses. We rely on hardware and software vendors, including cloud-service providers, to maintain and upgrade many of these systems so that they can continue to support our business. The inability to maintain and upgrade these systems and software programs or the failure of third-party providers on which we rely could disrupt or reduce the efficiency of our operations.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 In addition, we are transforming our information technology delivery mode, including transferring certain technology services to a third-party partner. These efforts involve risks, including delays, increased costs, service interruptions, challenges in managing third-party performance, and the possibility that expected benefits may not be realized.</w:t>
      </w:r>
    </w:p>
    <w:p>
      <w:pPr>
        <w:spacing w:after="0" w:line="1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We rely heavily on our information technology staff. Changes to our information technology organization in connection with the transformation of our information technology delivery model may result in employee attrition. If we cannot meet our staffing needs in this area, we may not be able to fulfill our technology initiatives or provide maintenance on existing systems. A disruption to our information systems or those of our third-party providers could result in lost sales and increased costs and could have a material adverse effect on our business and results of operations.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18</w:t>
      </w:r>
    </w:p>
    <w:p>
      <w:pPr>
        <w:sectPr>
          <w:pgSz w:w="12240" w:h="15840" w:orient="portrait"/>
          <w:cols w:equalWidth="0" w:num="1">
            <w:col w:w="10260"/>
          </w:cols>
          <w:pgMar w:left="1000" w:top="1440" w:right="980" w:bottom="178" w:gutter="0" w:footer="0" w:header="0"/>
          <w:type w:val="continuous"/>
        </w:sectPr>
      </w:pPr>
    </w:p>
    <w:bookmarkStart w:id="25" w:name="page26"/>
    <w:bookmarkEnd w:id="25"/>
    <w:p>
      <w:pPr>
        <w:spacing w:after="0" w:line="163"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Our Information Technology Restructuring Initiative May Not Achieve Expected Results and Could Disrupt Our Business Operations.</w:t>
      </w:r>
    </w:p>
    <w:p>
      <w:pPr>
        <w:spacing w:after="0" w:line="70"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1E1E1E"/>
        </w:rPr>
        <w:t>As part of our information technology transformation, we are transitioning certain information technology services to a third-party service provider. The services being transitioned include infrastructure, networking and technology operations, automation and AI, application development and support, quality assurance and testing, service desk operations, security operations support, and compliance support. We expect to retain a substantial amount of our current information technology staff to manage strategic functions and oversee third-party service providers. We expect this information technology restructuring initiative to be ongoing at least through Fiscal 2027. This transition involves significant operational changes and presents a number of risks, including:</w:t>
      </w:r>
    </w:p>
    <w:p>
      <w:pPr>
        <w:spacing w:after="0" w:line="119" w:lineRule="exact"/>
        <w:rPr>
          <w:sz w:val="20"/>
          <w:szCs w:val="20"/>
          <w:color w:val="auto"/>
        </w:rPr>
      </w:pPr>
    </w:p>
    <w:p>
      <w:pPr>
        <w:ind w:left="720" w:hanging="366"/>
        <w:spacing w:after="0"/>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integrating third-party systems, technologies, and personnel with our existing operations;</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disruptions to our business operations during the transition period;</w:t>
      </w:r>
    </w:p>
    <w:p>
      <w:pPr>
        <w:spacing w:after="0" w:line="61" w:lineRule="exact"/>
        <w:rPr>
          <w:rFonts w:ascii="Arial" w:cs="Arial" w:eastAsia="Arial" w:hAnsi="Arial"/>
          <w:sz w:val="20"/>
          <w:szCs w:val="20"/>
          <w:color w:val="1E1E1E"/>
        </w:rPr>
      </w:pPr>
    </w:p>
    <w:p>
      <w:pPr>
        <w:ind w:left="720" w:hanging="366"/>
        <w:spacing w:after="0"/>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our inability to maintain continuity and consistency of service levels during and after the transition;</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failure by third-party service providers to perform as expected or to meet contractual service level commitments;</w:t>
      </w:r>
    </w:p>
    <w:p>
      <w:pPr>
        <w:spacing w:after="0" w:line="61" w:lineRule="exact"/>
        <w:rPr>
          <w:rFonts w:ascii="Arial" w:cs="Arial" w:eastAsia="Arial" w:hAnsi="Arial"/>
          <w:sz w:val="20"/>
          <w:szCs w:val="20"/>
          <w:color w:val="1E1E1E"/>
        </w:rPr>
      </w:pPr>
    </w:p>
    <w:p>
      <w:pPr>
        <w:ind w:left="720" w:right="20" w:hanging="366"/>
        <w:spacing w:after="0" w:line="310" w:lineRule="auto"/>
        <w:tabs>
          <w:tab w:leader="none" w:pos="720" w:val="left"/>
        </w:tabs>
        <w:numPr>
          <w:ilvl w:val="0"/>
          <w:numId w:val="11"/>
        </w:numPr>
        <w:rPr>
          <w:rFonts w:ascii="Arial" w:cs="Arial" w:eastAsia="Arial" w:hAnsi="Arial"/>
          <w:sz w:val="19"/>
          <w:szCs w:val="19"/>
          <w:color w:val="1E1E1E"/>
        </w:rPr>
      </w:pPr>
      <w:r>
        <w:rPr>
          <w:rFonts w:ascii="Times New Roman" w:cs="Times New Roman" w:eastAsia="Times New Roman" w:hAnsi="Times New Roman"/>
          <w:sz w:val="19"/>
          <w:szCs w:val="19"/>
          <w:color w:val="1E1E1E"/>
        </w:rPr>
        <w:t>increased reliance on third-party service providers to maintain the security and integrity of our information systems, data and intellectual property, and our inability to directly control such providers' security and data protection practices;</w:t>
      </w:r>
    </w:p>
    <w:p>
      <w:pPr>
        <w:ind w:left="720" w:hanging="366"/>
        <w:spacing w:after="0"/>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the loss or reallocation of institutional knowledge and the potential loss of key personnel;</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greater than anticipated resources associated with the transition;</w:t>
      </w:r>
    </w:p>
    <w:p>
      <w:pPr>
        <w:spacing w:after="0" w:line="57" w:lineRule="exact"/>
        <w:rPr>
          <w:rFonts w:ascii="Arial" w:cs="Arial" w:eastAsia="Arial" w:hAnsi="Arial"/>
          <w:sz w:val="20"/>
          <w:szCs w:val="20"/>
          <w:color w:val="1E1E1E"/>
        </w:rPr>
      </w:pPr>
    </w:p>
    <w:p>
      <w:pPr>
        <w:ind w:left="720" w:right="20" w:hanging="366"/>
        <w:spacing w:after="0" w:line="294" w:lineRule="auto"/>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exposure to service interruptions arising from factors outside of our control, including failures by third-party service providers, their subcontractors, or other service providers in the supply chain; and</w:t>
      </w:r>
    </w:p>
    <w:p>
      <w:pPr>
        <w:spacing w:after="0" w:line="1" w:lineRule="exact"/>
        <w:rPr>
          <w:rFonts w:ascii="Arial" w:cs="Arial" w:eastAsia="Arial" w:hAnsi="Arial"/>
          <w:sz w:val="20"/>
          <w:szCs w:val="20"/>
          <w:color w:val="1E1E1E"/>
        </w:rPr>
      </w:pPr>
    </w:p>
    <w:p>
      <w:pPr>
        <w:ind w:left="720" w:right="20" w:hanging="366"/>
        <w:spacing w:after="0" w:line="331" w:lineRule="auto"/>
        <w:tabs>
          <w:tab w:leader="none" w:pos="72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challenges in effectively managing the retained information technology organization alongside third-party service providers, including potential difficulties coordinating activities and maintaining clear lines of responsibility.</w:t>
      </w:r>
    </w:p>
    <w:p>
      <w:pPr>
        <w:spacing w:after="0" w:line="1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We rely on third-party service providers to process, store, and manage substantial amounts of sensitive information, including proprietary business information, intellectual property, and confidential data. Although our agreements with third-party service providers include contractual provisions designed to protect privacy, security, and the appropriate use of AI, we have limited ability to directly control the practices of third parties. There can be no assurance that (i) such contractual protections will be effective or that our service providers will comply with them or (ii) we will be able to obtain licenses, services, or technology from these third-party providers on commercially acceptable terms. Evolving laws and standards governing AI may impose new contractual, technical, and reporting requirements that increase costs and limit how third-party service providers can process our data. Vulnerabilities, failures of safeguards, or security breaches at these third-party providers could compromise the confidentiality, integrity, or availability of our systems or data and lead to regulatory investigations, litigation, contractual liabilities, remediation expenses, and reputational damage. Cyber and professional liability insurance, whether ours or our service providers’, may not cover all types of losses, may be subject to significant deductibles, and may not be available on acceptable terms in the future. If the information technology restructuring initiative takes longer to accomplish than projected, does not achieve its intended benefits, results in higher than anticipated costs, or causes service disruptions, our business, financial condition, and results of operations could be materially adversely affected.</w:t>
      </w:r>
    </w:p>
    <w:p>
      <w:pPr>
        <w:spacing w:after="0" w:line="160"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We are subject to payment-related risks that could increase our operating costs, expose us to fraud or theft, subject us to potential liability and disrupt our business.</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As a retailer who accepts payments using a variety of methods,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could result in additional costs or accelerate these costs with additional legal and financial exposure for noncompliance. For certain payment methods, we pay interchange and other fees, which can increase over time and raise our operating costs. We</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19</w:t>
      </w:r>
    </w:p>
    <w:p>
      <w:pPr>
        <w:sectPr>
          <w:pgSz w:w="12240" w:h="15840" w:orient="portrait"/>
          <w:cols w:equalWidth="0" w:num="1">
            <w:col w:w="10260"/>
          </w:cols>
          <w:pgMar w:left="1000" w:top="1440" w:right="980" w:bottom="178" w:gutter="0" w:footer="0" w:header="0"/>
          <w:type w:val="continuous"/>
        </w:sectPr>
      </w:pPr>
    </w:p>
    <w:bookmarkStart w:id="26" w:name="page27"/>
    <w:bookmarkEnd w:id="26"/>
    <w:p>
      <w:pPr>
        <w:spacing w:after="0" w:line="16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rely on third parties to provide payment processing services. If these companies become unable to provide these services to us, or if their systems are compromised, it could disrupt our business.</w:t>
      </w:r>
    </w:p>
    <w:p>
      <w:pPr>
        <w:spacing w:after="0" w:line="12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We are also subject to potential fraud and theft by persons who seek to obtain unauthorized access to or exploit weaknesses in payment systems. We completed the implementation of Europay, Mastercard and Visa ("EMV") technology and received certification in Fiscal 2018; however future upgrades to our systems could expose us to the fraudulent use of credit cards and increased costs, including possible fines and restrictions on our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67"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1E1E1E"/>
        </w:rPr>
        <w:t>The Payment Card Industry (“PCI”) is controlled by a limited number of vendors who may impose changes in the fee structure and operational requirements on us without negotiation. Such changes may result in our failure to comply with PCI DSS, and cause us to incur significant unanticipated expenses.</w:t>
      </w:r>
    </w:p>
    <w:p>
      <w:pPr>
        <w:spacing w:after="0" w:line="146"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A privacy breach, through a cybersecurity incident or otherwise, or failure to comply with privacy laws could materially adversely affect our business.</w:t>
      </w:r>
    </w:p>
    <w:p>
      <w:pPr>
        <w:spacing w:after="0" w:line="10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As part of normal operations, we and our third-party vendors and partners, receive and maintain confidential and personally identifiable information (“PII”)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valuable information, including without limitation customer or employee PII, and/or theft. A similar cybersecurity breach to the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1E1E1E"/>
        </w:rPr>
        <w:t>The rapid evolution and increased adoption of machine learning and artificial intelligence ("AI") is further increasing risks in this area, including by making fraud detection more difficult, particularly with detection devices that use voice recognition or authentication. Our computer networks and our business may be adversely affected by such a breach of our third-party vendors and partners, which could result in a decrease in our e-commerce sales and/or a loss of information valuable to our business, including PII of customers or employees. Such a cyber-incident could result in:</w:t>
      </w:r>
    </w:p>
    <w:p>
      <w:pPr>
        <w:spacing w:after="0" w:line="2" w:lineRule="exact"/>
        <w:rPr>
          <w:sz w:val="20"/>
          <w:szCs w:val="20"/>
          <w:color w:val="auto"/>
        </w:rPr>
      </w:pPr>
    </w:p>
    <w:p>
      <w:pPr>
        <w:jc w:val="both"/>
        <w:ind w:left="360" w:right="20" w:hanging="6"/>
        <w:spacing w:after="0" w:line="288" w:lineRule="auto"/>
        <w:tabs>
          <w:tab w:leader="none" w:pos="588"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theft, destruction, loss, misappropriation, or release of confidential financial and other data, intellectual property, customer awards, or customer or employee information, including PII such as payment card information, email addresses, passwords, social security numbers, home addresses, or health information;</w:t>
      </w:r>
    </w:p>
    <w:p>
      <w:pPr>
        <w:spacing w:after="0" w:line="2" w:lineRule="exact"/>
        <w:rPr>
          <w:rFonts w:ascii="Times New Roman" w:cs="Times New Roman" w:eastAsia="Times New Roman" w:hAnsi="Times New Roman"/>
          <w:sz w:val="20"/>
          <w:szCs w:val="20"/>
          <w:color w:val="1E1E1E"/>
        </w:rPr>
      </w:pPr>
    </w:p>
    <w:p>
      <w:pPr>
        <w:ind w:left="360" w:right="20" w:hanging="6"/>
        <w:spacing w:after="0" w:line="303" w:lineRule="auto"/>
        <w:tabs>
          <w:tab w:leader="none" w:pos="649" w:val="left"/>
        </w:tabs>
        <w:numPr>
          <w:ilvl w:val="0"/>
          <w:numId w:val="12"/>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operational or business delays resulting from the disruption of our e-commerce sites, computer networks or the computer networks of our third-party vendors and partners and subsequent material clean-up and mitigation costs and activities;</w:t>
      </w:r>
    </w:p>
    <w:p>
      <w:pPr>
        <w:ind w:left="360" w:hanging="6"/>
        <w:spacing w:after="0" w:line="326" w:lineRule="auto"/>
        <w:tabs>
          <w:tab w:leader="none" w:pos="71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negative publicity resulting in material reputation or brand damage with our customers, vendors, third-party partners or industry peers;</w:t>
      </w:r>
    </w:p>
    <w:p>
      <w:pPr>
        <w:sectPr>
          <w:pgSz w:w="12240" w:h="15840" w:orient="portrait"/>
          <w:cols w:equalWidth="0" w:num="1">
            <w:col w:w="10260"/>
          </w:cols>
          <w:pgMar w:left="1000" w:top="1440" w:right="980" w:bottom="178" w:gutter="0" w:footer="0" w:header="0"/>
        </w:sect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20</w:t>
      </w:r>
    </w:p>
    <w:p>
      <w:pPr>
        <w:sectPr>
          <w:pgSz w:w="12240" w:h="15840" w:orient="portrait"/>
          <w:cols w:equalWidth="0" w:num="1">
            <w:col w:w="10260"/>
          </w:cols>
          <w:pgMar w:left="1000" w:top="1440" w:right="980" w:bottom="178" w:gutter="0" w:footer="0" w:header="0"/>
          <w:type w:val="continuous"/>
        </w:sectPr>
      </w:pPr>
    </w:p>
    <w:bookmarkStart w:id="27" w:name="page28"/>
    <w:bookmarkEnd w:id="27"/>
    <w:p>
      <w:pPr>
        <w:spacing w:after="0" w:line="165" w:lineRule="exact"/>
        <w:rPr>
          <w:sz w:val="20"/>
          <w:szCs w:val="20"/>
          <w:color w:val="auto"/>
        </w:rPr>
      </w:pPr>
    </w:p>
    <w:p>
      <w:pPr>
        <w:ind w:left="700" w:hanging="346"/>
        <w:spacing w:after="0"/>
        <w:tabs>
          <w:tab w:leader="none" w:pos="70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loss of sales, including those generated through our e-commerce websites; or</w:t>
      </w:r>
    </w:p>
    <w:p>
      <w:pPr>
        <w:spacing w:after="0" w:line="43" w:lineRule="exact"/>
        <w:rPr>
          <w:rFonts w:ascii="Times New Roman" w:cs="Times New Roman" w:eastAsia="Times New Roman" w:hAnsi="Times New Roman"/>
          <w:sz w:val="20"/>
          <w:szCs w:val="20"/>
          <w:color w:val="1E1E1E"/>
        </w:rPr>
      </w:pPr>
    </w:p>
    <w:p>
      <w:pPr>
        <w:ind w:left="360" w:hanging="6"/>
        <w:spacing w:after="0" w:line="331" w:lineRule="auto"/>
        <w:tabs>
          <w:tab w:leader="none" w:pos="651"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governmental penalties, fines and/or enforcement actions, payment and industry penalties and fines and/or class action and other lawsuits.</w:t>
      </w:r>
    </w:p>
    <w:p>
      <w:pPr>
        <w:spacing w:after="0" w:line="11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20"/>
          <w:szCs w:val="20"/>
          <w:color w:val="1E1E1E"/>
        </w:rPr>
        <w:t>Any of the above risks, individually or in aggregate, could materially damage our reputation and result in lost sales, governmental and payment card industry fines, and/or class action and other lawsuits. Although we carry cybersecurity insurance, that insurance may not be extensive enough or adequate in scope of coverage or amount to reimburse us for damages we may incur. A significant breach of privacy laws could have a material adverse effect on our reputation.</w:t>
      </w:r>
    </w:p>
    <w:p>
      <w:pPr>
        <w:spacing w:after="0" w:line="146"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Data protection requirements are constantly evolving and these requirements could adversely affect our business and operating results.</w:t>
      </w:r>
    </w:p>
    <w:p>
      <w:pPr>
        <w:spacing w:after="0" w:line="1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We have access to collect or maintain information about our customers, and the protection of that data is critical to our business. The regulatory environment surrounding information security and privacy continues to evolve and new laws are increasingly giving customers the right to control how their personal data is used. One such law is the European Union's ("E.U.") GDPR. Our failure to comply with the GDPR and similar U.S. federal and state laws, including privacy laws in several states, could in the future result in significant penalties which could have a material adverse effect on our business and results of operations. Data protection compliance could also cause us to incur substantial costs, forego revenue or be subject to business risk associated with system changes and new business processes.</w:t>
      </w:r>
    </w:p>
    <w:p>
      <w:pPr>
        <w:spacing w:after="0" w:line="157"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The utilization, expansion and management of machine learning and other types of artificial intelligence in our business could adversely affect our business, financial condition and results of operations.</w:t>
      </w:r>
    </w:p>
    <w:p>
      <w:pPr>
        <w:spacing w:after="0" w:line="1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1E1E1E"/>
        </w:rPr>
        <w:t>We have been increasing our utilization of AI and anticipate that as AI technology advances, we may expand our application of AI, including generative AI. AI may become more important to our operations over time as we increase reliance on AI throughout our operations. The rapid evolution of AI technology and potential regulation of AI may require that we expend significant resources to develop, test and maintain our implementation of AI. Although we aim to implement AI technology according to responsible procedures and adequate safeguards, our current or future use of AI tools in our business operations could expose us to new or additional costs and risks, including the introduction of new vulnerabilities or cybersecurity risks within our information technology systems; the inadvertent or unauthorized release of our confidential or proprietary information resulting from the use of AI tools by our employees, contractors, agents, representatives, vendors or customers; the loss of our intellectual property rights or our infringement of the intellectual property rights of third parties resulting from the use of AI tools in our operations; and legal or reputational harms due to insufficient or flawed data, insufficient quality control, or unlawful bias or discrimination associated with the use of AI tools. In addition, the AI tools we may incorporate into certain aspects of our operations may not generate the intended efficiencies and may impact our business results. Our competitors may incorporate AI into their businesses faster or more successfully than us, which could impair our ability to compete effectively and adversely affect our results of operations. If the information generated through our use of AI is or is deemed to be deficient, inaccurate or biased, our reputation, business, financial condition, and results of operations may be adversely affected.</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21</w:t>
      </w:r>
    </w:p>
    <w:p>
      <w:pPr>
        <w:sectPr>
          <w:pgSz w:w="12240" w:h="15840" w:orient="portrait"/>
          <w:cols w:equalWidth="0" w:num="1">
            <w:col w:w="10260"/>
          </w:cols>
          <w:pgMar w:left="1000" w:top="1440" w:right="980" w:bottom="178" w:gutter="0" w:footer="0" w:header="0"/>
          <w:type w:val="continuous"/>
        </w:sectPr>
      </w:pPr>
    </w:p>
    <w:bookmarkStart w:id="28" w:name="page29"/>
    <w:bookmarkEnd w:id="28"/>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Operational, Supply Chain and Third-Party Risks</w:t>
      </w:r>
    </w:p>
    <w:p>
      <w:pPr>
        <w:spacing w:after="0" w:line="245"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20"/>
          <w:szCs w:val="20"/>
          <w:b w:val="1"/>
          <w:bCs w:val="1"/>
          <w:color w:val="1E1E1E"/>
        </w:rPr>
        <w:t>Increased operating costs, including wage increases resulting from potential increases in the minimum wage or competitive pressures, could have an adverse effect on our results.</w:t>
      </w:r>
    </w:p>
    <w:p>
      <w:pPr>
        <w:spacing w:after="0" w:line="1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Increased operating costs, including wage increases resulting from potential increases in the minimum wage or wage increases reflecting competition in relevant labor markets, store occupancy costs, distribution center costs and other expense items, including healthcare costs, may reduce our operating margin, and make it more difficult to identify new store locations that we believe will meet our investment return requirements.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60"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If we lose key members of management or are unable to attract and retain the talent required for our business, our operating results could suffer.</w:t>
      </w:r>
    </w:p>
    <w:p>
      <w:pPr>
        <w:spacing w:after="0" w:line="1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61"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The loss of, or disruption in, one of our distribution centers and other factors affecting the distribution of merchandise, including freight cost, could materially adversely affect our business.</w:t>
      </w:r>
    </w:p>
    <w:p>
      <w:pPr>
        <w:spacing w:after="0" w:line="11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1E1E1E"/>
        </w:rPr>
        <w:t>Each of our divisions uses a single distribution center or third-party logistics provider to handle all or a significant amount of its merchandise. Most of our operations’ inventory is shipped directly from suppliers to our operations' distribution centers or third-party logistics provider, where the inventory is then processed, sorted and shipped to our stores, our wholesale customers or our e-commerce customers. We depend on the orderly operation of this receiving and distribution process, which depends, in turn, on adherence to shipping schedules and effective management of the distribution centers. Although we believe that our receiving and distribution processes are efficient and well positioned to support our current business and potential expansions, we cannot offer assurance that we have anticipated all of the changing demands that our expanding operations, particularly our e-commerce operations, will impose on our receiving and distribution system, or that events beyond our control, such as disruptions in operations due to fire or other catastrophic events, labor disagreements or shortages or shipping problems (whether in our own or in our third-party vendors’ or carriers’ businesses), will not result in increased costs or in delays in the delivery of merchandise to our stores or to our wholesale customers or e-commerce/retail customers. In addition, to the extent we need to add capacity to distribution centers by either leasing or building new distribution centers or adding capacity at existing centers or make changes in our distribution processes to improve efficiency and maximize capacity, we cannot assure that these changes will not result in unanticipated delays or interruptions in distribution. We depend upon third parties for shipment of a significant amount of merchandise. Interruptions in the services provided by third parties may occasionally result from damage or destruction to our distribution centers; weather-related events; natural disasters; pandemics; trade policy changes or restrictions; tariffs or import-related taxes; third-party labor disruptions; shipping capacity constraints; third-party contract disputes; geopolitical events and military conflicts; acts of terrorism; or other factors beyond our control. An interruption in service by third parties for any reason could cause temporary disruptions in our business, a loss of sales and profits, and other material adverse effects.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22</w:t>
      </w:r>
    </w:p>
    <w:p>
      <w:pPr>
        <w:sectPr>
          <w:pgSz w:w="12240" w:h="15840" w:orient="portrait"/>
          <w:cols w:equalWidth="0" w:num="1">
            <w:col w:w="10260"/>
          </w:cols>
          <w:pgMar w:left="1000" w:top="1440" w:right="980" w:bottom="178" w:gutter="0" w:footer="0" w:header="0"/>
          <w:type w:val="continuous"/>
        </w:sectPr>
      </w:pPr>
    </w:p>
    <w:bookmarkStart w:id="29" w:name="page30"/>
    <w:bookmarkEnd w:id="29"/>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Our freight costs are impacted by changes in fuel prices, surcharges and other factors which can affect cost both on inbound freight from vendors to our distribution centers and outbound freight from distribution centers to our stores and customers. Increases in freight costs, including in connection with increased fuel prices, may increase our cost of goods sold and our selling and administrative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An increase in the cost or a disruption in the flow of our imported products could adversely affect our business.</w:t>
      </w:r>
    </w:p>
    <w:p>
      <w:pPr>
        <w:spacing w:after="0" w:line="2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1E1E1E"/>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3" w:lineRule="exact"/>
        <w:rPr>
          <w:sz w:val="20"/>
          <w:szCs w:val="20"/>
          <w:color w:val="auto"/>
        </w:rPr>
      </w:pPr>
    </w:p>
    <w:p>
      <w:pPr>
        <w:ind w:left="720" w:hanging="366"/>
        <w:spacing w:after="0"/>
        <w:tabs>
          <w:tab w:leader="none" w:pos="72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disruptions in the shipping and importation of imported products because of factors such as:</w:t>
      </w:r>
    </w:p>
    <w:p>
      <w:pPr>
        <w:spacing w:after="0" w:line="57" w:lineRule="exact"/>
        <w:rPr>
          <w:rFonts w:ascii="Arial" w:cs="Arial" w:eastAsia="Arial" w:hAnsi="Arial"/>
          <w:sz w:val="20"/>
          <w:szCs w:val="20"/>
          <w:color w:val="1E1E1E"/>
        </w:rPr>
      </w:pPr>
    </w:p>
    <w:p>
      <w:pPr>
        <w:ind w:left="1080" w:hanging="366"/>
        <w:spacing w:after="0"/>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raw material shortages, work stoppages, strikes, political unrest and civil disturbances;</w:t>
      </w:r>
    </w:p>
    <w:p>
      <w:pPr>
        <w:spacing w:after="0" w:line="61" w:lineRule="exact"/>
        <w:rPr>
          <w:rFonts w:ascii="Arial" w:cs="Arial" w:eastAsia="Arial" w:hAnsi="Arial"/>
          <w:sz w:val="20"/>
          <w:szCs w:val="20"/>
          <w:color w:val="1E1E1E"/>
        </w:rPr>
      </w:pPr>
    </w:p>
    <w:p>
      <w:pPr>
        <w:ind w:left="1080" w:hanging="366"/>
        <w:spacing w:after="0"/>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problems with shipping, including container shortages, disruptions to significant trade routes and delays in ports;</w:t>
      </w:r>
    </w:p>
    <w:p>
      <w:pPr>
        <w:spacing w:after="0" w:line="57" w:lineRule="exact"/>
        <w:rPr>
          <w:rFonts w:ascii="Arial" w:cs="Arial" w:eastAsia="Arial" w:hAnsi="Arial"/>
          <w:sz w:val="20"/>
          <w:szCs w:val="20"/>
          <w:color w:val="1E1E1E"/>
        </w:rPr>
      </w:pPr>
    </w:p>
    <w:p>
      <w:pPr>
        <w:ind w:left="1080" w:hanging="366"/>
        <w:spacing w:after="0"/>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increased customs inspections or other factors that could result in penalties causing delays in shipments;</w:t>
      </w:r>
    </w:p>
    <w:p>
      <w:pPr>
        <w:spacing w:after="0" w:line="61" w:lineRule="exact"/>
        <w:rPr>
          <w:rFonts w:ascii="Arial" w:cs="Arial" w:eastAsia="Arial" w:hAnsi="Arial"/>
          <w:sz w:val="20"/>
          <w:szCs w:val="20"/>
          <w:color w:val="1E1E1E"/>
        </w:rPr>
      </w:pPr>
    </w:p>
    <w:p>
      <w:pPr>
        <w:ind w:left="1080" w:hanging="366"/>
        <w:spacing w:after="0"/>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economic crises, natural disasters, pandemics, international disputes, wars and geopolitical conflicts; and</w:t>
      </w:r>
    </w:p>
    <w:p>
      <w:pPr>
        <w:spacing w:after="0" w:line="57" w:lineRule="exact"/>
        <w:rPr>
          <w:rFonts w:ascii="Arial" w:cs="Arial" w:eastAsia="Arial" w:hAnsi="Arial"/>
          <w:sz w:val="20"/>
          <w:szCs w:val="20"/>
          <w:color w:val="1E1E1E"/>
        </w:rPr>
      </w:pPr>
    </w:p>
    <w:p>
      <w:pPr>
        <w:ind w:left="720" w:hanging="366"/>
        <w:spacing w:after="0"/>
        <w:tabs>
          <w:tab w:leader="none" w:pos="72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increases in the cost of purchasing or shipping foreign merchandise resulting from:</w:t>
      </w:r>
    </w:p>
    <w:p>
      <w:pPr>
        <w:spacing w:after="0" w:line="61" w:lineRule="exact"/>
        <w:rPr>
          <w:rFonts w:ascii="Arial" w:cs="Arial" w:eastAsia="Arial" w:hAnsi="Arial"/>
          <w:sz w:val="20"/>
          <w:szCs w:val="20"/>
          <w:color w:val="1E1E1E"/>
        </w:rPr>
      </w:pPr>
    </w:p>
    <w:p>
      <w:pPr>
        <w:ind w:left="1080" w:hanging="366"/>
        <w:spacing w:after="0"/>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imposition of additional cargo or safeguard measures;</w:t>
      </w:r>
    </w:p>
    <w:p>
      <w:pPr>
        <w:spacing w:after="0" w:line="57" w:lineRule="exact"/>
        <w:rPr>
          <w:rFonts w:ascii="Arial" w:cs="Arial" w:eastAsia="Arial" w:hAnsi="Arial"/>
          <w:sz w:val="20"/>
          <w:szCs w:val="20"/>
          <w:color w:val="1E1E1E"/>
        </w:rPr>
      </w:pPr>
    </w:p>
    <w:p>
      <w:pPr>
        <w:ind w:left="1080" w:hanging="366"/>
        <w:spacing w:after="0" w:line="294" w:lineRule="auto"/>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denial by the United States of “most favored nation” trading status to or the imposition of quotas or other restriction on imports from a foreign country from which we purchase goods;</w:t>
      </w:r>
    </w:p>
    <w:p>
      <w:pPr>
        <w:spacing w:after="0" w:line="1" w:lineRule="exact"/>
        <w:rPr>
          <w:rFonts w:ascii="Arial" w:cs="Arial" w:eastAsia="Arial" w:hAnsi="Arial"/>
          <w:sz w:val="20"/>
          <w:szCs w:val="20"/>
          <w:color w:val="1E1E1E"/>
        </w:rPr>
      </w:pPr>
    </w:p>
    <w:p>
      <w:pPr>
        <w:ind w:left="1080" w:hanging="366"/>
        <w:spacing w:after="0"/>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import duties, import quotas, tariffs and other trade sanctions; and</w:t>
      </w:r>
    </w:p>
    <w:p>
      <w:pPr>
        <w:spacing w:after="0" w:line="61" w:lineRule="exact"/>
        <w:rPr>
          <w:rFonts w:ascii="Arial" w:cs="Arial" w:eastAsia="Arial" w:hAnsi="Arial"/>
          <w:sz w:val="20"/>
          <w:szCs w:val="20"/>
          <w:color w:val="1E1E1E"/>
        </w:rPr>
      </w:pPr>
    </w:p>
    <w:p>
      <w:pPr>
        <w:ind w:left="1080" w:hanging="366"/>
        <w:spacing w:after="0"/>
        <w:tabs>
          <w:tab w:leader="none" w:pos="1080" w:val="left"/>
        </w:tabs>
        <w:numPr>
          <w:ilvl w:val="1"/>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increases in shipping rates.</w:t>
      </w:r>
    </w:p>
    <w:p>
      <w:pPr>
        <w:spacing w:after="0" w:line="24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Some of the inventory we sell is imported from Vietnam, China and India, which have recently been subject to efforts to increase duty or tariff rates or to impose restrictions on imports of certain products.</w:t>
      </w:r>
    </w:p>
    <w:p>
      <w:pPr>
        <w:spacing w:after="0" w:line="12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A small portion of the products we buy abroad is priced in foreign currencies and, therefore, we are affected by fluctuating currency exchange rates. We may not be able to effectively protect ourselves in the future against currency rate fluctuations. 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We are dependent on third-party vendors and licensors for the merchandise we sell.</w:t>
      </w:r>
    </w:p>
    <w:p>
      <w:pPr>
        <w:spacing w:after="0" w:line="24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1E1E1E"/>
        </w:rPr>
        <w:t>We do not manufacture the merchandise we sell, and our Genesco Brands Group business is dependent on third-party licenses. Accordingly, our product supply is subject to our ability to renew our license agreements or identify new licenses and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pandemics, work stoppages, labor shortages, strikes, political unrest and civil disturbances, raw materials supply disruptions, or any other reason to supply us with</w:t>
      </w:r>
    </w:p>
    <w:p>
      <w:pPr>
        <w:sectPr>
          <w:pgSz w:w="12240" w:h="15840" w:orient="portrait"/>
          <w:cols w:equalWidth="0" w:num="1">
            <w:col w:w="10260"/>
          </w:cols>
          <w:pgMar w:left="1000" w:top="1440" w:right="980" w:bottom="178"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23</w:t>
      </w:r>
    </w:p>
    <w:p>
      <w:pPr>
        <w:sectPr>
          <w:pgSz w:w="12240" w:h="15840" w:orient="portrait"/>
          <w:cols w:equalWidth="0" w:num="1">
            <w:col w:w="10260"/>
          </w:cols>
          <w:pgMar w:left="1000" w:top="1440" w:right="980" w:bottom="178" w:gutter="0" w:footer="0" w:header="0"/>
          <w:type w:val="continuous"/>
        </w:sectPr>
      </w:pPr>
    </w:p>
    <w:bookmarkStart w:id="30" w:name="page31"/>
    <w:bookmarkEnd w:id="30"/>
    <w:p>
      <w:pPr>
        <w:spacing w:after="0" w:line="165"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1E1E1E"/>
        </w:rPr>
        <w:t>products, we could be unable to offer our customers the products they wish to buy and could lose their business. Additionally, manufacturers are required to remain in compliance with certain wage, labor and environment-related laws, regulations and policies. Delayed compliance or failure to comply with such laws, regulations and policies by our vendors could adversely affect our ability to obtain products generally or at favorable costs, affecting our overall ability to maintain and manage inventory levels.</w:t>
      </w:r>
    </w:p>
    <w:p>
      <w:pPr>
        <w:spacing w:after="0" w:line="135"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The manufacture of our products and our distributing operations are subject to the risks of doing business abroad which could affect our ability to obtain products from foreign suppliers or control the costs of our products.</w:t>
      </w:r>
    </w:p>
    <w:p>
      <w:pPr>
        <w:spacing w:after="0" w:line="11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We have been diversifying our sourcing base to ensure that we are not too concentrated in any single country. As we source some of our products from China, the possibility of adverse changes in trade or political relations with China, political instability, increases in labor costs, the occurrence of prolonged adverse weather conditions or a natural disaster such as an earthquake or typhoon, or the outbreak of infectious diseases in China could severely interfere with the manufacturing and/or shipment of our products and would have a material adverse effect on our operations. Our ability to source products from China may be adversely affected by changes in laws and regulations (or the interpretation thereof), including those relating to taxation, import and export tariffs, relations with the U.S. government, raw materials, environmental regulations, land use rights, property and other matters. Policy changes in China could adversely affect our interests through, among other factors: changes in laws and regulations,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There may be circumstances in the future where we may have to incur higher freight charges to expedite the delivery of product to our customers which could negatively affect our gross profit if we are unable to pass on those charges to our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Tax, Legal, Regulatory, Global and Other External Risks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Changes in tax laws may result in increased volatility in our effective tax rates.</w:t>
      </w:r>
    </w:p>
    <w:p>
      <w:pPr>
        <w:spacing w:after="0" w:line="24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Our financial results are significantly impacted by the effective tax rates of both our domestic and international operations. Future changes in tax laws could materially impact our effective tax rate. Other factors, such as changes in the mix of earnings in countries with differing statutory tax rates, changes in permitted deductions, interpretations, policies and treaties and the outcome of income tax audits in various jurisdictions, may result in higher taxes, lower profitability and increased volatility in our financial results.</w:t>
      </w:r>
    </w:p>
    <w:p>
      <w:pPr>
        <w:spacing w:after="0" w:line="15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In addition, changes in the tax laws of foreign jurisdictions may arise as a result of the Pillar Two (“Pillar Two”) Global Anti-Base Erosion model rules that were released by the Organization for Economic Cooperation and Development ("OECD") in 2021. Numerous countries have enacted legislation that implemented certain aspects of Pillar Two effective January 1, 2024, or adopted legislation that became effective in 2025, while additional jurisdictions may enact similar legislation in the future. In January 2026, the OECD issued further administrative guidance introducing a side-by-side framework under Pillar Two, largely exempting U.S.-headquartered companies from the application of Pillar Two. The OECD and implementing countries are expected to continue to make further revisions to their legislation and release additional guidance intended to adopt this side-by-side framework into law in each of the member countries. Additionally, administrative guidance with respect to tax law can be incomplete or vary from legislative intent, and therefore the application of tax law is uncertain. While we believe our reported positions comply with relevant tax laws and regulations, taxing authorities could interpret the application of certain laws and regulations differently.</w:t>
      </w:r>
    </w:p>
    <w:p>
      <w:pPr>
        <w:spacing w:after="0" w:line="157"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9"/>
          <w:szCs w:val="19"/>
          <w:color w:val="1E1E1E"/>
        </w:rPr>
        <w:t>In addition, on July 4, 2025, H.R. 1, a bill to provide for reconciliation pursuant to title II of H. Con. Res. 14, informally known as the One Big Beautiful Bill Act ("OBBBA"), which includes several measures affecting corporations and other business entities, was signed into law. The OBBBA introduces changes to certain corporate tax rules that could affect our tax obligations, effective tax rate, and financial results. The scope, interpretation, and application of certain provisions of the OBBBA remain subject to further regulatory guidance and administrative interpretation. As a result, the ultimate impact of the OBBBA on our business and</w:t>
      </w:r>
    </w:p>
    <w:p>
      <w:pPr>
        <w:sectPr>
          <w:pgSz w:w="12240" w:h="15840" w:orient="portrait"/>
          <w:cols w:equalWidth="0" w:num="1">
            <w:col w:w="10260"/>
          </w:cols>
          <w:pgMar w:left="1000" w:top="1440" w:right="980" w:bottom="178" w:gutter="0" w:footer="0" w:header="0"/>
        </w:sect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24</w:t>
      </w:r>
    </w:p>
    <w:p>
      <w:pPr>
        <w:sectPr>
          <w:pgSz w:w="12240" w:h="15840" w:orient="portrait"/>
          <w:cols w:equalWidth="0" w:num="1">
            <w:col w:w="10260"/>
          </w:cols>
          <w:pgMar w:left="1000" w:top="1440" w:right="980" w:bottom="178" w:gutter="0" w:footer="0" w:header="0"/>
          <w:type w:val="continuous"/>
        </w:sectPr>
      </w:pPr>
    </w:p>
    <w:bookmarkStart w:id="31" w:name="page32"/>
    <w:bookmarkEnd w:id="31"/>
    <w:p>
      <w:pPr>
        <w:spacing w:after="0" w:line="165"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results of operations remains uncertain and could differ materially from our current expectations. Further discussion of the impacts of the OBBBA is included in “Note 11, Income Taxes” of the Notes to the Consolidated Financial Statements included in Item 8 of this Annual Report on Form 10-K.</w:t>
      </w:r>
    </w:p>
    <w:p>
      <w:pPr>
        <w:spacing w:after="0" w:line="142"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20"/>
          <w:szCs w:val="20"/>
          <w:color w:val="1E1E1E"/>
        </w:rPr>
        <w:t>We continue to expect the United States Treasury and the Internal Revenue Service ("IRS") to issue regulations and other guidance that could have a material impact on our effective tax rate in future periods.</w:t>
      </w:r>
    </w:p>
    <w:p>
      <w:pPr>
        <w:spacing w:after="0" w:line="117"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B1B1B"/>
        </w:rPr>
        <w:t>Our ability to source our merchandise profitably or at all could be negatively impacted if new trade restrictions are imposed, existing trade restrictions become more burdensome or disruptions occur at our suppliers or at the ports.</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B1B1B"/>
        </w:rPr>
        <w:t xml:space="preserve">Trade restrictions, including increased tariffs, safeguards or quotas, on footwear, apparel and accessories could increase the cost or reduce the supply of merchandise available to us. </w:t>
      </w:r>
      <w:r>
        <w:rPr>
          <w:rFonts w:ascii="Times New Roman" w:cs="Times New Roman" w:eastAsia="Times New Roman" w:hAnsi="Times New Roman"/>
          <w:sz w:val="20"/>
          <w:szCs w:val="20"/>
          <w:color w:val="1E1E1E"/>
        </w:rPr>
        <w:t>We source footwear, apparel and accessory products from foreign</w:t>
      </w:r>
      <w:r>
        <w:rPr>
          <w:rFonts w:ascii="Times New Roman" w:cs="Times New Roman" w:eastAsia="Times New Roman" w:hAnsi="Times New Roman"/>
          <w:sz w:val="20"/>
          <w:szCs w:val="20"/>
          <w:color w:val="1B1B1B"/>
        </w:rPr>
        <w:t xml:space="preserve"> </w:t>
      </w:r>
      <w:r>
        <w:rPr>
          <w:rFonts w:ascii="Times New Roman" w:cs="Times New Roman" w:eastAsia="Times New Roman" w:hAnsi="Times New Roman"/>
          <w:sz w:val="20"/>
          <w:szCs w:val="20"/>
          <w:color w:val="1E1E1E"/>
        </w:rPr>
        <w:t xml:space="preserve">manufacturers located in Bangladesh, Brazil, Cambodia, China, India, Italy, Pakistan, Peru, Portugal, Sri Lanka, Turkey and Vietnam. Our retail operations, excluding Johnston &amp; Murphy, sell primarily branded products from third parties who source primarily overseas. </w:t>
      </w:r>
      <w:r>
        <w:rPr>
          <w:rFonts w:ascii="Times New Roman" w:cs="Times New Roman" w:eastAsia="Times New Roman" w:hAnsi="Times New Roman"/>
          <w:sz w:val="20"/>
          <w:szCs w:val="20"/>
          <w:color w:val="1B1B1B"/>
        </w:rPr>
        <w:t>The investments we are making to develop our sourcing capabilities may not be successful and may, in turn,</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color w:val="1B1B1B"/>
        </w:rPr>
        <w:t>have an adverse impact on our financial position and results of operations.</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1B1B1B"/>
        </w:rPr>
        <w:t xml:space="preserve">There are quotas and trade restrictions on certain categories of goods and apparel from </w:t>
      </w:r>
      <w:r>
        <w:rPr>
          <w:rFonts w:ascii="Times New Roman" w:cs="Times New Roman" w:eastAsia="Times New Roman" w:hAnsi="Times New Roman"/>
          <w:sz w:val="20"/>
          <w:szCs w:val="20"/>
          <w:color w:val="1E1E1E"/>
        </w:rPr>
        <w:t>China</w:t>
      </w:r>
      <w:r>
        <w:rPr>
          <w:rFonts w:ascii="Times New Roman" w:cs="Times New Roman" w:eastAsia="Times New Roman" w:hAnsi="Times New Roman"/>
          <w:sz w:val="20"/>
          <w:szCs w:val="20"/>
          <w:color w:val="1B1B1B"/>
        </w:rPr>
        <w:t xml:space="preserve"> and countries that are not subject to the applicable World Trade Organization Agreement, which could have a significant impact on our sourcing patterns in the future. In addition, political uncertainty in the United States may result in significant changes to U.S. trade policies, treaties and </w:t>
      </w:r>
      <w:r>
        <w:rPr>
          <w:rFonts w:ascii="Times New Roman" w:cs="Times New Roman" w:eastAsia="Times New Roman" w:hAnsi="Times New Roman"/>
          <w:sz w:val="20"/>
          <w:szCs w:val="20"/>
          <w:color w:val="1E1E1E"/>
        </w:rPr>
        <w:t>tariffs</w:t>
      </w:r>
      <w:r>
        <w:rPr>
          <w:rFonts w:ascii="Times New Roman" w:cs="Times New Roman" w:eastAsia="Times New Roman" w:hAnsi="Times New Roman"/>
          <w:sz w:val="20"/>
          <w:szCs w:val="20"/>
          <w:color w:val="1B1B1B"/>
        </w:rPr>
        <w:t>, including trade policies and</w:t>
      </w:r>
      <w:r>
        <w:rPr>
          <w:rFonts w:ascii="Times New Roman" w:cs="Times New Roman" w:eastAsia="Times New Roman" w:hAnsi="Times New Roman"/>
          <w:sz w:val="20"/>
          <w:szCs w:val="20"/>
          <w:color w:val="1E1E1E"/>
        </w:rPr>
        <w:t xml:space="preserve"> tariffs </w:t>
      </w:r>
      <w:r>
        <w:rPr>
          <w:rFonts w:ascii="Times New Roman" w:cs="Times New Roman" w:eastAsia="Times New Roman" w:hAnsi="Times New Roman"/>
          <w:sz w:val="20"/>
          <w:szCs w:val="20"/>
          <w:color w:val="1B1B1B"/>
        </w:rPr>
        <w:t>regarding goods imported from</w:t>
      </w:r>
      <w:r>
        <w:rPr>
          <w:rFonts w:ascii="Times New Roman" w:cs="Times New Roman" w:eastAsia="Times New Roman" w:hAnsi="Times New Roman"/>
          <w:sz w:val="20"/>
          <w:szCs w:val="20"/>
          <w:color w:val="1E1E1E"/>
        </w:rPr>
        <w:t xml:space="preserve"> China, Canada, Mexico and other countries</w:t>
      </w:r>
      <w:r>
        <w:rPr>
          <w:rFonts w:ascii="Times New Roman" w:cs="Times New Roman" w:eastAsia="Times New Roman" w:hAnsi="Times New Roman"/>
          <w:sz w:val="20"/>
          <w:szCs w:val="20"/>
          <w:color w:val="1B1B1B"/>
        </w:rPr>
        <w:t>. Increases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color w:val="1B1B1B"/>
        </w:rPr>
        <w:t xml:space="preserve">to existing tariffs and the imposition of new tariffs on certain imported products could result in an increase in prices for those products. These developments, or the perception that any of them could occur, may have a material adverse effect on global economic conditions and the stability of global financial markets, and may significantly reduce global trade. Any of these factors could depress economic activity, restrict our sourcing from suppliers and have a material adverse effect on our business, financial condition and results of operations. We cannot predict whether any of the countries in which our merchandise is currently or may be manufactured in the future will be subject to additional trade restrictions imposed by the U.S. and foreign governments, nor can we predict the likelihood, type or effect of any such restrictions. Trade restrictions, including increased </w:t>
      </w:r>
      <w:r>
        <w:rPr>
          <w:rFonts w:ascii="Times New Roman" w:cs="Times New Roman" w:eastAsia="Times New Roman" w:hAnsi="Times New Roman"/>
          <w:sz w:val="20"/>
          <w:szCs w:val="20"/>
          <w:color w:val="1E1E1E"/>
        </w:rPr>
        <w:t>tariffs</w:t>
      </w:r>
      <w:r>
        <w:rPr>
          <w:rFonts w:ascii="Times New Roman" w:cs="Times New Roman" w:eastAsia="Times New Roman" w:hAnsi="Times New Roman"/>
          <w:sz w:val="20"/>
          <w:szCs w:val="20"/>
          <w:color w:val="1B1B1B"/>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 If we are unable to pass along increased costs to our customers, our gross margins could be adversely affected. Additionally, tariffs may cause us to shift production to other countries, resulting in significant costs and disruption to our business.</w:t>
      </w:r>
    </w:p>
    <w:p>
      <w:pPr>
        <w:spacing w:after="0" w:line="17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B1B1B"/>
        </w:rPr>
        <w:t>We rely on our suppliers to manufacture and ship the products they produce for us in a timely and cost-effective manner. We also rely on the free flow of goods through open and operational ports worldwide. Labor disputes and other disruptions at various ports or at our suppliers could increase costs for us and delay our receipt of merchandise, particularly if these disputes result in work slowdowns, lockouts, strikes or other disruptions.</w:t>
      </w:r>
    </w:p>
    <w:p>
      <w:pPr>
        <w:spacing w:after="0" w:line="15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b w:val="1"/>
          <w:bCs w:val="1"/>
          <w:color w:val="1E1E1E"/>
        </w:rPr>
        <w:t>The impact of climate change, extreme weather, infectious disease outbreaks, and other unexpected events could result in an interruption to our business, as well as to the operations of our third-party partners, and have a material adverse impact on our business.</w:t>
      </w:r>
    </w:p>
    <w:p>
      <w:pPr>
        <w:spacing w:after="0" w:line="13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1E1E1E"/>
        </w:rPr>
        <w:t>The operations of our retail stores, corporate offices, distribution centers, digital operations and supply chain, as well as the operations of our third-party partners, including vendors and manufacturers, are vulnerable to disruption from climate change, natural disasters, pandemics and other infectious disease outbreaks and other unexpected events. In addition to impacts on global operations, these events could result in the potential loss of customers and revenues due to mandatory or voluntary store closures, delay or cancellation of merchandise deliveries, reduced consumer confidence or changes in consumers’ discretionary spending habits.</w:t>
      </w:r>
    </w:p>
    <w:p>
      <w:pPr>
        <w:sectPr>
          <w:pgSz w:w="12240" w:h="15840" w:orient="portrait"/>
          <w:cols w:equalWidth="0" w:num="1">
            <w:col w:w="10260"/>
          </w:cols>
          <w:pgMar w:left="1000" w:top="1440" w:right="980" w:bottom="178"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25</w:t>
      </w:r>
    </w:p>
    <w:p>
      <w:pPr>
        <w:sectPr>
          <w:pgSz w:w="12240" w:h="15840" w:orient="portrait"/>
          <w:cols w:equalWidth="0" w:num="1">
            <w:col w:w="10260"/>
          </w:cols>
          <w:pgMar w:left="1000" w:top="1440" w:right="980" w:bottom="178" w:gutter="0" w:footer="0" w:header="0"/>
          <w:type w:val="continuous"/>
        </w:sectPr>
      </w:pPr>
    </w:p>
    <w:bookmarkStart w:id="32" w:name="page33"/>
    <w:bookmarkEnd w:id="32"/>
    <w:p>
      <w:pPr>
        <w:spacing w:after="0" w:line="165"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These events could reduce the availability or quality of the materials used to manufacture our merchandise, which could cause delays in responding to consumer demand resulting in the potential loss of customers and revenues or we may incur increased costs to meet demand and may not be able to pass all or a portion of higher costs on to our customers, which could adversely affect our gross margin and results of our operations.</w:t>
      </w:r>
    </w:p>
    <w:p>
      <w:pPr>
        <w:spacing w:after="0" w:line="15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In addition, historically, our operations have been seasonal, and extreme weather conditions, including natural disasters, unseasonable weather or changes in weather patterns, may diminish demand for our seasonal merchandise and could also influence consumer preferences and fashion trends, consumer traffic and shopping habits. In addition, we may incur costs that exceed our applicable insurance coverage for any necessary repairs to property damage or business disruption resulting from climate or weather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Establishing and protecting our intellectual property is critical to our business.</w:t>
      </w:r>
    </w:p>
    <w:p>
      <w:pPr>
        <w:spacing w:after="0" w:line="247"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1E1E1E"/>
        </w:rPr>
        <w:t>Our ability to remain competitive is dependent upon our continued ability to secure and protect trademarks, patents and other intellectual property rights in the U.S. and internationally for all of our businesses. We rely on a combination of trade secret, patent, trademark, copyright and other laws, license agreements and other contractual provisions and technical measures to protect our intellectual property rights; however, some countries do not protect intellectual property rights to the same extent as the U.S.</w:t>
      </w:r>
    </w:p>
    <w:p>
      <w:pPr>
        <w:spacing w:after="0" w:line="13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1E1E1E"/>
        </w:rPr>
        <w:t>Our business could be significantly harmed if we are not able to protect our intellectual property, or if a court found us to be infringing on others’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49"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The scope of our non-U.S. operations exposes our performance to risks including foreign, political, legal and economic conditions and exchange rate fluctuations.</w:t>
      </w:r>
    </w:p>
    <w:p>
      <w:pPr>
        <w:spacing w:after="0" w:line="11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Our performance depends in part on general economic conditions affecting all countries in which we do business. Although the U.K. and the E.U. entered into the E.U.-U.K. Trade and Cooperation Agreement on December 30, 2020, uncertainty remains about the impact on our business in the U.K. and ROI, including impact on tariffs, shipping costs, consumer demand and currency fluctuations.</w:t>
      </w:r>
    </w:p>
    <w:p>
      <w:pPr>
        <w:spacing w:after="0" w:line="15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In addition, across all of our markets, we could be adversely impacted by changes in trade policies, labor, tax or other laws and regulations, intellectual property rights and supply chain logistics. 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w:t>
      </w:r>
    </w:p>
    <w:p>
      <w:pPr>
        <w:spacing w:after="0" w:line="156"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1E1E1E"/>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3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If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26</w:t>
      </w:r>
    </w:p>
    <w:p>
      <w:pPr>
        <w:sectPr>
          <w:pgSz w:w="12240" w:h="15840" w:orient="portrait"/>
          <w:cols w:equalWidth="0" w:num="1">
            <w:col w:w="10260"/>
          </w:cols>
          <w:pgMar w:left="1000" w:top="1440" w:right="980" w:bottom="178" w:gutter="0" w:footer="0" w:header="0"/>
          <w:type w:val="continuous"/>
        </w:sectPr>
      </w:pPr>
    </w:p>
    <w:bookmarkStart w:id="33" w:name="page34"/>
    <w:bookmarkEnd w:id="33"/>
    <w:p>
      <w:pPr>
        <w:spacing w:after="0" w:line="163"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We are subject to regulatory proceedings and litigation and to regulatory changes that could have an adverse effect on our financial condition and results of operations.</w:t>
      </w:r>
    </w:p>
    <w:p>
      <w:pPr>
        <w:spacing w:after="0" w:line="11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15 to the Consolidated Financial Statements. If these or similar matters are resolved against us, or if we incur significant costs to pursue claims against third parties, our results of operations, our cash flows, or our financial condition could be adversely affected. The costs of prosecuting or defending such lawsuits and responding to such investigations and regulatory proceedings may be substantial and their potential to distract management from day-to-day business is significant. Moreover, with retail operations in the United States, Puerto Rico, Canada, the U.K., and the ROI, we are 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Changes in regulations could make compliance more difficult and costly, and failure to comply with these requirements, including even a seemingly minor infraction, could result in liability for damages or penalties.</w:t>
      </w:r>
    </w:p>
    <w:p>
      <w:pPr>
        <w:spacing w:after="0" w:line="165"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color w:val="1E1E1E"/>
        </w:rPr>
        <w:t>Actions of activist shareholders have caused, and could cause us in the future to incur substantial costs, divert management’s attention and resources, and have an adverse effect on our business.</w:t>
      </w:r>
    </w:p>
    <w:p>
      <w:pPr>
        <w:spacing w:after="0" w:line="10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Our shareholders may from time to time engage in proxy solicitations, advance shareholders proposals or otherwise attempt to affect changes or acquire control over the Company. Activist shareholder activities could adversely affect our business because responding to proxy contests and reacting to other actions by activist shareholders can be costly and time-consuming, disrupt our operations and divert the attention of management and our employees. We have retained, and may in the future, retain the services of various professionals to advise us on activist shareholder matters, including legal, financial and communication advisors, the costs of which may negatively impact our future financial results. Perceived uncertainties as to our future direction, strategy or leadership created as a consequence of activist shareholders initiatives may harm our reputation, result in the loss of potential business opportunities, harm our ability to attract new investors, customers, and employees, and cause our stock price to experience periods of volatility or stagnation.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Financial Risks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indebtedness is subject to floating interest rates.</w:t>
      </w:r>
    </w:p>
    <w:p>
      <w:pPr>
        <w:spacing w:after="0" w:line="2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Borrowings under our credit facility bear interest at varying rates and expose us to interest rate risk. If interest rates were to increase, our debt service obligations on the variable rate indebtedness referred to above would increase even if the principal amount borrowed remained the same, and our net income and cash flows will correspondingly decrease. Additionally, in connection with the Intercontinental Exchange Benchmark Administration’s announced phase-out of the London Inter-Bank Offered Rate ("LIBOR"), we amended our credit facility to, among other things, replace LIBOR with the Secured Overnight Financing Rate (“SOFR”), the Sterling Overnight Index Average (“SONIA”) and the Euro Interbank Offered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1B. UNRESOLVED STAFF COMMENTS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27</w:t>
      </w:r>
    </w:p>
    <w:p>
      <w:pPr>
        <w:sectPr>
          <w:pgSz w:w="12240" w:h="15840" w:orient="portrait"/>
          <w:cols w:equalWidth="0" w:num="1">
            <w:col w:w="10260"/>
          </w:cols>
          <w:pgMar w:left="1000" w:top="1440" w:right="980" w:bottom="178" w:gutter="0" w:footer="0" w:header="0"/>
          <w:type w:val="continuous"/>
        </w:sectPr>
      </w:pPr>
    </w:p>
    <w:bookmarkStart w:id="34" w:name="page35"/>
    <w:bookmarkEnd w:id="34"/>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1C. CYBERSECURITY</w:t>
      </w:r>
    </w:p>
    <w:p>
      <w:pPr>
        <w:spacing w:after="0" w:line="200" w:lineRule="exact"/>
        <w:rPr>
          <w:sz w:val="20"/>
          <w:szCs w:val="20"/>
          <w:color w:val="auto"/>
        </w:rPr>
      </w:pPr>
    </w:p>
    <w:p>
      <w:pPr>
        <w:spacing w:after="0" w:line="23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0"/>
          <w:szCs w:val="20"/>
          <w:color w:val="1E1E1E"/>
        </w:rPr>
        <w:t>Cybersecurity is one of our most critical risks. For many activities important to our business, we depend on the confidentiality, integrity and availability of information systems and data, some of which are provided or managed by third parties. We have strategically integrated cybersecurity risk management into our broader enterprise risk management function to promote a company-wide culture of cybersecurity risk management.</w:t>
      </w:r>
    </w:p>
    <w:p>
      <w:pPr>
        <w:spacing w:after="0" w:line="148"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Management is responsible for the day-to-day handling of risks facing the Company, while the Board of Directors, as a whole and through its committees, oversees risk management, including cybersecurity risks. The Board has delegated certain risk management responsibilities with respect to cybersecurity to the Audit Committee.</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On behalf of the Board, the Audit Committee provides oversight of our management of cybersecurity risk. The Audit Committee regularly reviews our cybersecurity risks, incidents, audits, assessments, crisis readiness, awareness activities and compliance with cybersecurity and privacy laws and regulations. Our Vice President, Information Security and Privacy jointly with our Senior Vice President, Chief Strategy and Digital Officer brief the Audit Committee quarterly, and more often, if necessary, on active and emerging cybersecurity threats and efforts to strengthen our defenses against these threats.</w:t>
      </w:r>
    </w:p>
    <w:p>
      <w:pPr>
        <w:spacing w:after="0" w:line="15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Our Information Security and Privacy teams reduce first and third-party risk by maintaining a proactive security posture aligned with current threats, detecting cybersecurity events and responding quickly, and building procedures to rapidly recover. These teams are managed by the Vice President, Information Security and Privacy, who reports to the Senior Vice President, Chief Strategy and Digital Officer. Our cybersecurity leaders collectively have more than 25 years of relevant experience and multiple professional certifications.</w:t>
      </w:r>
    </w:p>
    <w:p>
      <w:pPr>
        <w:spacing w:after="0" w:line="1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Internal and third-party risks are reviewed, monitored, and managed by our Cybersecurity and Privacy teams, audited by an Internal Audit team and various external experts, and tracked within an Enterprise Risk Management framework. We regularly engage third-party experts to assess the effectiveness of our cybersecurity programs. Biennially, an external independent consultancy team conducts an assessment of our cybersecurity program using the inputs from accepted Cybersecurity Frameworks. Targeted assessments are conducted regularly by internal and third-party experts to ensure compliance with specific federal and state laws and regulations. We continue to participate in the VISA TIP program and AMEX STEP program around our PCI DSS compliance.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Our processes for identifying and managing first and third-party risks from cybersecurity threats include:</w: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1E1E1E"/>
        </w:rPr>
        <w:t>•Continuous monitoring of our systems and network for cybersecurity events;</w:t>
      </w:r>
    </w:p>
    <w:p>
      <w:pPr>
        <w:spacing w:after="0" w:line="44" w:lineRule="exact"/>
        <w:rPr>
          <w:sz w:val="20"/>
          <w:szCs w:val="20"/>
          <w:color w:val="auto"/>
        </w:rPr>
      </w:pPr>
    </w:p>
    <w:p>
      <w:pPr>
        <w:ind w:left="500" w:firstLine="40"/>
        <w:spacing w:after="0" w:line="308" w:lineRule="auto"/>
        <w:rPr>
          <w:sz w:val="20"/>
          <w:szCs w:val="20"/>
          <w:color w:val="auto"/>
        </w:rPr>
      </w:pPr>
      <w:r>
        <w:rPr>
          <w:rFonts w:ascii="Times New Roman" w:cs="Times New Roman" w:eastAsia="Times New Roman" w:hAnsi="Times New Roman"/>
          <w:sz w:val="20"/>
          <w:szCs w:val="20"/>
          <w:color w:val="1E1E1E"/>
        </w:rPr>
        <w:t>•Regular testing of our Security Incident Response Plan, Business Continuity plans, and Disaster Recovery plans; •Required annual security training for our employees with access to email, as well as tailored training for employees in more sensitive roles. Periodic testing to ensure the security training is effective.</w:t>
      </w:r>
    </w:p>
    <w:p>
      <w:pPr>
        <w:spacing w:after="0" w:line="1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External managed security services providers and industry-leading security tools continuously monitor our systems and network for cybersecurity threats. Our cybersecurity teams evaluate the escalated threats, and if necessary, take steps to contain and recover from pervasive threats in accordance with our Security Incident Response Plan. The plan includes reporting and escalation procedures to inform the Executive Committee, Audit Committee, and full Board, as appropriate to enable them to carry out their oversight responsibilities, and to ensure timely compliance with applicable reporting rules. Our Business Continuity Management and Disaster Recovery plans include procedures for business recovery and are tested regularly.</w:t>
      </w:r>
    </w:p>
    <w:p>
      <w:pPr>
        <w:spacing w:after="0" w:line="15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No risks from cybersecurity threats or previous cybersecurity incidents have materially affected our business strategy, results of operations, or financial condition. However, there can be no assurance that our controls and procedures in place to monitor and mitigate the risks of cyber threats will be sufficient and/or timely and that we will not suffer material losses or consequences in</w:t>
      </w:r>
    </w:p>
    <w:p>
      <w:pPr>
        <w:sectPr>
          <w:pgSz w:w="12240" w:h="15840" w:orient="portrait"/>
          <w:cols w:equalWidth="0" w:num="1">
            <w:col w:w="10260"/>
          </w:cols>
          <w:pgMar w:left="1000" w:top="1440" w:right="980" w:bottom="178" w:gutter="0" w:footer="0" w:header="0"/>
        </w:sect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28</w:t>
      </w:r>
    </w:p>
    <w:p>
      <w:pPr>
        <w:sectPr>
          <w:pgSz w:w="12240" w:h="15840" w:orient="portrait"/>
          <w:cols w:equalWidth="0" w:num="1">
            <w:col w:w="10260"/>
          </w:cols>
          <w:pgMar w:left="1000" w:top="1440" w:right="980" w:bottom="178" w:gutter="0" w:footer="0" w:header="0"/>
          <w:type w:val="continuous"/>
        </w:sectPr>
      </w:pPr>
    </w:p>
    <w:bookmarkStart w:id="35" w:name="page36"/>
    <w:bookmarkEnd w:id="35"/>
    <w:p>
      <w:pPr>
        <w:spacing w:after="0" w:line="16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the future. Additionally, while we have in place insurance coverage designed to address certain aspects of cyber risks, such insurance coverage may be insufficient to cover all insured losses or all types of claims that may arise.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2. PROPERTIES</w:t>
      </w:r>
    </w:p>
    <w:p>
      <w:pPr>
        <w:spacing w:after="0" w:line="24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1E1E1E"/>
        </w:rPr>
        <w:t>At January 31, 2026, we operated 1,236 retail footwear, apparel and accessory stores throughout the United States, Puerto Rico, Canada, the U.K. and the ROI. New shopping center store leases in the United States, Puerto Rico and Canada typically have initial terms of approximately 10 years. New store leases in the U.K. and the ROI typically have initial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general location, use and approximate size of our principal properties are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1E1E1E"/>
              </w:rPr>
              <w:t>Approximate</w:t>
            </w:r>
          </w:p>
        </w:tc>
      </w:tr>
      <w:tr>
        <w:trPr>
          <w:trHeight w:val="230"/>
        </w:trPr>
        <w:tc>
          <w:tcPr>
            <w:tcW w:w="3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1E1E1E"/>
                <w:w w:val="99"/>
              </w:rPr>
              <w:t>Area</w:t>
            </w:r>
          </w:p>
        </w:tc>
      </w:tr>
      <w:tr>
        <w:trPr>
          <w:trHeight w:val="230"/>
        </w:trPr>
        <w:tc>
          <w:tcPr>
            <w:tcW w:w="35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Owned/</w:t>
            </w:r>
          </w:p>
        </w:tc>
        <w:tc>
          <w:tcPr>
            <w:tcW w:w="1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1E1E1E"/>
              </w:rPr>
              <w:t>Square</w:t>
            </w:r>
          </w:p>
        </w:tc>
      </w:tr>
      <w:tr>
        <w:trPr>
          <w:trHeight w:val="255"/>
        </w:trPr>
        <w:tc>
          <w:tcPr>
            <w:tcW w:w="35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Location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Leased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Segment</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Use</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20"/>
                <w:szCs w:val="20"/>
                <w:b w:val="1"/>
                <w:bCs w:val="1"/>
                <w:color w:val="1E1E1E"/>
              </w:rPr>
              <w:t>Feet</w:t>
            </w:r>
          </w:p>
        </w:tc>
      </w:tr>
      <w:tr>
        <w:trPr>
          <w:trHeight w:val="220"/>
        </w:trPr>
        <w:tc>
          <w:tcPr>
            <w:tcW w:w="3560" w:type="dxa"/>
            <w:vAlign w:val="bottom"/>
            <w:tcBorders>
              <w:top w:val="single" w:sz="8" w:color="1E1E1E"/>
            </w:tcBorders>
            <w:shd w:val="clear" w:color="auto" w:fill="E4E4E4"/>
          </w:tcPr>
          <w:p>
            <w:pPr>
              <w:spacing w:after="0"/>
              <w:rPr>
                <w:sz w:val="19"/>
                <w:szCs w:val="19"/>
                <w:color w:val="auto"/>
              </w:rPr>
            </w:pPr>
          </w:p>
        </w:tc>
        <w:tc>
          <w:tcPr>
            <w:tcW w:w="1380" w:type="dxa"/>
            <w:vAlign w:val="bottom"/>
            <w:tcBorders>
              <w:top w:val="single" w:sz="8" w:color="1E1E1E"/>
            </w:tcBorders>
            <w:shd w:val="clear" w:color="auto" w:fill="E4E4E4"/>
          </w:tcPr>
          <w:p>
            <w:pPr>
              <w:spacing w:after="0"/>
              <w:rPr>
                <w:sz w:val="19"/>
                <w:szCs w:val="19"/>
                <w:color w:val="auto"/>
              </w:rPr>
            </w:pPr>
          </w:p>
        </w:tc>
        <w:tc>
          <w:tcPr>
            <w:tcW w:w="1380" w:type="dxa"/>
            <w:vAlign w:val="bottom"/>
            <w:tcBorders>
              <w:top w:val="single" w:sz="8" w:color="1E1E1E"/>
            </w:tcBorders>
            <w:shd w:val="clear" w:color="auto" w:fill="E4E4E4"/>
          </w:tcPr>
          <w:p>
            <w:pPr>
              <w:spacing w:after="0"/>
              <w:rPr>
                <w:sz w:val="19"/>
                <w:szCs w:val="19"/>
                <w:color w:val="auto"/>
              </w:rPr>
            </w:pPr>
          </w:p>
        </w:tc>
        <w:tc>
          <w:tcPr>
            <w:tcW w:w="2260" w:type="dxa"/>
            <w:vAlign w:val="bottom"/>
            <w:tcBorders>
              <w:top w:val="single" w:sz="8" w:color="1E1E1E"/>
            </w:tcBorders>
            <w:shd w:val="clear" w:color="auto" w:fill="E4E4E4"/>
          </w:tcPr>
          <w:p>
            <w:pPr>
              <w:jc w:val="center"/>
              <w:spacing w:after="0" w:line="220" w:lineRule="exact"/>
              <w:rPr>
                <w:sz w:val="20"/>
                <w:szCs w:val="20"/>
                <w:color w:val="auto"/>
              </w:rPr>
            </w:pPr>
            <w:r>
              <w:rPr>
                <w:rFonts w:ascii="Times New Roman" w:cs="Times New Roman" w:eastAsia="Times New Roman" w:hAnsi="Times New Roman"/>
                <w:sz w:val="20"/>
                <w:szCs w:val="20"/>
                <w:color w:val="1E1E1E"/>
                <w:w w:val="99"/>
              </w:rPr>
              <w:t>Distribution warehouse and</w:t>
            </w:r>
          </w:p>
        </w:tc>
        <w:tc>
          <w:tcPr>
            <w:tcW w:w="1380" w:type="dxa"/>
            <w:vAlign w:val="bottom"/>
            <w:tcBorders>
              <w:top w:val="single" w:sz="8" w:color="1E1E1E"/>
            </w:tcBorders>
            <w:shd w:val="clear" w:color="auto" w:fill="E4E4E4"/>
          </w:tcPr>
          <w:p>
            <w:pPr>
              <w:spacing w:after="0"/>
              <w:rPr>
                <w:sz w:val="19"/>
                <w:szCs w:val="19"/>
                <w:color w:val="auto"/>
              </w:rPr>
            </w:pPr>
          </w:p>
        </w:tc>
        <w:tc>
          <w:tcPr>
            <w:tcW w:w="280" w:type="dxa"/>
            <w:vAlign w:val="bottom"/>
            <w:tcBorders>
              <w:top w:val="single" w:sz="8" w:color="E4E4E4"/>
            </w:tcBorders>
            <w:shd w:val="clear" w:color="auto" w:fill="E4E4E4"/>
          </w:tcPr>
          <w:p>
            <w:pPr>
              <w:spacing w:after="0"/>
              <w:rPr>
                <w:sz w:val="19"/>
                <w:szCs w:val="19"/>
                <w:color w:val="auto"/>
              </w:rPr>
            </w:pPr>
          </w:p>
        </w:tc>
      </w:tr>
      <w:tr>
        <w:trPr>
          <w:trHeight w:val="230"/>
        </w:trPr>
        <w:tc>
          <w:tcPr>
            <w:tcW w:w="3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Lebanon, TN</w:t>
            </w: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Owned</w:t>
            </w: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Journeys Group</w:t>
            </w:r>
          </w:p>
        </w:tc>
        <w:tc>
          <w:tcPr>
            <w:tcW w:w="226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administrative offices</w:t>
            </w:r>
          </w:p>
        </w:tc>
        <w:tc>
          <w:tcPr>
            <w:tcW w:w="13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563,000</w:t>
            </w:r>
          </w:p>
        </w:tc>
        <w:tc>
          <w:tcPr>
            <w:tcW w:w="280" w:type="dxa"/>
            <w:vAlign w:val="bottom"/>
            <w:shd w:val="clear" w:color="auto" w:fill="E4E4E4"/>
          </w:tcPr>
          <w:p>
            <w:pPr>
              <w:spacing w:after="0"/>
              <w:rPr>
                <w:sz w:val="20"/>
                <w:szCs w:val="20"/>
                <w:color w:val="auto"/>
              </w:rPr>
            </w:pP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Bathgate, Scotland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Owned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Schuh Group</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Distribution warehouse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244,644</w:t>
            </w:r>
          </w:p>
        </w:tc>
        <w:tc>
          <w:tcPr>
            <w:tcW w:w="280" w:type="dxa"/>
            <w:vAlign w:val="bottom"/>
          </w:tcPr>
          <w:p>
            <w:pPr>
              <w:spacing w:after="0"/>
              <w:rPr>
                <w:sz w:val="20"/>
                <w:szCs w:val="20"/>
                <w:color w:val="auto"/>
              </w:rPr>
            </w:pPr>
          </w:p>
        </w:tc>
      </w:tr>
      <w:tr>
        <w:trPr>
          <w:trHeight w:val="230"/>
        </w:trPr>
        <w:tc>
          <w:tcPr>
            <w:tcW w:w="3560" w:type="dxa"/>
            <w:vAlign w:val="bottom"/>
            <w:shd w:val="clear" w:color="auto" w:fill="E4E4E4"/>
          </w:tcPr>
          <w:p>
            <w:pPr>
              <w:spacing w:after="0"/>
              <w:rPr>
                <w:sz w:val="20"/>
                <w:szCs w:val="20"/>
                <w:color w:val="auto"/>
              </w:rPr>
            </w:pPr>
          </w:p>
        </w:tc>
        <w:tc>
          <w:tcPr>
            <w:tcW w:w="1380" w:type="dxa"/>
            <w:vAlign w:val="bottom"/>
            <w:shd w:val="clear" w:color="auto" w:fill="E4E4E4"/>
          </w:tcPr>
          <w:p>
            <w:pPr>
              <w:spacing w:after="0"/>
              <w:rPr>
                <w:sz w:val="20"/>
                <w:szCs w:val="20"/>
                <w:color w:val="auto"/>
              </w:rPr>
            </w:pP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Genesco Brands</w:t>
            </w:r>
          </w:p>
        </w:tc>
        <w:tc>
          <w:tcPr>
            <w:tcW w:w="2260" w:type="dxa"/>
            <w:vAlign w:val="bottom"/>
            <w:shd w:val="clear" w:color="auto" w:fill="E4E4E4"/>
          </w:tcPr>
          <w:p>
            <w:pPr>
              <w:spacing w:after="0"/>
              <w:rPr>
                <w:sz w:val="20"/>
                <w:szCs w:val="20"/>
                <w:color w:val="auto"/>
              </w:rPr>
            </w:pPr>
          </w:p>
        </w:tc>
        <w:tc>
          <w:tcPr>
            <w:tcW w:w="1380" w:type="dxa"/>
            <w:vAlign w:val="bottom"/>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r>
      <w:tr>
        <w:trPr>
          <w:trHeight w:val="226"/>
        </w:trPr>
        <w:tc>
          <w:tcPr>
            <w:tcW w:w="3560" w:type="dxa"/>
            <w:vAlign w:val="bottom"/>
            <w:shd w:val="clear" w:color="auto" w:fill="E4E4E4"/>
          </w:tcPr>
          <w:p>
            <w:pPr>
              <w:spacing w:after="0" w:line="226" w:lineRule="exact"/>
              <w:rPr>
                <w:sz w:val="20"/>
                <w:szCs w:val="20"/>
                <w:color w:val="auto"/>
              </w:rPr>
            </w:pPr>
            <w:r>
              <w:rPr>
                <w:rFonts w:ascii="Times New Roman" w:cs="Times New Roman" w:eastAsia="Times New Roman" w:hAnsi="Times New Roman"/>
                <w:sz w:val="20"/>
                <w:szCs w:val="20"/>
                <w:color w:val="1E1E1E"/>
              </w:rPr>
              <w:t>Chapel Hill, TN</w:t>
            </w:r>
          </w:p>
        </w:tc>
        <w:tc>
          <w:tcPr>
            <w:tcW w:w="1380" w:type="dxa"/>
            <w:vAlign w:val="bottom"/>
            <w:shd w:val="clear" w:color="auto" w:fill="E4E4E4"/>
          </w:tcPr>
          <w:p>
            <w:pPr>
              <w:jc w:val="center"/>
              <w:spacing w:after="0" w:line="226" w:lineRule="exact"/>
              <w:rPr>
                <w:sz w:val="20"/>
                <w:szCs w:val="20"/>
                <w:color w:val="auto"/>
              </w:rPr>
            </w:pPr>
            <w:r>
              <w:rPr>
                <w:rFonts w:ascii="Times New Roman" w:cs="Times New Roman" w:eastAsia="Times New Roman" w:hAnsi="Times New Roman"/>
                <w:sz w:val="20"/>
                <w:szCs w:val="20"/>
                <w:color w:val="1E1E1E"/>
              </w:rPr>
              <w:t>Owned</w:t>
            </w:r>
          </w:p>
        </w:tc>
        <w:tc>
          <w:tcPr>
            <w:tcW w:w="1380" w:type="dxa"/>
            <w:vAlign w:val="bottom"/>
            <w:shd w:val="clear" w:color="auto" w:fill="E4E4E4"/>
          </w:tcPr>
          <w:p>
            <w:pPr>
              <w:jc w:val="center"/>
              <w:spacing w:after="0" w:line="226" w:lineRule="exact"/>
              <w:rPr>
                <w:sz w:val="20"/>
                <w:szCs w:val="20"/>
                <w:color w:val="auto"/>
              </w:rPr>
            </w:pPr>
            <w:r>
              <w:rPr>
                <w:rFonts w:ascii="Times New Roman" w:cs="Times New Roman" w:eastAsia="Times New Roman" w:hAnsi="Times New Roman"/>
                <w:sz w:val="20"/>
                <w:szCs w:val="20"/>
                <w:color w:val="1E1E1E"/>
              </w:rPr>
              <w:t>Group</w:t>
            </w:r>
          </w:p>
        </w:tc>
        <w:tc>
          <w:tcPr>
            <w:tcW w:w="2260" w:type="dxa"/>
            <w:vAlign w:val="bottom"/>
            <w:shd w:val="clear" w:color="auto" w:fill="E4E4E4"/>
          </w:tcPr>
          <w:p>
            <w:pPr>
              <w:jc w:val="center"/>
              <w:spacing w:after="0" w:line="226" w:lineRule="exact"/>
              <w:rPr>
                <w:sz w:val="20"/>
                <w:szCs w:val="20"/>
                <w:color w:val="auto"/>
              </w:rPr>
            </w:pPr>
            <w:r>
              <w:rPr>
                <w:rFonts w:ascii="Times New Roman" w:cs="Times New Roman" w:eastAsia="Times New Roman" w:hAnsi="Times New Roman"/>
                <w:sz w:val="20"/>
                <w:szCs w:val="20"/>
                <w:color w:val="1E1E1E"/>
              </w:rPr>
              <w:t>Distribution warehouse</w:t>
            </w:r>
          </w:p>
        </w:tc>
        <w:tc>
          <w:tcPr>
            <w:tcW w:w="1380" w:type="dxa"/>
            <w:vAlign w:val="bottom"/>
            <w:shd w:val="clear" w:color="auto" w:fill="E4E4E4"/>
          </w:tcPr>
          <w:p>
            <w:pPr>
              <w:jc w:val="right"/>
              <w:spacing w:after="0" w:line="226" w:lineRule="exact"/>
              <w:rPr>
                <w:sz w:val="20"/>
                <w:szCs w:val="20"/>
                <w:color w:val="auto"/>
              </w:rPr>
            </w:pPr>
            <w:r>
              <w:rPr>
                <w:rFonts w:ascii="Times New Roman" w:cs="Times New Roman" w:eastAsia="Times New Roman" w:hAnsi="Times New Roman"/>
                <w:sz w:val="20"/>
                <w:szCs w:val="20"/>
                <w:color w:val="1E1E1E"/>
              </w:rPr>
              <w:t>182,000</w:t>
            </w:r>
          </w:p>
        </w:tc>
        <w:tc>
          <w:tcPr>
            <w:tcW w:w="280" w:type="dxa"/>
            <w:vAlign w:val="bottom"/>
            <w:shd w:val="clear" w:color="auto" w:fill="E4E4E4"/>
          </w:tcPr>
          <w:p>
            <w:pPr>
              <w:spacing w:after="0"/>
              <w:rPr>
                <w:sz w:val="19"/>
                <w:szCs w:val="19"/>
                <w:color w:val="auto"/>
              </w:rPr>
            </w:pPr>
          </w:p>
        </w:tc>
      </w:tr>
      <w:tr>
        <w:trPr>
          <w:trHeight w:val="208"/>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1E1E1E"/>
              </w:rPr>
              <w:t>Johnston &amp;</w:t>
            </w:r>
          </w:p>
        </w:tc>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3"/>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Fayetteville, TN</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Owned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Murphy Group</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Distribution warehouse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178,500</w:t>
            </w:r>
          </w:p>
        </w:tc>
        <w:tc>
          <w:tcPr>
            <w:tcW w:w="280" w:type="dxa"/>
            <w:vAlign w:val="bottom"/>
          </w:tcPr>
          <w:p>
            <w:pPr>
              <w:spacing w:after="0"/>
              <w:rPr>
                <w:sz w:val="21"/>
                <w:szCs w:val="21"/>
                <w:color w:val="auto"/>
              </w:rPr>
            </w:pPr>
          </w:p>
        </w:tc>
      </w:tr>
      <w:tr>
        <w:trPr>
          <w:trHeight w:val="230"/>
        </w:trPr>
        <w:tc>
          <w:tcPr>
            <w:tcW w:w="3560" w:type="dxa"/>
            <w:vAlign w:val="bottom"/>
            <w:shd w:val="clear" w:color="auto" w:fill="E4E4E4"/>
          </w:tcPr>
          <w:p>
            <w:pPr>
              <w:spacing w:after="0"/>
              <w:rPr>
                <w:sz w:val="20"/>
                <w:szCs w:val="20"/>
                <w:color w:val="auto"/>
              </w:rPr>
            </w:pPr>
          </w:p>
        </w:tc>
        <w:tc>
          <w:tcPr>
            <w:tcW w:w="1380" w:type="dxa"/>
            <w:vAlign w:val="bottom"/>
            <w:shd w:val="clear" w:color="auto" w:fill="E4E4E4"/>
          </w:tcPr>
          <w:p>
            <w:pPr>
              <w:spacing w:after="0"/>
              <w:rPr>
                <w:sz w:val="20"/>
                <w:szCs w:val="20"/>
                <w:color w:val="auto"/>
              </w:rPr>
            </w:pP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Johnston &amp;</w:t>
            </w:r>
          </w:p>
        </w:tc>
        <w:tc>
          <w:tcPr>
            <w:tcW w:w="2260" w:type="dxa"/>
            <w:vAlign w:val="bottom"/>
            <w:shd w:val="clear" w:color="auto" w:fill="E4E4E4"/>
          </w:tcPr>
          <w:p>
            <w:pPr>
              <w:spacing w:after="0"/>
              <w:rPr>
                <w:sz w:val="20"/>
                <w:szCs w:val="20"/>
                <w:color w:val="auto"/>
              </w:rPr>
            </w:pPr>
          </w:p>
        </w:tc>
        <w:tc>
          <w:tcPr>
            <w:tcW w:w="1380" w:type="dxa"/>
            <w:vAlign w:val="bottom"/>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r>
      <w:tr>
        <w:trPr>
          <w:trHeight w:val="230"/>
        </w:trPr>
        <w:tc>
          <w:tcPr>
            <w:tcW w:w="3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Fayetteville, TN</w:t>
            </w: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Leased</w:t>
            </w: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Murphy Group</w:t>
            </w:r>
          </w:p>
        </w:tc>
        <w:tc>
          <w:tcPr>
            <w:tcW w:w="226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Distribution warehouse</w:t>
            </w:r>
          </w:p>
        </w:tc>
        <w:tc>
          <w:tcPr>
            <w:tcW w:w="13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91,580</w:t>
            </w:r>
          </w:p>
        </w:tc>
        <w:tc>
          <w:tcPr>
            <w:tcW w:w="280" w:type="dxa"/>
            <w:vAlign w:val="bottom"/>
            <w:shd w:val="clear" w:color="auto" w:fill="E4E4E4"/>
          </w:tcPr>
          <w:p>
            <w:pPr>
              <w:spacing w:after="0"/>
              <w:rPr>
                <w:sz w:val="20"/>
                <w:szCs w:val="20"/>
                <w:color w:val="auto"/>
              </w:rPr>
            </w:pPr>
          </w:p>
        </w:tc>
      </w:tr>
      <w:tr>
        <w:trPr>
          <w:trHeight w:val="208"/>
        </w:trPr>
        <w:tc>
          <w:tcPr>
            <w:tcW w:w="3560" w:type="dxa"/>
            <w:vAlign w:val="bottom"/>
          </w:tcPr>
          <w:p>
            <w:pPr>
              <w:spacing w:after="0" w:line="208" w:lineRule="exact"/>
              <w:rPr>
                <w:sz w:val="20"/>
                <w:szCs w:val="20"/>
                <w:color w:val="auto"/>
              </w:rPr>
            </w:pPr>
            <w:r>
              <w:rPr>
                <w:rFonts w:ascii="Times New Roman" w:cs="Times New Roman" w:eastAsia="Times New Roman" w:hAnsi="Times New Roman"/>
                <w:sz w:val="20"/>
                <w:szCs w:val="20"/>
                <w:color w:val="1E1E1E"/>
              </w:rPr>
              <w:t>Deans Industrial Estate, Livingston,</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1E1E1E"/>
                <w:w w:val="99"/>
              </w:rPr>
              <w:t>Distribution warehouse and</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3"/>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Scotland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Owned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Schuh Group</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administrative offices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106,813</w:t>
            </w:r>
          </w:p>
        </w:tc>
        <w:tc>
          <w:tcPr>
            <w:tcW w:w="280" w:type="dxa"/>
            <w:vAlign w:val="bottom"/>
          </w:tcPr>
          <w:p>
            <w:pPr>
              <w:spacing w:after="0"/>
              <w:rPr>
                <w:sz w:val="21"/>
                <w:szCs w:val="21"/>
                <w:color w:val="auto"/>
              </w:rPr>
            </w:pPr>
          </w:p>
        </w:tc>
      </w:tr>
      <w:tr>
        <w:trPr>
          <w:trHeight w:val="230"/>
        </w:trPr>
        <w:tc>
          <w:tcPr>
            <w:tcW w:w="3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Northwest Business Park, Ballycoolin,</w:t>
            </w:r>
          </w:p>
        </w:tc>
        <w:tc>
          <w:tcPr>
            <w:tcW w:w="1380" w:type="dxa"/>
            <w:vAlign w:val="bottom"/>
            <w:shd w:val="clear" w:color="auto" w:fill="E4E4E4"/>
          </w:tcPr>
          <w:p>
            <w:pPr>
              <w:spacing w:after="0"/>
              <w:rPr>
                <w:sz w:val="20"/>
                <w:szCs w:val="20"/>
                <w:color w:val="auto"/>
              </w:rPr>
            </w:pPr>
          </w:p>
        </w:tc>
        <w:tc>
          <w:tcPr>
            <w:tcW w:w="1380" w:type="dxa"/>
            <w:vAlign w:val="bottom"/>
            <w:shd w:val="clear" w:color="auto" w:fill="E4E4E4"/>
          </w:tcPr>
          <w:p>
            <w:pPr>
              <w:spacing w:after="0"/>
              <w:rPr>
                <w:sz w:val="20"/>
                <w:szCs w:val="20"/>
                <w:color w:val="auto"/>
              </w:rPr>
            </w:pPr>
          </w:p>
        </w:tc>
        <w:tc>
          <w:tcPr>
            <w:tcW w:w="226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Distribution warehouse and</w:t>
            </w:r>
          </w:p>
        </w:tc>
        <w:tc>
          <w:tcPr>
            <w:tcW w:w="1380" w:type="dxa"/>
            <w:vAlign w:val="bottom"/>
            <w:shd w:val="clear" w:color="auto" w:fill="E4E4E4"/>
          </w:tcPr>
          <w:p>
            <w:pPr>
              <w:spacing w:after="0"/>
              <w:rPr>
                <w:sz w:val="20"/>
                <w:szCs w:val="20"/>
                <w:color w:val="auto"/>
              </w:rPr>
            </w:pPr>
          </w:p>
        </w:tc>
        <w:tc>
          <w:tcPr>
            <w:tcW w:w="280" w:type="dxa"/>
            <w:vAlign w:val="bottom"/>
            <w:shd w:val="clear" w:color="auto" w:fill="E4E4E4"/>
          </w:tcPr>
          <w:p>
            <w:pPr>
              <w:spacing w:after="0"/>
              <w:rPr>
                <w:sz w:val="20"/>
                <w:szCs w:val="20"/>
                <w:color w:val="auto"/>
              </w:rPr>
            </w:pPr>
          </w:p>
        </w:tc>
      </w:tr>
      <w:tr>
        <w:trPr>
          <w:trHeight w:val="230"/>
        </w:trPr>
        <w:tc>
          <w:tcPr>
            <w:tcW w:w="3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Dublin</w:t>
            </w: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8"/>
              </w:rPr>
              <w:t>Leased</w:t>
            </w:r>
          </w:p>
        </w:tc>
        <w:tc>
          <w:tcPr>
            <w:tcW w:w="13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w w:val="99"/>
              </w:rPr>
              <w:t>Schuh Group</w:t>
            </w:r>
          </w:p>
        </w:tc>
        <w:tc>
          <w:tcPr>
            <w:tcW w:w="226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20"/>
                <w:szCs w:val="20"/>
                <w:color w:val="1E1E1E"/>
              </w:rPr>
              <w:t>administrative offices</w:t>
            </w:r>
          </w:p>
        </w:tc>
        <w:tc>
          <w:tcPr>
            <w:tcW w:w="13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49,460</w:t>
            </w:r>
          </w:p>
        </w:tc>
        <w:tc>
          <w:tcPr>
            <w:tcW w:w="280" w:type="dxa"/>
            <w:vAlign w:val="bottom"/>
            <w:shd w:val="clear" w:color="auto" w:fill="E4E4E4"/>
          </w:tcPr>
          <w:p>
            <w:pPr>
              <w:spacing w:after="0"/>
              <w:rPr>
                <w:sz w:val="20"/>
                <w:szCs w:val="20"/>
                <w:color w:val="auto"/>
              </w:rPr>
            </w:pPr>
          </w:p>
        </w:tc>
      </w:tr>
      <w:tr>
        <w:trPr>
          <w:trHeight w:val="270"/>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1E1E1E"/>
              </w:rPr>
              <w:t>Nashville, TN</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Leased</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Various</w:t>
            </w: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Corporate headquarters</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182,078</w:t>
            </w:r>
          </w:p>
        </w:tc>
        <w:tc>
          <w:tcPr>
            <w:tcW w:w="280" w:type="dxa"/>
            <w:vAlign w:val="bottom"/>
          </w:tcPr>
          <w:p>
            <w:pPr>
              <w:spacing w:after="0"/>
              <w:rPr>
                <w:sz w:val="23"/>
                <w:szCs w:val="23"/>
                <w:color w:val="auto"/>
              </w:rPr>
            </w:pPr>
          </w:p>
        </w:tc>
      </w:tr>
    </w:tbl>
    <w:p>
      <w:pPr>
        <w:spacing w:after="0" w:line="212"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20"/>
          <w:szCs w:val="20"/>
          <w:color w:val="1E1E1E"/>
        </w:rPr>
        <w:t>We believe that all leases of properties that are material to our operations may be renewed, or that alternative properties are available, on terms not materially less favorable to us than existing leases.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3. LEGAL PROCEEDINGS</w:t>
      </w:r>
    </w:p>
    <w:p>
      <w:pPr>
        <w:spacing w:after="0" w:line="247"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4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Further information with respect to this item may be found in Note 15 to the Consolidated Financial Statements included in Item 8, "Financial Statements and Supplementary Data," which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4. MINE SAFETY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29</w:t>
      </w:r>
    </w:p>
    <w:p>
      <w:pPr>
        <w:sectPr>
          <w:pgSz w:w="12240" w:h="15840" w:orient="portrait"/>
          <w:cols w:equalWidth="0" w:num="1">
            <w:col w:w="10260"/>
          </w:cols>
          <w:pgMar w:left="1000" w:top="1440" w:right="980" w:bottom="178" w:gutter="0" w:footer="0" w:header="0"/>
          <w:type w:val="continuous"/>
        </w:sectPr>
      </w:pPr>
    </w:p>
    <w:bookmarkStart w:id="36" w:name="page37"/>
    <w:bookmarkEnd w:id="36"/>
    <w:p>
      <w:pPr>
        <w:spacing w:after="0" w:line="16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245" w:lineRule="exact"/>
        <w:rPr>
          <w:sz w:val="20"/>
          <w:szCs w:val="20"/>
          <w:color w:val="auto"/>
        </w:rPr>
      </w:pPr>
    </w:p>
    <w:p>
      <w:pPr>
        <w:ind w:left="6" w:right="480"/>
        <w:spacing w:after="0" w:line="340" w:lineRule="auto"/>
        <w:rPr>
          <w:sz w:val="20"/>
          <w:szCs w:val="20"/>
          <w:color w:val="auto"/>
        </w:rPr>
      </w:pPr>
      <w:r>
        <w:rPr>
          <w:rFonts w:ascii="Times New Roman" w:cs="Times New Roman" w:eastAsia="Times New Roman" w:hAnsi="Times New Roman"/>
          <w:sz w:val="20"/>
          <w:szCs w:val="20"/>
          <w:b w:val="1"/>
          <w:bCs w:val="1"/>
          <w:u w:val="single" w:color="auto"/>
          <w:color w:val="1E1E1E"/>
        </w:rPr>
        <w:t>ITEM 5. MARKET FOR REGISTRANT’S COMMON EQUITY, RELATED STOCKHOLDER MATTERS AND ISSUER PURCHASES OF EQUITY SECURITIES</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Market Information</w:t>
      </w:r>
    </w:p>
    <w:p>
      <w:pPr>
        <w:spacing w:after="0" w:line="2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Our stock is traded on the New York Stock Exchange under the symbol "GCO".</w:t>
      </w:r>
    </w:p>
    <w:p>
      <w:pPr>
        <w:spacing w:after="0" w:line="2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There were approximately 1,200 common shareholders of record on March 13, 2026.</w:t>
      </w:r>
    </w:p>
    <w:p>
      <w:pPr>
        <w:spacing w:after="0" w:line="250" w:lineRule="exact"/>
        <w:rPr>
          <w:sz w:val="20"/>
          <w:szCs w:val="20"/>
          <w:color w:val="auto"/>
        </w:rPr>
      </w:pPr>
    </w:p>
    <w:p>
      <w:pPr>
        <w:jc w:val="both"/>
        <w:ind w:left="6"/>
        <w:spacing w:after="0" w:line="300" w:lineRule="auto"/>
        <w:rPr>
          <w:sz w:val="20"/>
          <w:szCs w:val="20"/>
          <w:color w:val="auto"/>
        </w:rPr>
      </w:pPr>
      <w:r>
        <w:rPr>
          <w:rFonts w:ascii="Times New Roman" w:cs="Times New Roman" w:eastAsia="Times New Roman" w:hAnsi="Times New Roman"/>
          <w:sz w:val="20"/>
          <w:szCs w:val="20"/>
          <w:color w:val="1E1E1E"/>
        </w:rPr>
        <w:t>We have not paid cash dividends to our holders of our Common Stock since 1973 and we do not currently anticipate paying cash dividends in the foreseeable future. Our ability to pay cash dividends to our holders of common stock is subject to various restrictions. See Note 10 to the Consolidated Financial Statements included in Item 8, "Financial Statements and Supplementary Data" for information regarding restrictions on dividends and redemption of capital stock.</w:t>
      </w:r>
    </w:p>
    <w:p>
      <w:pPr>
        <w:spacing w:after="0" w:line="1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Recent Sales of Unregistered Securities</w:t>
      </w:r>
    </w:p>
    <w:p>
      <w:pPr>
        <w:spacing w:after="0" w:line="2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None.</w:t>
      </w: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Issuer Purchases of Equity Securities</w:t>
      </w:r>
    </w:p>
    <w:p>
      <w:pPr>
        <w:spacing w:after="0" w:line="5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b w:val="1"/>
          <w:bCs w:val="1"/>
          <w:color w:val="1E1E1E"/>
        </w:rPr>
        <w:t>ISSUER PURCHASES OF EQUITY SECURITIES</w:t>
      </w:r>
    </w:p>
    <w:p>
      <w:pPr>
        <w:spacing w:after="0" w:line="20"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1E1E1E"/>
              </w:rPr>
              <w:t>(d) Maximum</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ind w:left="259"/>
              <w:spacing w:after="0"/>
              <w:rPr>
                <w:sz w:val="20"/>
                <w:szCs w:val="20"/>
                <w:color w:val="auto"/>
              </w:rPr>
            </w:pPr>
            <w:r>
              <w:rPr>
                <w:rFonts w:ascii="Times New Roman" w:cs="Times New Roman" w:eastAsia="Times New Roman" w:hAnsi="Times New Roman"/>
                <w:sz w:val="20"/>
                <w:szCs w:val="20"/>
                <w:color w:val="1E1E1E"/>
                <w:w w:val="97"/>
              </w:rPr>
              <w:t>(c) Total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1E1E1E"/>
              </w:rPr>
              <w:t>Number</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ind w:left="259"/>
              <w:spacing w:after="0"/>
              <w:rPr>
                <w:sz w:val="20"/>
                <w:szCs w:val="20"/>
                <w:color w:val="auto"/>
              </w:rPr>
            </w:pPr>
            <w:r>
              <w:rPr>
                <w:rFonts w:ascii="Times New Roman" w:cs="Times New Roman" w:eastAsia="Times New Roman" w:hAnsi="Times New Roman"/>
                <w:sz w:val="20"/>
                <w:szCs w:val="20"/>
                <w:color w:val="1E1E1E"/>
              </w:rPr>
              <w:t>Number of</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1E1E1E"/>
              </w:rPr>
              <w:t>(or Approximate</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ind w:left="259"/>
              <w:spacing w:after="0"/>
              <w:rPr>
                <w:sz w:val="20"/>
                <w:szCs w:val="20"/>
                <w:color w:val="auto"/>
              </w:rPr>
            </w:pPr>
            <w:r>
              <w:rPr>
                <w:rFonts w:ascii="Times New Roman" w:cs="Times New Roman" w:eastAsia="Times New Roman" w:hAnsi="Times New Roman"/>
                <w:sz w:val="20"/>
                <w:szCs w:val="20"/>
                <w:color w:val="1E1E1E"/>
                <w:w w:val="97"/>
              </w:rPr>
              <w:t>Shares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1E1E1E"/>
                <w:w w:val="99"/>
              </w:rPr>
              <w:t>Dollar Value)</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ind w:left="259"/>
              <w:spacing w:after="0"/>
              <w:rPr>
                <w:sz w:val="20"/>
                <w:szCs w:val="20"/>
                <w:color w:val="auto"/>
              </w:rPr>
            </w:pPr>
            <w:r>
              <w:rPr>
                <w:rFonts w:ascii="Times New Roman" w:cs="Times New Roman" w:eastAsia="Times New Roman" w:hAnsi="Times New Roman"/>
                <w:sz w:val="20"/>
                <w:szCs w:val="20"/>
                <w:color w:val="1E1E1E"/>
              </w:rPr>
              <w:t>Purchased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1E1E1E"/>
                <w:w w:val="99"/>
              </w:rPr>
              <w:t>of Shares that</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ind w:left="259"/>
              <w:spacing w:after="0"/>
              <w:rPr>
                <w:sz w:val="20"/>
                <w:szCs w:val="20"/>
                <w:color w:val="auto"/>
              </w:rPr>
            </w:pPr>
            <w:r>
              <w:rPr>
                <w:rFonts w:ascii="Times New Roman" w:cs="Times New Roman" w:eastAsia="Times New Roman" w:hAnsi="Times New Roman"/>
                <w:sz w:val="20"/>
                <w:szCs w:val="20"/>
                <w:color w:val="1E1E1E"/>
                <w:w w:val="96"/>
              </w:rPr>
              <w:t>as Part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1E1E1E"/>
              </w:rPr>
              <w:t>May Yet Be</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(a) 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20"/>
                <w:szCs w:val="20"/>
                <w:color w:val="1E1E1E"/>
                <w:w w:val="99"/>
              </w:rPr>
              <w:t>(b) Average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ind w:left="259"/>
              <w:spacing w:after="0"/>
              <w:rPr>
                <w:sz w:val="20"/>
                <w:szCs w:val="20"/>
                <w:color w:val="auto"/>
              </w:rPr>
            </w:pPr>
            <w:r>
              <w:rPr>
                <w:rFonts w:ascii="Times New Roman" w:cs="Times New Roman" w:eastAsia="Times New Roman" w:hAnsi="Times New Roman"/>
                <w:sz w:val="20"/>
                <w:szCs w:val="20"/>
                <w:color w:val="1E1E1E"/>
                <w:w w:val="99"/>
              </w:rPr>
              <w:t>of Publicly</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1E1E1E"/>
                <w:w w:val="99"/>
              </w:rPr>
              <w:t>Purchased</w:t>
            </w:r>
          </w:p>
        </w:tc>
      </w:tr>
      <w:tr>
        <w:trPr>
          <w:trHeight w:val="226"/>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1E1E1E"/>
                <w:w w:val="98"/>
              </w:rPr>
              <w:t>Number of</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9"/>
              <w:spacing w:after="0" w:line="226" w:lineRule="exact"/>
              <w:rPr>
                <w:sz w:val="20"/>
                <w:szCs w:val="20"/>
                <w:color w:val="auto"/>
              </w:rPr>
            </w:pPr>
            <w:r>
              <w:rPr>
                <w:rFonts w:ascii="Times New Roman" w:cs="Times New Roman" w:eastAsia="Times New Roman" w:hAnsi="Times New Roman"/>
                <w:sz w:val="20"/>
                <w:szCs w:val="20"/>
                <w:color w:val="1E1E1E"/>
              </w:rPr>
              <w:t>Price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center"/>
              <w:ind w:left="259"/>
              <w:spacing w:after="0" w:line="226" w:lineRule="exact"/>
              <w:rPr>
                <w:sz w:val="20"/>
                <w:szCs w:val="20"/>
                <w:color w:val="auto"/>
              </w:rPr>
            </w:pPr>
            <w:r>
              <w:rPr>
                <w:rFonts w:ascii="Times New Roman" w:cs="Times New Roman" w:eastAsia="Times New Roman" w:hAnsi="Times New Roman"/>
                <w:sz w:val="20"/>
                <w:szCs w:val="20"/>
                <w:color w:val="1E1E1E"/>
                <w:w w:val="99"/>
              </w:rPr>
              <w:t>Announced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200"/>
              <w:spacing w:after="0" w:line="226" w:lineRule="exact"/>
              <w:rPr>
                <w:sz w:val="20"/>
                <w:szCs w:val="20"/>
                <w:color w:val="auto"/>
              </w:rPr>
            </w:pPr>
            <w:r>
              <w:rPr>
                <w:rFonts w:ascii="Times New Roman" w:cs="Times New Roman" w:eastAsia="Times New Roman" w:hAnsi="Times New Roman"/>
                <w:sz w:val="20"/>
                <w:szCs w:val="20"/>
                <w:color w:val="1E1E1E"/>
              </w:rPr>
              <w:t>Under the</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20"/>
                <w:szCs w:val="20"/>
                <w:color w:val="1E1E1E"/>
                <w:w w:val="95"/>
              </w:rPr>
              <w:t>Paid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center"/>
              <w:ind w:left="259"/>
              <w:spacing w:after="0"/>
              <w:rPr>
                <w:sz w:val="20"/>
                <w:szCs w:val="20"/>
                <w:color w:val="auto"/>
              </w:rPr>
            </w:pPr>
            <w:r>
              <w:rPr>
                <w:rFonts w:ascii="Times New Roman" w:cs="Times New Roman" w:eastAsia="Times New Roman" w:hAnsi="Times New Roman"/>
                <w:sz w:val="20"/>
                <w:szCs w:val="20"/>
                <w:color w:val="1E1E1E"/>
                <w:w w:val="98"/>
              </w:rPr>
              <w:t>Plans or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1E1E1E"/>
              </w:rPr>
              <w:t>Plans or</w:t>
            </w:r>
          </w:p>
        </w:tc>
      </w:tr>
      <w:tr>
        <w:trPr>
          <w:trHeight w:val="253"/>
        </w:trPr>
        <w:tc>
          <w:tcPr>
            <w:tcW w:w="2520" w:type="dxa"/>
            <w:vAlign w:val="bottom"/>
          </w:tcPr>
          <w:p>
            <w:pPr>
              <w:ind w:left="1000"/>
              <w:spacing w:after="0"/>
              <w:rPr>
                <w:sz w:val="20"/>
                <w:szCs w:val="20"/>
                <w:color w:val="auto"/>
              </w:rPr>
            </w:pPr>
            <w:r>
              <w:rPr>
                <w:rFonts w:ascii="Times New Roman" w:cs="Times New Roman" w:eastAsia="Times New Roman" w:hAnsi="Times New Roman"/>
                <w:sz w:val="20"/>
                <w:szCs w:val="20"/>
                <w:color w:val="1E1E1E"/>
              </w:rPr>
              <w:t>Period</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Purchased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20"/>
                <w:szCs w:val="20"/>
                <w:color w:val="1E1E1E"/>
              </w:rPr>
              <w:t>per Share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jc w:val="center"/>
              <w:ind w:left="259"/>
              <w:spacing w:after="0" w:line="253" w:lineRule="exact"/>
              <w:rPr>
                <w:sz w:val="20"/>
                <w:szCs w:val="20"/>
                <w:color w:val="auto"/>
              </w:rPr>
            </w:pPr>
            <w:r>
              <w:rPr>
                <w:rFonts w:ascii="Times New Roman" w:cs="Times New Roman" w:eastAsia="Times New Roman" w:hAnsi="Times New Roman"/>
                <w:sz w:val="20"/>
                <w:szCs w:val="20"/>
                <w:color w:val="1E1E1E"/>
                <w:w w:val="95"/>
              </w:rPr>
              <w:t>Programs</w:t>
            </w:r>
            <w:r>
              <w:rPr>
                <w:rFonts w:ascii="Times New Roman" w:cs="Times New Roman" w:eastAsia="Times New Roman" w:hAnsi="Times New Roman"/>
                <w:sz w:val="25"/>
                <w:szCs w:val="25"/>
                <w:color w:val="1E1E1E"/>
                <w:w w:val="95"/>
                <w:vertAlign w:val="superscript"/>
              </w:rPr>
              <w:t>(1)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color w:val="1E1E1E"/>
                <w:w w:val="99"/>
              </w:rPr>
              <w:t>Programs</w:t>
            </w:r>
          </w:p>
        </w:tc>
      </w:tr>
      <w:tr>
        <w:trPr>
          <w:trHeight w:val="225"/>
        </w:trPr>
        <w:tc>
          <w:tcPr>
            <w:tcW w:w="2520" w:type="dxa"/>
            <w:vAlign w:val="bottom"/>
            <w:tcBorders>
              <w:top w:val="single" w:sz="8" w:color="1E1E1E"/>
            </w:tcBorders>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November 2025</w:t>
            </w:r>
          </w:p>
        </w:tc>
        <w:tc>
          <w:tcPr>
            <w:tcW w:w="100" w:type="dxa"/>
            <w:vAlign w:val="bottom"/>
            <w:tcBorders>
              <w:top w:val="single" w:sz="8" w:color="1E1E1E"/>
            </w:tcBorders>
            <w:shd w:val="clear" w:color="auto" w:fill="E4E4E4"/>
          </w:tcPr>
          <w:p>
            <w:pPr>
              <w:spacing w:after="0"/>
              <w:rPr>
                <w:sz w:val="19"/>
                <w:szCs w:val="19"/>
                <w:color w:val="auto"/>
              </w:rPr>
            </w:pPr>
          </w:p>
        </w:tc>
        <w:tc>
          <w:tcPr>
            <w:tcW w:w="160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480" w:type="dxa"/>
            <w:vAlign w:val="bottom"/>
            <w:tcBorders>
              <w:top w:val="single" w:sz="8" w:color="1E1E1E"/>
            </w:tcBorders>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1600" w:type="dxa"/>
            <w:vAlign w:val="bottom"/>
            <w:tcBorders>
              <w:top w:val="single" w:sz="8" w:color="1E1E1E"/>
            </w:tcBorders>
            <w:shd w:val="clear" w:color="auto" w:fill="E4E4E4"/>
          </w:tcPr>
          <w:p>
            <w:pPr>
              <w:spacing w:after="0"/>
              <w:rPr>
                <w:sz w:val="19"/>
                <w:szCs w:val="19"/>
                <w:color w:val="auto"/>
              </w:rPr>
            </w:pPr>
          </w:p>
        </w:tc>
        <w:tc>
          <w:tcPr>
            <w:tcW w:w="38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spacing w:after="0"/>
              <w:rPr>
                <w:sz w:val="19"/>
                <w:szCs w:val="19"/>
                <w:color w:val="auto"/>
              </w:rPr>
            </w:pPr>
          </w:p>
        </w:tc>
        <w:tc>
          <w:tcPr>
            <w:tcW w:w="194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45"/>
        </w:trPr>
        <w:tc>
          <w:tcPr>
            <w:tcW w:w="2520" w:type="dxa"/>
            <w:vAlign w:val="bottom"/>
            <w:tcBorders>
              <w:bottom w:val="single" w:sz="8" w:color="E4E4E4"/>
            </w:tcBorders>
          </w:tcPr>
          <w:p>
            <w:pPr>
              <w:spacing w:after="0" w:line="245" w:lineRule="exact"/>
              <w:rPr>
                <w:sz w:val="20"/>
                <w:szCs w:val="20"/>
                <w:color w:val="auto"/>
              </w:rPr>
            </w:pPr>
            <w:r>
              <w:rPr>
                <w:rFonts w:ascii="Times New Roman" w:cs="Times New Roman" w:eastAsia="Times New Roman" w:hAnsi="Times New Roman"/>
                <w:sz w:val="20"/>
                <w:szCs w:val="20"/>
                <w:color w:val="1E1E1E"/>
              </w:rPr>
              <w:t>11-2-25 to 11-29-25</w:t>
            </w:r>
            <w:r>
              <w:rPr>
                <w:rFonts w:ascii="Times New Roman" w:cs="Times New Roman" w:eastAsia="Times New Roman" w:hAnsi="Times New Roman"/>
                <w:sz w:val="25"/>
                <w:szCs w:val="25"/>
                <w:color w:val="1E1E1E"/>
                <w:vertAlign w:val="superscript"/>
              </w:rPr>
              <w:t>(1)</w:t>
            </w:r>
          </w:p>
        </w:tc>
        <w:tc>
          <w:tcPr>
            <w:tcW w:w="100" w:type="dxa"/>
            <w:vAlign w:val="bottom"/>
            <w:tcBorders>
              <w:bottom w:val="single" w:sz="8" w:color="E4E4E4"/>
            </w:tcBorders>
          </w:tcPr>
          <w:p>
            <w:pPr>
              <w:spacing w:after="0"/>
              <w:rPr>
                <w:sz w:val="21"/>
                <w:szCs w:val="21"/>
                <w:color w:val="auto"/>
              </w:rPr>
            </w:pPr>
          </w:p>
        </w:tc>
        <w:tc>
          <w:tcPr>
            <w:tcW w:w="182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14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1600" w:type="dxa"/>
            <w:vAlign w:val="bottom"/>
            <w:tcBorders>
              <w:bottom w:val="single" w:sz="8" w:color="E4E4E4"/>
            </w:tcBorders>
          </w:tcPr>
          <w:p>
            <w:pPr>
              <w:spacing w:after="0"/>
              <w:rPr>
                <w:sz w:val="21"/>
                <w:szCs w:val="21"/>
                <w:color w:val="auto"/>
              </w:rPr>
            </w:pPr>
          </w:p>
        </w:tc>
        <w:tc>
          <w:tcPr>
            <w:tcW w:w="580" w:type="dxa"/>
            <w:vAlign w:val="bottom"/>
            <w:tcBorders>
              <w:bottom w:val="single" w:sz="8" w:color="E4E4E4"/>
            </w:tcBorders>
            <w:gridSpan w:val="3"/>
          </w:tcPr>
          <w:p>
            <w:pPr>
              <w:ind w:left="160"/>
              <w:spacing w:after="0"/>
              <w:rPr>
                <w:sz w:val="20"/>
                <w:szCs w:val="20"/>
                <w:color w:val="auto"/>
              </w:rPr>
            </w:pPr>
            <w:r>
              <w:rPr>
                <w:rFonts w:ascii="Times New Roman" w:cs="Times New Roman" w:eastAsia="Times New Roman" w:hAnsi="Times New Roman"/>
                <w:sz w:val="20"/>
                <w:szCs w:val="20"/>
                <w:color w:val="1E1E1E"/>
              </w:rPr>
              <w:t>— $</w:t>
            </w:r>
          </w:p>
        </w:tc>
        <w:tc>
          <w:tcPr>
            <w:tcW w:w="19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29,755</w:t>
            </w:r>
          </w:p>
        </w:tc>
        <w:tc>
          <w:tcPr>
            <w:tcW w:w="100" w:type="dxa"/>
            <w:vAlign w:val="bottom"/>
            <w:tcBorders>
              <w:bottom w:val="single" w:sz="8" w:color="E4E4E4"/>
            </w:tcBorders>
          </w:tcPr>
          <w:p>
            <w:pPr>
              <w:spacing w:after="0"/>
              <w:rPr>
                <w:sz w:val="21"/>
                <w:szCs w:val="21"/>
                <w:color w:val="auto"/>
              </w:rPr>
            </w:pPr>
          </w:p>
        </w:tc>
      </w:tr>
      <w:tr>
        <w:trPr>
          <w:trHeight w:val="225"/>
        </w:trPr>
        <w:tc>
          <w:tcPr>
            <w:tcW w:w="25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4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60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9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45"/>
        </w:trPr>
        <w:tc>
          <w:tcPr>
            <w:tcW w:w="25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December 2025</w:t>
            </w:r>
          </w:p>
        </w:tc>
        <w:tc>
          <w:tcPr>
            <w:tcW w:w="100" w:type="dxa"/>
            <w:vAlign w:val="bottom"/>
            <w:tcBorders>
              <w:bottom w:val="single" w:sz="8" w:color="E4E4E4"/>
            </w:tcBorders>
          </w:tcPr>
          <w:p>
            <w:pPr>
              <w:spacing w:after="0"/>
              <w:rPr>
                <w:sz w:val="21"/>
                <w:szCs w:val="21"/>
                <w:color w:val="auto"/>
              </w:rPr>
            </w:pPr>
          </w:p>
        </w:tc>
        <w:tc>
          <w:tcPr>
            <w:tcW w:w="160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14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1600" w:type="dxa"/>
            <w:vAlign w:val="bottom"/>
            <w:tcBorders>
              <w:bottom w:val="single" w:sz="8" w:color="E4E4E4"/>
            </w:tcBorders>
          </w:tcPr>
          <w:p>
            <w:pPr>
              <w:spacing w:after="0"/>
              <w:rPr>
                <w:sz w:val="21"/>
                <w:szCs w:val="21"/>
                <w:color w:val="auto"/>
              </w:rPr>
            </w:pPr>
          </w:p>
        </w:tc>
        <w:tc>
          <w:tcPr>
            <w:tcW w:w="3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94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r>
      <w:tr>
        <w:trPr>
          <w:trHeight w:val="220"/>
        </w:trPr>
        <w:tc>
          <w:tcPr>
            <w:tcW w:w="25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11-30-25 to 12-27-25</w:t>
            </w:r>
            <w:r>
              <w:rPr>
                <w:rFonts w:ascii="Times New Roman" w:cs="Times New Roman" w:eastAsia="Times New Roman" w:hAnsi="Times New Roman"/>
                <w:sz w:val="25"/>
                <w:szCs w:val="25"/>
                <w:color w:val="1E1E1E"/>
                <w:vertAlign w:val="superscript"/>
              </w:rPr>
              <w:t>(1)</w:t>
            </w:r>
          </w:p>
        </w:tc>
        <w:tc>
          <w:tcPr>
            <w:tcW w:w="100" w:type="dxa"/>
            <w:vAlign w:val="bottom"/>
            <w:shd w:val="clear" w:color="auto" w:fill="E4E4E4"/>
          </w:tcPr>
          <w:p>
            <w:pPr>
              <w:spacing w:after="0"/>
              <w:rPr>
                <w:sz w:val="19"/>
                <w:szCs w:val="19"/>
                <w:color w:val="auto"/>
              </w:rPr>
            </w:pPr>
          </w:p>
        </w:tc>
        <w:tc>
          <w:tcPr>
            <w:tcW w:w="16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4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600" w:type="dxa"/>
            <w:vAlign w:val="bottom"/>
            <w:shd w:val="clear" w:color="auto" w:fill="E4E4E4"/>
          </w:tcPr>
          <w:p>
            <w:pPr>
              <w:spacing w:after="0"/>
              <w:rPr>
                <w:sz w:val="19"/>
                <w:szCs w:val="19"/>
                <w:color w:val="auto"/>
              </w:rPr>
            </w:pPr>
          </w:p>
        </w:tc>
        <w:tc>
          <w:tcPr>
            <w:tcW w:w="380" w:type="dxa"/>
            <w:vAlign w:val="bottom"/>
            <w:shd w:val="clear" w:color="auto" w:fill="E4E4E4"/>
          </w:tcPr>
          <w:p>
            <w:pPr>
              <w:ind w:left="160"/>
              <w:spacing w:after="0" w:line="220" w:lineRule="exact"/>
              <w:rPr>
                <w:sz w:val="20"/>
                <w:szCs w:val="20"/>
                <w:color w:val="auto"/>
              </w:rPr>
            </w:pPr>
            <w:r>
              <w:rPr>
                <w:rFonts w:ascii="Times New Roman" w:cs="Times New Roman" w:eastAsia="Times New Roman" w:hAnsi="Times New Roman"/>
                <w:sz w:val="20"/>
                <w:szCs w:val="20"/>
                <w:color w:val="1E1E1E"/>
                <w:w w:val="99"/>
              </w:rPr>
              <w:t>—</w:t>
            </w: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9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29,755</w:t>
            </w:r>
          </w:p>
        </w:tc>
        <w:tc>
          <w:tcPr>
            <w:tcW w:w="100" w:type="dxa"/>
            <w:vAlign w:val="bottom"/>
            <w:shd w:val="clear" w:color="auto" w:fill="E4E4E4"/>
          </w:tcPr>
          <w:p>
            <w:pPr>
              <w:spacing w:after="0"/>
              <w:rPr>
                <w:sz w:val="19"/>
                <w:szCs w:val="19"/>
                <w:color w:val="auto"/>
              </w:rPr>
            </w:pPr>
          </w:p>
        </w:tc>
      </w:tr>
      <w:tr>
        <w:trPr>
          <w:trHeight w:val="225"/>
        </w:trPr>
        <w:tc>
          <w:tcPr>
            <w:tcW w:w="252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6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20" w:type="dxa"/>
            <w:vAlign w:val="bottom"/>
            <w:tcBorders>
              <w:bottom w:val="single" w:sz="8" w:color="E4E4E4"/>
            </w:tcBorders>
          </w:tcPr>
          <w:p>
            <w:pPr>
              <w:spacing w:after="0"/>
              <w:rPr>
                <w:sz w:val="19"/>
                <w:szCs w:val="19"/>
                <w:color w:val="auto"/>
              </w:rPr>
            </w:pPr>
          </w:p>
        </w:tc>
        <w:tc>
          <w:tcPr>
            <w:tcW w:w="148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600" w:type="dxa"/>
            <w:vAlign w:val="bottom"/>
            <w:tcBorders>
              <w:bottom w:val="single" w:sz="8" w:color="E4E4E4"/>
            </w:tcBorders>
          </w:tcPr>
          <w:p>
            <w:pPr>
              <w:spacing w:after="0"/>
              <w:rPr>
                <w:sz w:val="19"/>
                <w:szCs w:val="19"/>
                <w:color w:val="auto"/>
              </w:rPr>
            </w:pPr>
          </w:p>
        </w:tc>
        <w:tc>
          <w:tcPr>
            <w:tcW w:w="38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94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r>
      <w:tr>
        <w:trPr>
          <w:trHeight w:val="225"/>
        </w:trPr>
        <w:tc>
          <w:tcPr>
            <w:tcW w:w="252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January 2026</w:t>
            </w:r>
          </w:p>
        </w:tc>
        <w:tc>
          <w:tcPr>
            <w:tcW w:w="100" w:type="dxa"/>
            <w:vAlign w:val="bottom"/>
            <w:shd w:val="clear" w:color="auto" w:fill="E4E4E4"/>
          </w:tcPr>
          <w:p>
            <w:pPr>
              <w:spacing w:after="0"/>
              <w:rPr>
                <w:sz w:val="19"/>
                <w:szCs w:val="19"/>
                <w:color w:val="auto"/>
              </w:rPr>
            </w:pPr>
          </w:p>
        </w:tc>
        <w:tc>
          <w:tcPr>
            <w:tcW w:w="16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4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60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9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45"/>
        </w:trPr>
        <w:tc>
          <w:tcPr>
            <w:tcW w:w="2520" w:type="dxa"/>
            <w:vAlign w:val="bottom"/>
            <w:tcBorders>
              <w:bottom w:val="single" w:sz="8" w:color="E4E4E4"/>
            </w:tcBorders>
          </w:tcPr>
          <w:p>
            <w:pPr>
              <w:spacing w:after="0" w:line="245" w:lineRule="exact"/>
              <w:rPr>
                <w:sz w:val="20"/>
                <w:szCs w:val="20"/>
                <w:color w:val="auto"/>
              </w:rPr>
            </w:pPr>
            <w:r>
              <w:rPr>
                <w:rFonts w:ascii="Times New Roman" w:cs="Times New Roman" w:eastAsia="Times New Roman" w:hAnsi="Times New Roman"/>
                <w:sz w:val="20"/>
                <w:szCs w:val="20"/>
                <w:color w:val="1E1E1E"/>
              </w:rPr>
              <w:t>12-28-25 to 1-31-26</w:t>
            </w:r>
            <w:r>
              <w:rPr>
                <w:rFonts w:ascii="Times New Roman" w:cs="Times New Roman" w:eastAsia="Times New Roman" w:hAnsi="Times New Roman"/>
                <w:sz w:val="25"/>
                <w:szCs w:val="25"/>
                <w:color w:val="1E1E1E"/>
                <w:vertAlign w:val="superscript"/>
              </w:rPr>
              <w:t>(1)</w:t>
            </w:r>
          </w:p>
        </w:tc>
        <w:tc>
          <w:tcPr>
            <w:tcW w:w="100" w:type="dxa"/>
            <w:vAlign w:val="bottom"/>
            <w:tcBorders>
              <w:bottom w:val="single" w:sz="8" w:color="E4E4E4"/>
            </w:tcBorders>
          </w:tcPr>
          <w:p>
            <w:pPr>
              <w:spacing w:after="0"/>
              <w:rPr>
                <w:sz w:val="21"/>
                <w:szCs w:val="21"/>
                <w:color w:val="auto"/>
              </w:rPr>
            </w:pPr>
          </w:p>
        </w:tc>
        <w:tc>
          <w:tcPr>
            <w:tcW w:w="182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14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1600" w:type="dxa"/>
            <w:vAlign w:val="bottom"/>
            <w:tcBorders>
              <w:bottom w:val="single" w:sz="8" w:color="E4E4E4"/>
            </w:tcBorders>
          </w:tcPr>
          <w:p>
            <w:pPr>
              <w:spacing w:after="0"/>
              <w:rPr>
                <w:sz w:val="21"/>
                <w:szCs w:val="21"/>
                <w:color w:val="auto"/>
              </w:rPr>
            </w:pPr>
          </w:p>
        </w:tc>
        <w:tc>
          <w:tcPr>
            <w:tcW w:w="580" w:type="dxa"/>
            <w:vAlign w:val="bottom"/>
            <w:tcBorders>
              <w:bottom w:val="single" w:sz="8" w:color="E4E4E4"/>
            </w:tcBorders>
            <w:gridSpan w:val="3"/>
          </w:tcPr>
          <w:p>
            <w:pPr>
              <w:ind w:left="160"/>
              <w:spacing w:after="0"/>
              <w:rPr>
                <w:sz w:val="20"/>
                <w:szCs w:val="20"/>
                <w:color w:val="auto"/>
              </w:rPr>
            </w:pPr>
            <w:r>
              <w:rPr>
                <w:rFonts w:ascii="Times New Roman" w:cs="Times New Roman" w:eastAsia="Times New Roman" w:hAnsi="Times New Roman"/>
                <w:sz w:val="20"/>
                <w:szCs w:val="20"/>
                <w:color w:val="1E1E1E"/>
              </w:rPr>
              <w:t>— $</w:t>
            </w:r>
          </w:p>
        </w:tc>
        <w:tc>
          <w:tcPr>
            <w:tcW w:w="19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29,755</w:t>
            </w:r>
          </w:p>
        </w:tc>
        <w:tc>
          <w:tcPr>
            <w:tcW w:w="100" w:type="dxa"/>
            <w:vAlign w:val="bottom"/>
            <w:tcBorders>
              <w:bottom w:val="single" w:sz="8" w:color="E4E4E4"/>
            </w:tcBorders>
          </w:tcPr>
          <w:p>
            <w:pPr>
              <w:spacing w:after="0"/>
              <w:rPr>
                <w:sz w:val="21"/>
                <w:szCs w:val="21"/>
                <w:color w:val="auto"/>
              </w:rPr>
            </w:pPr>
          </w:p>
        </w:tc>
      </w:tr>
      <w:tr>
        <w:trPr>
          <w:trHeight w:val="225"/>
        </w:trPr>
        <w:tc>
          <w:tcPr>
            <w:tcW w:w="2520" w:type="dxa"/>
            <w:vAlign w:val="bottom"/>
            <w:tcBorders>
              <w:bottom w:val="single" w:sz="8" w:color="1E1E1E"/>
            </w:tcBorders>
            <w:shd w:val="clear" w:color="auto" w:fill="E4E4E4"/>
          </w:tcPr>
          <w:p>
            <w:pPr>
              <w:spacing w:after="0" w:line="224" w:lineRule="exact"/>
              <w:rPr>
                <w:sz w:val="20"/>
                <w:szCs w:val="20"/>
                <w:color w:val="auto"/>
              </w:rPr>
            </w:pPr>
            <w:r>
              <w:rPr>
                <w:rFonts w:ascii="Times New Roman" w:cs="Times New Roman" w:eastAsia="Times New Roman" w:hAnsi="Times New Roman"/>
                <w:sz w:val="20"/>
                <w:szCs w:val="20"/>
                <w:color w:val="1E1E1E"/>
              </w:rPr>
              <w:t>12-28-25 to 1-31-26</w:t>
            </w:r>
            <w:r>
              <w:rPr>
                <w:rFonts w:ascii="Times New Roman" w:cs="Times New Roman" w:eastAsia="Times New Roman" w:hAnsi="Times New Roman"/>
                <w:sz w:val="25"/>
                <w:szCs w:val="25"/>
                <w:color w:val="1E1E1E"/>
                <w:vertAlign w:val="superscript"/>
              </w:rPr>
              <w:t>(2)</w:t>
            </w:r>
          </w:p>
        </w:tc>
        <w:tc>
          <w:tcPr>
            <w:tcW w:w="100" w:type="dxa"/>
            <w:vAlign w:val="bottom"/>
            <w:tcBorders>
              <w:bottom w:val="single" w:sz="8" w:color="1E1E1E"/>
            </w:tcBorders>
            <w:shd w:val="clear" w:color="auto" w:fill="E4E4E4"/>
          </w:tcPr>
          <w:p>
            <w:pPr>
              <w:spacing w:after="0"/>
              <w:rPr>
                <w:sz w:val="19"/>
                <w:szCs w:val="19"/>
                <w:color w:val="auto"/>
              </w:rPr>
            </w:pPr>
          </w:p>
        </w:tc>
        <w:tc>
          <w:tcPr>
            <w:tcW w:w="160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3,531</w:t>
            </w:r>
          </w:p>
        </w:tc>
        <w:tc>
          <w:tcPr>
            <w:tcW w:w="100" w:type="dxa"/>
            <w:vAlign w:val="bottom"/>
            <w:tcBorders>
              <w:bottom w:val="single" w:sz="8" w:color="E4E4E4"/>
            </w:tcBorders>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48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31.57</w:t>
            </w:r>
          </w:p>
        </w:tc>
        <w:tc>
          <w:tcPr>
            <w:tcW w:w="20" w:type="dxa"/>
            <w:vAlign w:val="bottom"/>
            <w:tcBorders>
              <w:bottom w:val="single" w:sz="8" w:color="1E1E1E"/>
            </w:tcBorders>
            <w:shd w:val="clear" w:color="auto" w:fill="E4E4E4"/>
          </w:tcPr>
          <w:p>
            <w:pPr>
              <w:spacing w:after="0"/>
              <w:rPr>
                <w:sz w:val="19"/>
                <w:szCs w:val="19"/>
                <w:color w:val="auto"/>
              </w:rPr>
            </w:pPr>
          </w:p>
        </w:tc>
        <w:tc>
          <w:tcPr>
            <w:tcW w:w="80" w:type="dxa"/>
            <w:vAlign w:val="bottom"/>
            <w:tcBorders>
              <w:bottom w:val="single" w:sz="8" w:color="E4E4E4"/>
            </w:tcBorders>
            <w:shd w:val="clear" w:color="auto" w:fill="E4E4E4"/>
          </w:tcPr>
          <w:p>
            <w:pPr>
              <w:spacing w:after="0"/>
              <w:rPr>
                <w:sz w:val="19"/>
                <w:szCs w:val="19"/>
                <w:color w:val="auto"/>
              </w:rPr>
            </w:pPr>
          </w:p>
        </w:tc>
        <w:tc>
          <w:tcPr>
            <w:tcW w:w="1600" w:type="dxa"/>
            <w:vAlign w:val="bottom"/>
            <w:tcBorders>
              <w:bottom w:val="single" w:sz="8" w:color="1E1E1E"/>
            </w:tcBorders>
            <w:shd w:val="clear" w:color="auto" w:fill="E4E4E4"/>
          </w:tcPr>
          <w:p>
            <w:pPr>
              <w:spacing w:after="0"/>
              <w:rPr>
                <w:sz w:val="19"/>
                <w:szCs w:val="19"/>
                <w:color w:val="auto"/>
              </w:rPr>
            </w:pPr>
          </w:p>
        </w:tc>
        <w:tc>
          <w:tcPr>
            <w:tcW w:w="380" w:type="dxa"/>
            <w:vAlign w:val="bottom"/>
            <w:tcBorders>
              <w:bottom w:val="single" w:sz="8" w:color="1E1E1E"/>
            </w:tcBorders>
            <w:shd w:val="clear" w:color="auto" w:fill="E4E4E4"/>
          </w:tcPr>
          <w:p>
            <w:pPr>
              <w:ind w:left="160"/>
              <w:spacing w:after="0" w:line="225" w:lineRule="exact"/>
              <w:rPr>
                <w:sz w:val="20"/>
                <w:szCs w:val="20"/>
                <w:color w:val="auto"/>
              </w:rPr>
            </w:pPr>
            <w:r>
              <w:rPr>
                <w:rFonts w:ascii="Times New Roman" w:cs="Times New Roman" w:eastAsia="Times New Roman" w:hAnsi="Times New Roman"/>
                <w:sz w:val="20"/>
                <w:szCs w:val="20"/>
                <w:color w:val="1E1E1E"/>
                <w:w w:val="99"/>
              </w:rPr>
              <w:t>—</w:t>
            </w:r>
          </w:p>
        </w:tc>
        <w:tc>
          <w:tcPr>
            <w:tcW w:w="100" w:type="dxa"/>
            <w:vAlign w:val="bottom"/>
            <w:tcBorders>
              <w:bottom w:val="single" w:sz="8" w:color="E4E4E4"/>
            </w:tcBorders>
            <w:shd w:val="clear" w:color="auto" w:fill="E4E4E4"/>
          </w:tcPr>
          <w:p>
            <w:pPr>
              <w:spacing w:after="0"/>
              <w:rPr>
                <w:sz w:val="19"/>
                <w:szCs w:val="19"/>
                <w:color w:val="auto"/>
              </w:rPr>
            </w:pPr>
          </w:p>
        </w:tc>
        <w:tc>
          <w:tcPr>
            <w:tcW w:w="100" w:type="dxa"/>
            <w:vAlign w:val="bottom"/>
            <w:tcBorders>
              <w:bottom w:val="single" w:sz="8" w:color="1E1E1E"/>
            </w:tcBorders>
            <w:shd w:val="clear" w:color="auto" w:fill="E4E4E4"/>
          </w:tcPr>
          <w:p>
            <w:pPr>
              <w:spacing w:after="0"/>
              <w:rPr>
                <w:sz w:val="19"/>
                <w:szCs w:val="19"/>
                <w:color w:val="auto"/>
              </w:rPr>
            </w:pPr>
          </w:p>
        </w:tc>
        <w:tc>
          <w:tcPr>
            <w:tcW w:w="194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E4E4E4"/>
            </w:tcBorders>
            <w:shd w:val="clear" w:color="auto" w:fill="E4E4E4"/>
          </w:tcPr>
          <w:p>
            <w:pPr>
              <w:spacing w:after="0"/>
              <w:rPr>
                <w:sz w:val="19"/>
                <w:szCs w:val="19"/>
                <w:color w:val="auto"/>
              </w:rPr>
            </w:pPr>
          </w:p>
        </w:tc>
      </w:tr>
      <w:tr>
        <w:trPr>
          <w:trHeight w:val="479"/>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1E1E1E"/>
              </w:rPr>
              <w:t>Total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3,531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31.57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1E1E1E"/>
              </w:rPr>
              <w:t>— $</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29,755</w:t>
            </w:r>
          </w:p>
        </w:tc>
        <w:tc>
          <w:tcPr>
            <w:tcW w:w="100" w:type="dxa"/>
            <w:vAlign w:val="bottom"/>
          </w:tcPr>
          <w:p>
            <w:pPr>
              <w:spacing w:after="0"/>
              <w:rPr>
                <w:sz w:val="24"/>
                <w:szCs w:val="24"/>
                <w:color w:val="auto"/>
              </w:rPr>
            </w:pPr>
          </w:p>
        </w:tc>
      </w:tr>
      <w:tr>
        <w:trPr>
          <w:trHeight w:val="20"/>
        </w:trPr>
        <w:tc>
          <w:tcPr>
            <w:tcW w:w="2520" w:type="dxa"/>
            <w:vAlign w:val="bottom"/>
            <w:shd w:val="clear" w:color="auto" w:fill="1E1E1E"/>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160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1E1E1E"/>
          </w:tcPr>
          <w:p>
            <w:pPr>
              <w:spacing w:after="0" w:line="20" w:lineRule="exact"/>
              <w:rPr>
                <w:sz w:val="1"/>
                <w:szCs w:val="1"/>
                <w:color w:val="auto"/>
              </w:rPr>
            </w:pPr>
          </w:p>
        </w:tc>
        <w:tc>
          <w:tcPr>
            <w:tcW w:w="1480" w:type="dxa"/>
            <w:vAlign w:val="bottom"/>
            <w:shd w:val="clear" w:color="auto" w:fill="1E1E1E"/>
          </w:tcPr>
          <w:p>
            <w:pPr>
              <w:spacing w:after="0" w:line="20" w:lineRule="exact"/>
              <w:rPr>
                <w:sz w:val="1"/>
                <w:szCs w:val="1"/>
                <w:color w:val="auto"/>
              </w:rPr>
            </w:pPr>
          </w:p>
        </w:tc>
        <w:tc>
          <w:tcPr>
            <w:tcW w:w="2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shd w:val="clear" w:color="auto" w:fill="1E1E1E"/>
          </w:tcPr>
          <w:p>
            <w:pPr>
              <w:spacing w:after="0" w:line="20" w:lineRule="exact"/>
              <w:rPr>
                <w:sz w:val="1"/>
                <w:szCs w:val="1"/>
                <w:color w:val="auto"/>
              </w:rPr>
            </w:pPr>
          </w:p>
        </w:tc>
        <w:tc>
          <w:tcPr>
            <w:tcW w:w="38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194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-937260</wp:posOffset>
                </wp:positionV>
                <wp:extent cx="651002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7999pt" to="512.6pt,-73.7999pt" o:allowincell="f" strokecolor="#FFFFFF" strokeweight="0.72pt"/>
            </w:pict>
          </mc:Fallback>
        </mc:AlternateContent>
      </w:r>
    </w:p>
    <w:p>
      <w:pPr>
        <w:spacing w:after="0" w:line="252" w:lineRule="exact"/>
        <w:rPr>
          <w:sz w:val="20"/>
          <w:szCs w:val="20"/>
          <w:color w:val="auto"/>
        </w:rPr>
      </w:pPr>
    </w:p>
    <w:p>
      <w:pPr>
        <w:jc w:val="both"/>
        <w:ind w:left="6" w:right="120" w:hanging="6"/>
        <w:spacing w:after="0" w:line="249" w:lineRule="auto"/>
        <w:tabs>
          <w:tab w:leader="none" w:pos="198" w:val="left"/>
        </w:tabs>
        <w:numPr>
          <w:ilvl w:val="0"/>
          <w:numId w:val="15"/>
        </w:numPr>
        <w:rPr>
          <w:rFonts w:ascii="Times New Roman" w:cs="Times New Roman" w:eastAsia="Times New Roman" w:hAnsi="Times New Roman"/>
          <w:sz w:val="22"/>
          <w:szCs w:val="22"/>
          <w:color w:val="1E1E1E"/>
          <w:vertAlign w:val="superscript"/>
        </w:rPr>
      </w:pPr>
      <w:r>
        <w:rPr>
          <w:rFonts w:ascii="Times New Roman" w:cs="Times New Roman" w:eastAsia="Times New Roman" w:hAnsi="Times New Roman"/>
          <w:sz w:val="17"/>
          <w:szCs w:val="17"/>
          <w:color w:val="1E1E1E"/>
        </w:rPr>
        <w:t>In February 2022, a $100.0 million share repurchase program was approved by the Board of Directors and announced in February 2022, and in June 2023, the Board of Directors approved an additional $50.0 million for share repurchases. We expect to implement the balance of the repurchase program through purchases made from time to time either in the open market or through private transactions, in accordance with the regulations of the SEC and other applicable legal requirements. The timing and amount of any shares repurchased under the program will depend on a variety of factors, including price, corporate and regulatory requirements, capital availability, and other market conditions. The repurchase program may be limited, temporarily paused, or terminated by our Board of Directors at any time without prior notice.</w:t>
      </w:r>
    </w:p>
    <w:p>
      <w:pPr>
        <w:spacing w:after="0" w:line="2" w:lineRule="exact"/>
        <w:rPr>
          <w:rFonts w:ascii="Times New Roman" w:cs="Times New Roman" w:eastAsia="Times New Roman" w:hAnsi="Times New Roman"/>
          <w:sz w:val="22"/>
          <w:szCs w:val="22"/>
          <w:color w:val="1E1E1E"/>
          <w:vertAlign w:val="superscript"/>
        </w:rPr>
      </w:pPr>
    </w:p>
    <w:p>
      <w:pPr>
        <w:ind w:left="6" w:right="120" w:hanging="6"/>
        <w:spacing w:after="0" w:line="212" w:lineRule="auto"/>
        <w:tabs>
          <w:tab w:leader="none" w:pos="193" w:val="left"/>
        </w:tabs>
        <w:numPr>
          <w:ilvl w:val="0"/>
          <w:numId w:val="15"/>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8"/>
          <w:szCs w:val="18"/>
          <w:color w:val="1E1E1E"/>
        </w:rPr>
        <w:t>These shares represent shares withheld from vested restricted stock to satisfy the minimum withholding requirements for federal and state taxes.</w:t>
      </w:r>
    </w:p>
    <w:p>
      <w:pPr>
        <w:sectPr>
          <w:pgSz w:w="12240" w:h="15840" w:orient="portrait"/>
          <w:cols w:equalWidth="0" w:num="1">
            <w:col w:w="10266"/>
          </w:cols>
          <w:pgMar w:left="994"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1E1E1E"/>
        </w:rPr>
        <w:t>30</w:t>
      </w:r>
    </w:p>
    <w:p>
      <w:pPr>
        <w:sectPr>
          <w:pgSz w:w="12240" w:h="15840" w:orient="portrait"/>
          <w:cols w:equalWidth="0" w:num="1">
            <w:col w:w="10266"/>
          </w:cols>
          <w:pgMar w:left="994" w:top="1440" w:right="980" w:bottom="178" w:gutter="0" w:footer="0" w:header="0"/>
          <w:type w:val="continuous"/>
        </w:sectPr>
      </w:pPr>
    </w:p>
    <w:bookmarkStart w:id="37" w:name="page38"/>
    <w:bookmarkEnd w:id="37"/>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Equity Compensation Plan Information</w:t>
      </w:r>
    </w:p>
    <w:p>
      <w:pPr>
        <w:spacing w:after="0" w:line="247" w:lineRule="exact"/>
        <w:rPr>
          <w:sz w:val="20"/>
          <w:szCs w:val="20"/>
          <w:color w:val="auto"/>
        </w:rPr>
      </w:pPr>
    </w:p>
    <w:p>
      <w:pPr>
        <w:ind w:right="660"/>
        <w:spacing w:after="0" w:line="331" w:lineRule="auto"/>
        <w:rPr>
          <w:sz w:val="20"/>
          <w:szCs w:val="20"/>
          <w:color w:val="auto"/>
        </w:rPr>
      </w:pPr>
      <w:r>
        <w:rPr>
          <w:rFonts w:ascii="Times New Roman" w:cs="Times New Roman" w:eastAsia="Times New Roman" w:hAnsi="Times New Roman"/>
          <w:sz w:val="20"/>
          <w:szCs w:val="20"/>
          <w:color w:val="1E1E1E"/>
        </w:rPr>
        <w:t>Refer to Part III, Item 12, "Security Ownership of Certain Beneficial Owners and Management and Related Stockholder Matters" included elsewhere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6. RESERVED</w:t>
      </w:r>
    </w:p>
    <w:p>
      <w:pPr>
        <w:spacing w:after="0" w:line="322" w:lineRule="exact"/>
        <w:rPr>
          <w:sz w:val="20"/>
          <w:szCs w:val="20"/>
          <w:color w:val="auto"/>
        </w:rPr>
      </w:pPr>
    </w:p>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u w:val="single" w:color="auto"/>
          <w:color w:val="1E1E1E"/>
        </w:rPr>
        <w:t>ITEM 7. MANAGEMENT’S DISCUSSION AND ANALYSIS OF FINANCIAL CONDITION AND RESULTS OF OPERATIONS</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the fiscal year ended February 1, 2025, filed with the SEC on March 26, 2025, which provides a discussion of our financial condition and results of operations for Fiscal 2025 compared to our Fiscal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Summary of Results of Operations</w:t>
      </w:r>
    </w:p>
    <w:p>
      <w:pPr>
        <w:spacing w:after="0" w:line="174" w:lineRule="exact"/>
        <w:rPr>
          <w:sz w:val="20"/>
          <w:szCs w:val="20"/>
          <w:color w:val="auto"/>
        </w:rPr>
      </w:pPr>
    </w:p>
    <w:p>
      <w:pPr>
        <w:ind w:left="980" w:hanging="497"/>
        <w:spacing w:after="0"/>
        <w:tabs>
          <w:tab w:leader="none" w:pos="98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Net sales increased 4.8% to $2.4 billion in Fiscal 2026 compared to Fiscal 2025.</w:t>
      </w:r>
    </w:p>
    <w:p>
      <w:pPr>
        <w:spacing w:after="0" w:line="133" w:lineRule="exact"/>
        <w:rPr>
          <w:rFonts w:ascii="Arial" w:cs="Arial" w:eastAsia="Arial" w:hAnsi="Arial"/>
          <w:sz w:val="20"/>
          <w:szCs w:val="20"/>
          <w:color w:val="1E1E1E"/>
        </w:rPr>
      </w:pPr>
    </w:p>
    <w:p>
      <w:pPr>
        <w:jc w:val="both"/>
        <w:ind w:left="980" w:hanging="497"/>
        <w:spacing w:after="0" w:line="260" w:lineRule="auto"/>
        <w:tabs>
          <w:tab w:leader="none" w:pos="98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Journeys Group sales increased 7% and Schuh Group sales increased 4%, partially offset by a sales decrease of 4% at Genesco Brands Group, while Johnston &amp; Murphy Group sales were flat for Fiscal 2026 as compared to Fiscal 2025.</w:t>
      </w:r>
    </w:p>
    <w:p>
      <w:pPr>
        <w:spacing w:after="0" w:line="77" w:lineRule="exact"/>
        <w:rPr>
          <w:rFonts w:ascii="Arial" w:cs="Arial" w:eastAsia="Arial" w:hAnsi="Arial"/>
          <w:sz w:val="20"/>
          <w:szCs w:val="20"/>
          <w:color w:val="1E1E1E"/>
        </w:rPr>
      </w:pPr>
    </w:p>
    <w:p>
      <w:pPr>
        <w:ind w:left="980" w:right="20" w:hanging="497"/>
        <w:spacing w:after="0" w:line="280" w:lineRule="auto"/>
        <w:tabs>
          <w:tab w:leader="none" w:pos="98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Total comparable sales increased 6% for Fiscal 2026, including a 6% increase in same store sales and a 4% increase in comparable e-commerce sales.</w:t>
      </w:r>
    </w:p>
    <w:p>
      <w:pPr>
        <w:spacing w:after="0" w:line="57" w:lineRule="exact"/>
        <w:rPr>
          <w:rFonts w:ascii="Arial" w:cs="Arial" w:eastAsia="Arial" w:hAnsi="Arial"/>
          <w:sz w:val="20"/>
          <w:szCs w:val="20"/>
          <w:color w:val="1E1E1E"/>
        </w:rPr>
      </w:pPr>
    </w:p>
    <w:p>
      <w:pPr>
        <w:ind w:left="980" w:hanging="497"/>
        <w:spacing w:after="0" w:line="280" w:lineRule="auto"/>
        <w:tabs>
          <w:tab w:leader="none" w:pos="98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Gross margin decreased 90 basis points as a percentage of net sales from 47.2% in Fiscal 2025 to 46.3% in Fiscal 2026.</w:t>
      </w:r>
    </w:p>
    <w:p>
      <w:pPr>
        <w:spacing w:after="0" w:line="57" w:lineRule="exact"/>
        <w:rPr>
          <w:rFonts w:ascii="Arial" w:cs="Arial" w:eastAsia="Arial" w:hAnsi="Arial"/>
          <w:sz w:val="20"/>
          <w:szCs w:val="20"/>
          <w:color w:val="1E1E1E"/>
        </w:rPr>
      </w:pPr>
    </w:p>
    <w:p>
      <w:pPr>
        <w:ind w:left="980" w:right="20" w:hanging="497"/>
        <w:spacing w:after="0" w:line="280" w:lineRule="auto"/>
        <w:tabs>
          <w:tab w:leader="none" w:pos="98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Selling and administrative expenses decreased 120 basis points as a percentage of net sales from 46.4% in Fiscal 2025 to 45.2% in Fiscal 2026.</w:t>
      </w:r>
    </w:p>
    <w:p>
      <w:pPr>
        <w:spacing w:after="0" w:line="57" w:lineRule="exact"/>
        <w:rPr>
          <w:rFonts w:ascii="Arial" w:cs="Arial" w:eastAsia="Arial" w:hAnsi="Arial"/>
          <w:sz w:val="20"/>
          <w:szCs w:val="20"/>
          <w:color w:val="1E1E1E"/>
        </w:rPr>
      </w:pPr>
    </w:p>
    <w:p>
      <w:pPr>
        <w:ind w:left="980" w:hanging="497"/>
        <w:spacing w:after="0" w:line="275" w:lineRule="auto"/>
        <w:tabs>
          <w:tab w:leader="none" w:pos="98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Operating margin increased 10 basis points as a percentage of net sales from 0.6% in Fiscal 2025 to 0.7% in Fiscal 2026.</w:t>
      </w:r>
    </w:p>
    <w:p>
      <w:pPr>
        <w:spacing w:after="0" w:line="62" w:lineRule="exact"/>
        <w:rPr>
          <w:rFonts w:ascii="Arial" w:cs="Arial" w:eastAsia="Arial" w:hAnsi="Arial"/>
          <w:sz w:val="20"/>
          <w:szCs w:val="20"/>
          <w:color w:val="1E1E1E"/>
        </w:rPr>
      </w:pPr>
    </w:p>
    <w:p>
      <w:pPr>
        <w:jc w:val="both"/>
        <w:ind w:left="980" w:right="20" w:hanging="497"/>
        <w:spacing w:after="0" w:line="308" w:lineRule="auto"/>
        <w:tabs>
          <w:tab w:leader="none" w:pos="980" w:val="left"/>
        </w:tabs>
        <w:numPr>
          <w:ilvl w:val="0"/>
          <w:numId w:val="16"/>
        </w:numPr>
        <w:rPr>
          <w:rFonts w:ascii="Arial" w:cs="Arial" w:eastAsia="Arial" w:hAnsi="Arial"/>
          <w:sz w:val="19"/>
          <w:szCs w:val="19"/>
          <w:color w:val="1E1E1E"/>
        </w:rPr>
      </w:pPr>
      <w:r>
        <w:rPr>
          <w:rFonts w:ascii="Times New Roman" w:cs="Times New Roman" w:eastAsia="Times New Roman" w:hAnsi="Times New Roman"/>
          <w:sz w:val="19"/>
          <w:szCs w:val="19"/>
          <w:color w:val="1E1E1E"/>
        </w:rPr>
        <w:t>The effective income tax rate decreased from 309.6% in Fiscal 2025 to (5.4)% in Fiscal 2026 as a result of the impact of the One Big Beautiful Bill Act ("OBBBA") in Fiscal 2026 and a $26.2 million valuation allowance in Fiscal 2025.</w:t>
      </w:r>
    </w:p>
    <w:p>
      <w:pPr>
        <w:spacing w:after="0" w:line="33" w:lineRule="exact"/>
        <w:rPr>
          <w:rFonts w:ascii="Arial" w:cs="Arial" w:eastAsia="Arial" w:hAnsi="Arial"/>
          <w:sz w:val="19"/>
          <w:szCs w:val="19"/>
          <w:color w:val="1E1E1E"/>
        </w:rPr>
      </w:pPr>
    </w:p>
    <w:p>
      <w:pPr>
        <w:ind w:left="980" w:hanging="497"/>
        <w:spacing w:after="0" w:line="280" w:lineRule="auto"/>
        <w:tabs>
          <w:tab w:leader="none" w:pos="98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Diluted earnings per share from continuing operations was $1.25 per share in Fiscal 2026 compared to a diluted loss per share from continuing operations of $1.80 per share in Fiscal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Key Performance Indicators</w:t>
      </w:r>
    </w:p>
    <w:p>
      <w:pPr>
        <w:spacing w:after="0" w:line="247"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9"/>
          <w:szCs w:val="19"/>
          <w:color w:val="1E1E1E"/>
        </w:rPr>
        <w:t xml:space="preserve">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and operating margin. </w:t>
      </w:r>
      <w:r>
        <w:rPr>
          <w:rFonts w:ascii="Times New Roman" w:cs="Times New Roman" w:eastAsia="Times New Roman" w:hAnsi="Times New Roman"/>
          <w:sz w:val="19"/>
          <w:szCs w:val="19"/>
          <w:color w:val="272727"/>
        </w:rPr>
        <w:t>These key performance indicators should not be considered superior to,</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color w:val="272727"/>
        </w:rPr>
        <w:t>as a substitute for or as an alternative to, and should be considered in conjunction with, the U.S. GAAP financial measures presented herein. These measures may not be comparable to similarly-titled performance indicators used by other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Comparable Sales</w:t>
      </w:r>
    </w:p>
    <w:p>
      <w:pPr>
        <w:spacing w:after="0" w:line="252"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9"/>
          <w:szCs w:val="19"/>
          <w:color w:val="1E1E1E"/>
        </w:rPr>
        <w:t>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working capital and cash. We define "comparable sales"</w:t>
      </w:r>
    </w:p>
    <w:p>
      <w:pPr>
        <w:sectPr>
          <w:pgSz w:w="12240" w:h="15840" w:orient="portrait"/>
          <w:cols w:equalWidth="0" w:num="1">
            <w:col w:w="10260"/>
          </w:cols>
          <w:pgMar w:left="1000" w:top="1440" w:right="980" w:bottom="178" w:gutter="0" w:footer="0" w:header="0"/>
        </w:sect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31</w:t>
      </w:r>
    </w:p>
    <w:p>
      <w:pPr>
        <w:sectPr>
          <w:pgSz w:w="12240" w:h="15840" w:orient="portrait"/>
          <w:cols w:equalWidth="0" w:num="1">
            <w:col w:w="10260"/>
          </w:cols>
          <w:pgMar w:left="1000" w:top="1440" w:right="980" w:bottom="178" w:gutter="0" w:footer="0" w:header="0"/>
          <w:type w:val="continuous"/>
        </w:sectPr>
      </w:pPr>
    </w:p>
    <w:bookmarkStart w:id="38" w:name="page39"/>
    <w:bookmarkEnd w:id="38"/>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as sales from stores open longer than one year, beginning with the first day a store has comparable sales (which we refer to in this report as "same store sales"), and sales from websites operated longer than one year and direct mail catalog sales (which we refer to in this report as "comparable e-commerce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Results of Operations—Fiscal 2026 Compared to Fiscal 2025</w:t>
      </w:r>
    </w:p>
    <w:p>
      <w:pPr>
        <w:spacing w:after="0" w:line="24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1E1E1E"/>
        </w:rPr>
        <w:t>Our net sales for Fiscal 2026 increased 4.8% to $2.4 billion compared to $2.3 billion in Fiscal 2025. The net sales increase for Fiscal 2026 reflected a 6% increase in comparable sales, including a 6% increase in same store sales and a 4% increase in e-commerce comparable sales, and a favorable foreign exchange impact, partially offset by 42 net store closings and decreased wholesale sales. The consumer environment remains selective and intentional. Consumers tend to engage during key shopping moments and reduce discretionary spending outside of key shopping moments. Journeys Group had a strong year with comparable sales up 9%, fueled by strength in product assortment and other initiatives. Schuh Group comparable sales were flat for the year, reflecting the challenging retail environment in the U.K. Johnston &amp; Murphy Group comparable sales were flat for the year reflecting lower store sales. Journeys Group sales increased 7% and Schuh Group sales increased 4%, partially offset by a sales decrease of 4% at Genesco Brands Group, reflecting the wind-down of Levis and other licenses, while Johnston &amp; Murphy Group sales were flat for Fiscal 2026 compared to Fiscal 2025. Schuh Group's sales were flat on a local currency basis for Fiscal 2026.</w:t>
      </w:r>
    </w:p>
    <w:p>
      <w:pPr>
        <w:spacing w:after="0" w:line="14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Gross margin increased 2.7% to $1.127 billion in Fiscal 2026 from $1.097 billion in Fiscal 2025. Gross margin decreased 90 basis points as a percentage of net sales from 47.2% in Fiscal 2025 to 46.3% in Fiscal 2026, reflecting decreased gross margin as a percentage of net sales in Schuh Group and Genesco Brands Group, while gross margin as a percentage of net sales was flat in both Journeys Group and Johnston &amp; Murphy Group. The overall decrease in gross margin as a percentage of net sales reflects increased promotional activity at Schuh Group and lower margins at Genesco Brands Group related to the exit of licenses and ongoing tariff pressure.</w:t>
      </w:r>
    </w:p>
    <w:p>
      <w:pPr>
        <w:spacing w:after="0" w:line="15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1E1E1E"/>
        </w:rPr>
        <w:t>Selling and administrative expenses in Fiscal 2026 increased 2.0% to $1.101 billion compared to $1.080 billion in Fiscal 2025. Selling and administrative expenses decreased 120 basis points as a percentage of net sales from 46.4% in Fiscal 2025 to 45.2% in Fiscal 2026, reflecting decreased expenses as a percentage of net sales at Journeys Group and Genesco Brands Group, partially offset by increased expenses as a percentage of net sales at Schuh Group and Johnston &amp; Murphy Group. The overall decrease in expenses as a percentage of net sales in Fiscal 2026 reflects a decrease in occupancy costs and selling salaries along with other expenses as part of our cost savings initiatives. Explanations of the changes in results of operations are provided by business segment in discussions following these introductory paragraphs.</w:t>
      </w:r>
    </w:p>
    <w:p>
      <w:pPr>
        <w:spacing w:after="0" w:line="15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Operating margin was 0.7% in Fiscal 2026 compared to 0.6% in Fiscal 2025 reflecting improved operating margin at Journeys Group, partially offset by decreased operating margin at Schuh Group, Johnston &amp; Murphy Group and Genesco Brands Group. The overall improvement in operating margin in Fiscal 2026 primarily reflects decreased selling and administrative expenses as a percentage of net sales, partially offset by decreased gross margin as a percentage of net sales and higher asset impairment and other charges in Fiscal 2026 compared to Fiscal 2025.</w:t>
      </w:r>
    </w:p>
    <w:p>
      <w:pPr>
        <w:spacing w:after="0" w:line="1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1E1E1E"/>
        </w:rPr>
        <w:t>Earnings from continuing operations before income taxes (“pretax earnings") for Fiscal 2026 were $12.6 million, compared to $9.3 million for Fiscal 2025. Pretax earnings for Fiscal 2026 included asset impairment and other charges of $8.1 million which included $3.9 million for store restructuring, $2.9 million for costs associated with information technology transformation, $0.7 million for asset impairments and $0.6 million for severance. Pretax earnings for Fiscal 2025 included asset impairment and other charges of $3.2 million which included $1.8 million for severance and $1.4 million for asset impairments.</w:t>
      </w:r>
    </w:p>
    <w:p>
      <w:pPr>
        <w:spacing w:after="0" w:line="156"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9"/>
          <w:szCs w:val="19"/>
          <w:color w:val="1E1E1E"/>
        </w:rPr>
        <w:t>The effective income tax rate was (5.4)% for Fiscal 2026 compared to 309.6% for Fiscal 2025. The lower effective tax rate for Fiscal 2026 compared to Fiscal 2025 reflects the impact of the enactment of income tax law changes under the OBBBA in Fiscal</w:t>
      </w:r>
    </w:p>
    <w:p>
      <w:pPr>
        <w:sectPr>
          <w:pgSz w:w="12240" w:h="15840" w:orient="portrait"/>
          <w:cols w:equalWidth="0" w:num="1">
            <w:col w:w="10260"/>
          </w:cols>
          <w:pgMar w:left="1000" w:top="1440" w:right="980" w:bottom="178"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32</w:t>
      </w:r>
    </w:p>
    <w:p>
      <w:pPr>
        <w:sectPr>
          <w:pgSz w:w="12240" w:h="15840" w:orient="portrait"/>
          <w:cols w:equalWidth="0" w:num="1">
            <w:col w:w="10260"/>
          </w:cols>
          <w:pgMar w:left="1000" w:top="1440" w:right="980" w:bottom="178" w:gutter="0" w:footer="0" w:header="0"/>
          <w:type w:val="continuous"/>
        </w:sectPr>
      </w:pPr>
    </w:p>
    <w:bookmarkStart w:id="39" w:name="page40"/>
    <w:bookmarkEnd w:id="39"/>
    <w:p>
      <w:pPr>
        <w:spacing w:after="0" w:line="165"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1E1E1E"/>
        </w:rPr>
        <w:t>2026 and their interaction with our valuation allowance in the U.S. jurisdiction coupled with a tax benefit associated with our losses generated in our U.K. tax jurisdiction. Conversely, the higher effective tax rate for Fiscal 2025 reflects a $26.2 million U.S. valuation allowance recorded in Fiscal 2025, reflecting the uncertainty regarding our ability to realize the benefit of our general tax attributes in the U.S. See Item 8, Note 11, "Income Taxes", to our Consolidated Financial Statements included in this Annual Report on Form 10-K for additional information.</w:t>
      </w:r>
    </w:p>
    <w:p>
      <w:pPr>
        <w:spacing w:after="0" w:line="151"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Net earnings for Fiscal 2026 were $13.3 million, or $1.25 diluted earnings per share compared to a net loss of $18.9 million, or $1.74 diluted loss per share for Fiscal 2025. The net loss for Fiscal 2025 includes a $1.2 million ($0.9 million, net of tax) gain from insurance proceeds related to legacy environmental matters.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00" w:type="dxa"/>
            <w:vAlign w:val="bottom"/>
          </w:tcPr>
          <w:p>
            <w:pPr>
              <w:spacing w:after="0"/>
              <w:rPr>
                <w:sz w:val="20"/>
                <w:szCs w:val="20"/>
                <w:color w:val="auto"/>
              </w:rPr>
            </w:pPr>
            <w:r>
              <w:rPr>
                <w:rFonts w:ascii="Times New Roman" w:cs="Times New Roman" w:eastAsia="Times New Roman" w:hAnsi="Times New Roman"/>
                <w:sz w:val="20"/>
                <w:szCs w:val="20"/>
                <w:i w:val="1"/>
                <w:iCs w:val="1"/>
                <w:color w:val="1E1E1E"/>
              </w:rPr>
              <w:t>Journeys Group</w:t>
            </w:r>
          </w:p>
        </w:tc>
        <w:tc>
          <w:tcPr>
            <w:tcW w:w="100" w:type="dxa"/>
            <w:vAlign w:val="bottom"/>
          </w:tcPr>
          <w:p>
            <w:pPr>
              <w:spacing w:after="0"/>
              <w:rPr>
                <w:sz w:val="23"/>
                <w:szCs w:val="23"/>
                <w:color w:val="auto"/>
              </w:rPr>
            </w:pPr>
          </w:p>
        </w:tc>
        <w:tc>
          <w:tcPr>
            <w:tcW w:w="1333" w:type="dxa"/>
            <w:vAlign w:val="bottom"/>
          </w:tcPr>
          <w:p>
            <w:pPr>
              <w:spacing w:after="0"/>
              <w:rPr>
                <w:sz w:val="23"/>
                <w:szCs w:val="23"/>
                <w:color w:val="auto"/>
              </w:rPr>
            </w:pPr>
          </w:p>
        </w:tc>
        <w:tc>
          <w:tcPr>
            <w:tcW w:w="148"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511"/>
        </w:trPr>
        <w:tc>
          <w:tcPr>
            <w:tcW w:w="6000" w:type="dxa"/>
            <w:vAlign w:val="bottom"/>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680" w:type="dxa"/>
            <w:vAlign w:val="bottom"/>
            <w:tcBorders>
              <w:bottom w:val="single" w:sz="8" w:color="1E1E1E"/>
            </w:tcBorders>
            <w:gridSpan w:val="3"/>
          </w:tcPr>
          <w:p>
            <w:pPr>
              <w:jc w:val="right"/>
              <w:ind w:right="599"/>
              <w:spacing w:after="0"/>
              <w:rPr>
                <w:sz w:val="20"/>
                <w:szCs w:val="20"/>
                <w:color w:val="auto"/>
              </w:rPr>
            </w:pPr>
            <w:r>
              <w:rPr>
                <w:rFonts w:ascii="Times New Roman" w:cs="Times New Roman" w:eastAsia="Times New Roman" w:hAnsi="Times New Roman"/>
                <w:sz w:val="20"/>
                <w:szCs w:val="20"/>
                <w:b w:val="1"/>
                <w:bCs w:val="1"/>
                <w:color w:val="1E1E1E"/>
              </w:rPr>
              <w:t>Fiscal Year Ended</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6000" w:type="dxa"/>
            <w:vAlign w:val="bottom"/>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333" w:type="dxa"/>
            <w:vAlign w:val="bottom"/>
            <w:tcBorders>
              <w:bottom w:val="single" w:sz="8" w:color="1E1E1E"/>
            </w:tcBorders>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148" w:type="dxa"/>
            <w:vAlign w:val="bottom"/>
            <w:tcBorders>
              <w:bottom w:val="single" w:sz="8" w:color="1E1E1E"/>
            </w:tcBorders>
          </w:tcPr>
          <w:p>
            <w:pPr>
              <w:spacing w:after="0"/>
              <w:rPr>
                <w:sz w:val="20"/>
                <w:szCs w:val="20"/>
                <w:color w:val="auto"/>
              </w:rPr>
            </w:pPr>
          </w:p>
        </w:tc>
        <w:tc>
          <w:tcPr>
            <w:tcW w:w="1200" w:type="dxa"/>
            <w:vAlign w:val="bottom"/>
            <w:tcBorders>
              <w:bottom w:val="single" w:sz="8" w:color="1E1E1E"/>
            </w:tcBorders>
          </w:tcPr>
          <w:p>
            <w:pPr>
              <w:jc w:val="right"/>
              <w:ind w:right="79"/>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tcPr>
          <w:p>
            <w:pPr>
              <w:spacing w:after="0"/>
              <w:rPr>
                <w:sz w:val="20"/>
                <w:szCs w:val="20"/>
                <w:color w:val="auto"/>
              </w:rPr>
            </w:pPr>
          </w:p>
        </w:tc>
        <w:tc>
          <w:tcPr>
            <w:tcW w:w="1360" w:type="dxa"/>
            <w:vAlign w:val="bottom"/>
            <w:tcBorders>
              <w:bottom w:val="single" w:sz="8" w:color="1E1E1E"/>
            </w:tcBorders>
          </w:tcPr>
          <w:p>
            <w:pPr>
              <w:jc w:val="right"/>
              <w:ind w:right="99"/>
              <w:spacing w:after="0"/>
              <w:rPr>
                <w:sz w:val="20"/>
                <w:szCs w:val="20"/>
                <w:color w:val="auto"/>
              </w:rPr>
            </w:pPr>
            <w:r>
              <w:rPr>
                <w:rFonts w:ascii="Times New Roman" w:cs="Times New Roman" w:eastAsia="Times New Roman" w:hAnsi="Times New Roman"/>
                <w:sz w:val="20"/>
                <w:szCs w:val="20"/>
                <w:color w:val="1E1E1E"/>
              </w:rPr>
              <w:t>Change</w:t>
            </w:r>
          </w:p>
        </w:tc>
      </w:tr>
      <w:tr>
        <w:trPr>
          <w:trHeight w:val="234"/>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3"/>
          </w:tcPr>
          <w:p>
            <w:pPr>
              <w:jc w:val="right"/>
              <w:ind w:right="519"/>
              <w:spacing w:after="0"/>
              <w:rPr>
                <w:sz w:val="20"/>
                <w:szCs w:val="20"/>
                <w:color w:val="auto"/>
              </w:rPr>
            </w:pPr>
            <w:r>
              <w:rPr>
                <w:rFonts w:ascii="Times New Roman" w:cs="Times New Roman" w:eastAsia="Times New Roman" w:hAnsi="Times New Roman"/>
                <w:sz w:val="20"/>
                <w:szCs w:val="20"/>
                <w:color w:val="1E1E1E"/>
              </w:rPr>
              <w:t>(dollars in thousands)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1,494,649</w:t>
            </w:r>
          </w:p>
        </w:tc>
        <w:tc>
          <w:tcPr>
            <w:tcW w:w="14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200" w:type="dxa"/>
            <w:vAlign w:val="bottom"/>
            <w:shd w:val="clear" w:color="auto" w:fill="E4E4E4"/>
          </w:tcPr>
          <w:p>
            <w:pPr>
              <w:jc w:val="right"/>
              <w:ind w:right="79"/>
              <w:spacing w:after="0"/>
              <w:rPr>
                <w:sz w:val="20"/>
                <w:szCs w:val="20"/>
                <w:color w:val="auto"/>
              </w:rPr>
            </w:pPr>
            <w:r>
              <w:rPr>
                <w:rFonts w:ascii="Times New Roman" w:cs="Times New Roman" w:eastAsia="Times New Roman" w:hAnsi="Times New Roman"/>
                <w:sz w:val="20"/>
                <w:szCs w:val="20"/>
                <w:color w:val="1E1E1E"/>
              </w:rPr>
              <w:t>1,398,922</w:t>
            </w: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6.8%</w:t>
            </w:r>
          </w:p>
        </w:tc>
      </w:tr>
      <w:tr>
        <w:trPr>
          <w:trHeight w:val="245"/>
        </w:trPr>
        <w:tc>
          <w:tcPr>
            <w:tcW w:w="60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Cost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764,615</w:t>
            </w:r>
          </w:p>
        </w:tc>
        <w:tc>
          <w:tcPr>
            <w:tcW w:w="148"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jc w:val="right"/>
              <w:ind w:right="79"/>
              <w:spacing w:after="0"/>
              <w:rPr>
                <w:sz w:val="20"/>
                <w:szCs w:val="20"/>
                <w:color w:val="auto"/>
              </w:rPr>
            </w:pPr>
            <w:r>
              <w:rPr>
                <w:rFonts w:ascii="Times New Roman" w:cs="Times New Roman" w:eastAsia="Times New Roman" w:hAnsi="Times New Roman"/>
                <w:sz w:val="20"/>
                <w:szCs w:val="20"/>
                <w:color w:val="1E1E1E"/>
              </w:rPr>
              <w:t>715,723</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4"/>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Gross margin</w:t>
            </w:r>
          </w:p>
        </w:tc>
        <w:tc>
          <w:tcPr>
            <w:tcW w:w="100" w:type="dxa"/>
            <w:vAlign w:val="bottom"/>
            <w:shd w:val="clear" w:color="auto" w:fill="E4E4E4"/>
          </w:tcPr>
          <w:p>
            <w:pPr>
              <w:spacing w:after="0"/>
              <w:rPr>
                <w:sz w:val="20"/>
                <w:szCs w:val="20"/>
                <w:color w:val="auto"/>
              </w:rPr>
            </w:pP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730,034</w:t>
            </w:r>
          </w:p>
        </w:tc>
        <w:tc>
          <w:tcPr>
            <w:tcW w:w="148" w:type="dxa"/>
            <w:vAlign w:val="bottom"/>
            <w:shd w:val="clear" w:color="auto" w:fill="E4E4E4"/>
          </w:tcPr>
          <w:p>
            <w:pPr>
              <w:spacing w:after="0"/>
              <w:rPr>
                <w:sz w:val="20"/>
                <w:szCs w:val="20"/>
                <w:color w:val="auto"/>
              </w:rPr>
            </w:pPr>
          </w:p>
        </w:tc>
        <w:tc>
          <w:tcPr>
            <w:tcW w:w="1200" w:type="dxa"/>
            <w:vAlign w:val="bottom"/>
            <w:shd w:val="clear" w:color="auto" w:fill="E4E4E4"/>
          </w:tcPr>
          <w:p>
            <w:pPr>
              <w:jc w:val="right"/>
              <w:ind w:right="79"/>
              <w:spacing w:after="0"/>
              <w:rPr>
                <w:sz w:val="20"/>
                <w:szCs w:val="20"/>
                <w:color w:val="auto"/>
              </w:rPr>
            </w:pPr>
            <w:r>
              <w:rPr>
                <w:rFonts w:ascii="Times New Roman" w:cs="Times New Roman" w:eastAsia="Times New Roman" w:hAnsi="Times New Roman"/>
                <w:sz w:val="20"/>
                <w:szCs w:val="20"/>
                <w:color w:val="1E1E1E"/>
              </w:rPr>
              <w:t>683,199</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6.9%</w:t>
            </w:r>
          </w:p>
        </w:tc>
      </w:tr>
      <w:tr>
        <w:trPr>
          <w:trHeight w:val="245"/>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Pr>
          <w:p>
            <w:pPr>
              <w:spacing w:after="0"/>
              <w:rPr>
                <w:sz w:val="21"/>
                <w:szCs w:val="21"/>
                <w:color w:val="auto"/>
              </w:rPr>
            </w:pPr>
          </w:p>
        </w:tc>
        <w:tc>
          <w:tcPr>
            <w:tcW w:w="1333" w:type="dxa"/>
            <w:vAlign w:val="bottom"/>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48.8%</w:t>
            </w:r>
          </w:p>
        </w:tc>
        <w:tc>
          <w:tcPr>
            <w:tcW w:w="148"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48.8%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0"/>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Selling and administrative expenses</w:t>
            </w:r>
          </w:p>
        </w:tc>
        <w:tc>
          <w:tcPr>
            <w:tcW w:w="100" w:type="dxa"/>
            <w:vAlign w:val="bottom"/>
            <w:shd w:val="clear" w:color="auto" w:fill="E4E4E4"/>
          </w:tcPr>
          <w:p>
            <w:pPr>
              <w:spacing w:after="0"/>
              <w:rPr>
                <w:sz w:val="20"/>
                <w:szCs w:val="20"/>
                <w:color w:val="auto"/>
              </w:rPr>
            </w:pP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669,544</w:t>
            </w:r>
          </w:p>
        </w:tc>
        <w:tc>
          <w:tcPr>
            <w:tcW w:w="148" w:type="dxa"/>
            <w:vAlign w:val="bottom"/>
            <w:shd w:val="clear" w:color="auto" w:fill="E4E4E4"/>
          </w:tcPr>
          <w:p>
            <w:pPr>
              <w:spacing w:after="0"/>
              <w:rPr>
                <w:sz w:val="20"/>
                <w:szCs w:val="20"/>
                <w:color w:val="auto"/>
              </w:rPr>
            </w:pPr>
          </w:p>
        </w:tc>
        <w:tc>
          <w:tcPr>
            <w:tcW w:w="1200" w:type="dxa"/>
            <w:vAlign w:val="bottom"/>
            <w:shd w:val="clear" w:color="auto" w:fill="E4E4E4"/>
          </w:tcPr>
          <w:p>
            <w:pPr>
              <w:jc w:val="right"/>
              <w:ind w:right="79"/>
              <w:spacing w:after="0"/>
              <w:rPr>
                <w:sz w:val="20"/>
                <w:szCs w:val="20"/>
                <w:color w:val="auto"/>
              </w:rPr>
            </w:pPr>
            <w:r>
              <w:rPr>
                <w:rFonts w:ascii="Times New Roman" w:cs="Times New Roman" w:eastAsia="Times New Roman" w:hAnsi="Times New Roman"/>
                <w:sz w:val="20"/>
                <w:szCs w:val="20"/>
                <w:color w:val="1E1E1E"/>
              </w:rPr>
              <w:t>656,854</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w:t>
            </w:r>
          </w:p>
        </w:tc>
      </w:tr>
      <w:tr>
        <w:trPr>
          <w:trHeight w:val="245"/>
        </w:trPr>
        <w:tc>
          <w:tcPr>
            <w:tcW w:w="600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44.8%</w:t>
            </w:r>
          </w:p>
        </w:tc>
        <w:tc>
          <w:tcPr>
            <w:tcW w:w="148"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i w:val="1"/>
                <w:iCs w:val="1"/>
                <w:color w:val="1E1E1E"/>
              </w:rPr>
              <w:t>47.0%</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4"/>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Operating income</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60,490</w:t>
            </w:r>
          </w:p>
        </w:tc>
        <w:tc>
          <w:tcPr>
            <w:tcW w:w="14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200" w:type="dxa"/>
            <w:vAlign w:val="bottom"/>
            <w:shd w:val="clear" w:color="auto" w:fill="E4E4E4"/>
          </w:tcPr>
          <w:p>
            <w:pPr>
              <w:jc w:val="right"/>
              <w:ind w:right="79"/>
              <w:spacing w:after="0"/>
              <w:rPr>
                <w:sz w:val="20"/>
                <w:szCs w:val="20"/>
                <w:color w:val="auto"/>
              </w:rPr>
            </w:pPr>
            <w:r>
              <w:rPr>
                <w:rFonts w:ascii="Times New Roman" w:cs="Times New Roman" w:eastAsia="Times New Roman" w:hAnsi="Times New Roman"/>
                <w:sz w:val="20"/>
                <w:szCs w:val="20"/>
                <w:color w:val="1E1E1E"/>
              </w:rPr>
              <w:t>26,345</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129.6%</w:t>
            </w:r>
          </w:p>
        </w:tc>
      </w:tr>
      <w:tr>
        <w:trPr>
          <w:trHeight w:val="276"/>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Operating margin</w:t>
            </w:r>
          </w:p>
        </w:tc>
        <w:tc>
          <w:tcPr>
            <w:tcW w:w="100" w:type="dxa"/>
            <w:vAlign w:val="bottom"/>
          </w:tcPr>
          <w:p>
            <w:pPr>
              <w:spacing w:after="0"/>
              <w:rPr>
                <w:sz w:val="24"/>
                <w:szCs w:val="24"/>
                <w:color w:val="auto"/>
              </w:rPr>
            </w:pPr>
          </w:p>
        </w:tc>
        <w:tc>
          <w:tcPr>
            <w:tcW w:w="1333" w:type="dxa"/>
            <w:vAlign w:val="bottom"/>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4.0%</w:t>
            </w:r>
          </w:p>
        </w:tc>
        <w:tc>
          <w:tcPr>
            <w:tcW w:w="148"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1.9%</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3811905</wp:posOffset>
                </wp:positionH>
                <wp:positionV relativeFrom="paragraph">
                  <wp:posOffset>-1423035</wp:posOffset>
                </wp:positionV>
                <wp:extent cx="176784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78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15pt,-112.0499pt" to="439.35pt,-112.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5643880</wp:posOffset>
                </wp:positionH>
                <wp:positionV relativeFrom="paragraph">
                  <wp:posOffset>-1423035</wp:posOffset>
                </wp:positionV>
                <wp:extent cx="86233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23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pt,-112.0499pt" to="512.3pt,-112.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5710555</wp:posOffset>
                </wp:positionH>
                <wp:positionV relativeFrom="paragraph">
                  <wp:posOffset>-1263015</wp:posOffset>
                </wp:positionV>
                <wp:extent cx="670560" cy="14605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050"/>
                        </a:xfrm>
                        <a:prstGeom prst="rect">
                          <a:avLst/>
                        </a:prstGeom>
                        <a:solidFill>
                          <a:srgbClr val="E4E4E4"/>
                        </a:solidFill>
                      </wps:spPr>
                      <wps:bodyPr/>
                    </wps:wsp>
                  </a:graphicData>
                </a:graphic>
              </wp:anchor>
            </w:drawing>
          </mc:Choice>
          <mc:Fallback>
            <w:pict>
              <v:rect id="Shape 25" o:spid="_x0000_s1050" style="position:absolute;margin-left:449.65pt;margin-top:-99.4499pt;width:5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5710555</wp:posOffset>
                </wp:positionH>
                <wp:positionV relativeFrom="paragraph">
                  <wp:posOffset>-945515</wp:posOffset>
                </wp:positionV>
                <wp:extent cx="670560" cy="14605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050"/>
                        </a:xfrm>
                        <a:prstGeom prst="rect">
                          <a:avLst/>
                        </a:prstGeom>
                        <a:solidFill>
                          <a:srgbClr val="E4E4E4"/>
                        </a:solidFill>
                      </wps:spPr>
                      <wps:bodyPr/>
                    </wps:wsp>
                  </a:graphicData>
                </a:graphic>
              </wp:anchor>
            </w:drawing>
          </mc:Choice>
          <mc:Fallback>
            <w:pict>
              <v:rect id="Shape 26" o:spid="_x0000_s1051" style="position:absolute;margin-left:449.65pt;margin-top:-74.4499pt;width:52.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5710555</wp:posOffset>
                </wp:positionH>
                <wp:positionV relativeFrom="paragraph">
                  <wp:posOffset>-635000</wp:posOffset>
                </wp:positionV>
                <wp:extent cx="670560" cy="14287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2875"/>
                        </a:xfrm>
                        <a:prstGeom prst="rect">
                          <a:avLst/>
                        </a:prstGeom>
                        <a:solidFill>
                          <a:srgbClr val="E4E4E4"/>
                        </a:solidFill>
                      </wps:spPr>
                      <wps:bodyPr/>
                    </wps:wsp>
                  </a:graphicData>
                </a:graphic>
              </wp:anchor>
            </w:drawing>
          </mc:Choice>
          <mc:Fallback>
            <w:pict>
              <v:rect id="Shape 27" o:spid="_x0000_s1052" style="position:absolute;margin-left:449.65pt;margin-top:-50pt;width:52.8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5710555</wp:posOffset>
                </wp:positionH>
                <wp:positionV relativeFrom="paragraph">
                  <wp:posOffset>-321310</wp:posOffset>
                </wp:positionV>
                <wp:extent cx="670560" cy="14668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0560" cy="146685"/>
                        </a:xfrm>
                        <a:prstGeom prst="rect">
                          <a:avLst/>
                        </a:prstGeom>
                        <a:solidFill>
                          <a:srgbClr val="E4E4E4"/>
                        </a:solidFill>
                      </wps:spPr>
                      <wps:bodyPr/>
                    </wps:wsp>
                  </a:graphicData>
                </a:graphic>
              </wp:anchor>
            </w:drawing>
          </mc:Choice>
          <mc:Fallback>
            <w:pict>
              <v:rect id="Shape 28" o:spid="_x0000_s1053" style="position:absolute;margin-left:449.65pt;margin-top:-25.2999pt;width:52.8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1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Net sales from Journeys Group increased 6.8% to $1.49 billion for Fiscal 2026 compared to $1.40 billion for Fiscal 2025. The increase in net sales was primarily due to a total comparable sales increase of 9% primarily reflecting increased store sales, partially offset by a 5% decrease in the average number of Journeys stores for Fiscal 2026 due to 41 net store closures. The increase in comparable sales in Fiscal 2026 was fueled by strength in Journeys Group's product assortment with brands across both casual and athletic posting gains. Journeys Group drove strong gains in conversion and transaction size. We continue to elevate the product assortment and invest in the Journeys brand to improve the customer experience.</w:t>
      </w:r>
    </w:p>
    <w:p>
      <w:pPr>
        <w:spacing w:after="0" w:line="233"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The store count for Journeys Group was 965 stores at the end of Fiscal 2026, including 194 Journeys Kidz stores, 33 Journeys stores in Canada and 30 Little Burgundy stores in Canada, compared to 1,006 stores at the end of Fiscal 2025, including 211 Journeys Kidz stores, 35 Journeys stores in Canada and 30 Little Burgundy stores in Canada.</w:t>
      </w:r>
    </w:p>
    <w:p>
      <w:pPr>
        <w:spacing w:after="0" w:line="14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1E1E1E"/>
        </w:rPr>
        <w:t>The 210 basis point improvement in operating margin for Journeys Group in Fiscal 2026 compared to Fiscal 2025 was primarily due to decreased selling and administrative expenses as a percentage of net sales reflecting leverage of expense as a result of increased revenue in Fiscal 2026, especially occupancy expense and selling salaries, and also reflecting our cost savings initiatives. The decrease in selling and administrative expense as a percentage of net sales demonstrates the impact of our cost savings initiatives and closing underperforming stores. Gross margin as a percentage of net sales was flat in Fiscal 2026 as changes in product mix were offset by lower markdowns and decreased shipping and warehouse expense.</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33</w:t>
      </w:r>
    </w:p>
    <w:p>
      <w:pPr>
        <w:sectPr>
          <w:pgSz w:w="12240" w:h="15840" w:orient="portrait"/>
          <w:cols w:equalWidth="0" w:num="1">
            <w:col w:w="10260"/>
          </w:cols>
          <w:pgMar w:left="1000" w:top="1440" w:right="980" w:bottom="178" w:gutter="0" w:footer="0" w:header="0"/>
          <w:type w:val="continuous"/>
        </w:sectPr>
      </w:pPr>
    </w:p>
    <w:bookmarkStart w:id="40" w:name="page41"/>
    <w:bookmarkEnd w:id="40"/>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000" w:type="dxa"/>
            <w:vAlign w:val="bottom"/>
          </w:tcPr>
          <w:p>
            <w:pPr>
              <w:spacing w:after="0"/>
              <w:rPr>
                <w:sz w:val="20"/>
                <w:szCs w:val="20"/>
                <w:color w:val="auto"/>
              </w:rPr>
            </w:pPr>
            <w:r>
              <w:rPr>
                <w:rFonts w:ascii="Times New Roman" w:cs="Times New Roman" w:eastAsia="Times New Roman" w:hAnsi="Times New Roman"/>
                <w:sz w:val="20"/>
                <w:szCs w:val="20"/>
                <w:i w:val="1"/>
                <w:iCs w:val="1"/>
                <w:color w:val="1E1E1E"/>
              </w:rPr>
              <w:t>Schuh Group</w:t>
            </w:r>
          </w:p>
        </w:tc>
        <w:tc>
          <w:tcPr>
            <w:tcW w:w="100" w:type="dxa"/>
            <w:vAlign w:val="bottom"/>
          </w:tcPr>
          <w:p>
            <w:pPr>
              <w:spacing w:after="0"/>
              <w:rPr>
                <w:sz w:val="23"/>
                <w:szCs w:val="23"/>
                <w:color w:val="auto"/>
              </w:rPr>
            </w:pPr>
          </w:p>
        </w:tc>
        <w:tc>
          <w:tcPr>
            <w:tcW w:w="1333" w:type="dxa"/>
            <w:vAlign w:val="bottom"/>
          </w:tcPr>
          <w:p>
            <w:pPr>
              <w:spacing w:after="0"/>
              <w:rPr>
                <w:sz w:val="23"/>
                <w:szCs w:val="23"/>
                <w:color w:val="auto"/>
              </w:rPr>
            </w:pPr>
          </w:p>
        </w:tc>
        <w:tc>
          <w:tcPr>
            <w:tcW w:w="138" w:type="dxa"/>
            <w:vAlign w:val="bottom"/>
          </w:tcPr>
          <w:p>
            <w:pPr>
              <w:spacing w:after="0"/>
              <w:rPr>
                <w:sz w:val="23"/>
                <w:szCs w:val="23"/>
                <w:color w:val="auto"/>
              </w:rPr>
            </w:pPr>
          </w:p>
        </w:tc>
        <w:tc>
          <w:tcPr>
            <w:tcW w:w="121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564"/>
        </w:trPr>
        <w:tc>
          <w:tcPr>
            <w:tcW w:w="6000" w:type="dxa"/>
            <w:vAlign w:val="bottom"/>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680" w:type="dxa"/>
            <w:vAlign w:val="bottom"/>
            <w:tcBorders>
              <w:bottom w:val="single" w:sz="8" w:color="1E1E1E"/>
            </w:tcBorders>
            <w:gridSpan w:val="3"/>
          </w:tcPr>
          <w:p>
            <w:pPr>
              <w:jc w:val="right"/>
              <w:ind w:right="599"/>
              <w:spacing w:after="0"/>
              <w:rPr>
                <w:sz w:val="20"/>
                <w:szCs w:val="20"/>
                <w:color w:val="auto"/>
              </w:rPr>
            </w:pPr>
            <w:r>
              <w:rPr>
                <w:rFonts w:ascii="Times New Roman" w:cs="Times New Roman" w:eastAsia="Times New Roman" w:hAnsi="Times New Roman"/>
                <w:sz w:val="20"/>
                <w:szCs w:val="20"/>
                <w:b w:val="1"/>
                <w:bCs w:val="1"/>
                <w:color w:val="1E1E1E"/>
              </w:rPr>
              <w:t>Fiscal Year Ended</w:t>
            </w:r>
          </w:p>
        </w:tc>
        <w:tc>
          <w:tcPr>
            <w:tcW w:w="1460" w:type="dxa"/>
            <w:vAlign w:val="bottom"/>
            <w:gridSpan w:val="2"/>
          </w:tcPr>
          <w:p>
            <w:pPr>
              <w:jc w:val="right"/>
              <w:ind w:right="159"/>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6000" w:type="dxa"/>
            <w:vAlign w:val="bottom"/>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333" w:type="dxa"/>
            <w:vAlign w:val="bottom"/>
            <w:tcBorders>
              <w:bottom w:val="single" w:sz="8" w:color="1E1E1E"/>
            </w:tcBorders>
          </w:tcPr>
          <w:p>
            <w:pPr>
              <w:jc w:val="right"/>
              <w:ind w:right="272"/>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138" w:type="dxa"/>
            <w:vAlign w:val="bottom"/>
            <w:tcBorders>
              <w:bottom w:val="single" w:sz="8" w:color="1E1E1E"/>
            </w:tcBorders>
          </w:tcPr>
          <w:p>
            <w:pPr>
              <w:spacing w:after="0"/>
              <w:rPr>
                <w:sz w:val="20"/>
                <w:szCs w:val="20"/>
                <w:color w:val="auto"/>
              </w:rPr>
            </w:pPr>
          </w:p>
        </w:tc>
        <w:tc>
          <w:tcPr>
            <w:tcW w:w="1210" w:type="dxa"/>
            <w:vAlign w:val="bottom"/>
            <w:tcBorders>
              <w:bottom w:val="single" w:sz="8" w:color="1E1E1E"/>
            </w:tcBorders>
          </w:tcPr>
          <w:p>
            <w:pPr>
              <w:jc w:val="right"/>
              <w:ind w:right="79"/>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tcPr>
          <w:p>
            <w:pPr>
              <w:spacing w:after="0"/>
              <w:rPr>
                <w:sz w:val="20"/>
                <w:szCs w:val="20"/>
                <w:color w:val="auto"/>
              </w:rPr>
            </w:pPr>
          </w:p>
        </w:tc>
        <w:tc>
          <w:tcPr>
            <w:tcW w:w="1360" w:type="dxa"/>
            <w:vAlign w:val="bottom"/>
            <w:tcBorders>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color w:val="1E1E1E"/>
              </w:rPr>
              <w:t>Change</w:t>
            </w:r>
          </w:p>
        </w:tc>
      </w:tr>
      <w:tr>
        <w:trPr>
          <w:trHeight w:val="230"/>
        </w:trPr>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3"/>
          </w:tcPr>
          <w:p>
            <w:pPr>
              <w:jc w:val="right"/>
              <w:ind w:right="519"/>
              <w:spacing w:after="0"/>
              <w:rPr>
                <w:sz w:val="20"/>
                <w:szCs w:val="20"/>
                <w:color w:val="auto"/>
              </w:rPr>
            </w:pPr>
            <w:r>
              <w:rPr>
                <w:rFonts w:ascii="Times New Roman" w:cs="Times New Roman" w:eastAsia="Times New Roman" w:hAnsi="Times New Roman"/>
                <w:sz w:val="20"/>
                <w:szCs w:val="20"/>
                <w:color w:val="1E1E1E"/>
              </w:rPr>
              <w:t>(dollars in thousands)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5"/>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500,022</w:t>
            </w:r>
          </w:p>
        </w:tc>
        <w:tc>
          <w:tcPr>
            <w:tcW w:w="13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479,891</w:t>
            </w: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4.2%</w:t>
            </w:r>
          </w:p>
        </w:tc>
      </w:tr>
      <w:tr>
        <w:trPr>
          <w:trHeight w:val="245"/>
        </w:trPr>
        <w:tc>
          <w:tcPr>
            <w:tcW w:w="60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Cost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272"/>
              <w:spacing w:after="0"/>
              <w:rPr>
                <w:sz w:val="20"/>
                <w:szCs w:val="20"/>
                <w:color w:val="auto"/>
              </w:rPr>
            </w:pPr>
            <w:r>
              <w:rPr>
                <w:rFonts w:ascii="Times New Roman" w:cs="Times New Roman" w:eastAsia="Times New Roman" w:hAnsi="Times New Roman"/>
                <w:sz w:val="20"/>
                <w:szCs w:val="20"/>
                <w:b w:val="1"/>
                <w:bCs w:val="1"/>
                <w:color w:val="1E1E1E"/>
              </w:rPr>
              <w:t>304,544</w:t>
            </w:r>
          </w:p>
        </w:tc>
        <w:tc>
          <w:tcPr>
            <w:tcW w:w="138" w:type="dxa"/>
            <w:vAlign w:val="bottom"/>
            <w:tcBorders>
              <w:bottom w:val="single" w:sz="8" w:color="1E1E1E"/>
            </w:tcBorders>
          </w:tcPr>
          <w:p>
            <w:pPr>
              <w:spacing w:after="0"/>
              <w:rPr>
                <w:sz w:val="21"/>
                <w:szCs w:val="21"/>
                <w:color w:val="auto"/>
              </w:rPr>
            </w:pPr>
          </w:p>
        </w:tc>
        <w:tc>
          <w:tcPr>
            <w:tcW w:w="1210" w:type="dxa"/>
            <w:vAlign w:val="bottom"/>
            <w:tcBorders>
              <w:bottom w:val="single" w:sz="8" w:color="1E1E1E"/>
            </w:tcBorders>
          </w:tcPr>
          <w:p>
            <w:pPr>
              <w:jc w:val="right"/>
              <w:ind w:right="99"/>
              <w:spacing w:after="0"/>
              <w:rPr>
                <w:sz w:val="20"/>
                <w:szCs w:val="20"/>
                <w:color w:val="auto"/>
              </w:rPr>
            </w:pPr>
            <w:r>
              <w:rPr>
                <w:rFonts w:ascii="Times New Roman" w:cs="Times New Roman" w:eastAsia="Times New Roman" w:hAnsi="Times New Roman"/>
                <w:sz w:val="20"/>
                <w:szCs w:val="20"/>
                <w:color w:val="1E1E1E"/>
              </w:rPr>
              <w:t>280,395</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4"/>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Gross margin</w:t>
            </w:r>
          </w:p>
        </w:tc>
        <w:tc>
          <w:tcPr>
            <w:tcW w:w="100" w:type="dxa"/>
            <w:vAlign w:val="bottom"/>
            <w:shd w:val="clear" w:color="auto" w:fill="E4E4E4"/>
          </w:tcPr>
          <w:p>
            <w:pPr>
              <w:spacing w:after="0"/>
              <w:rPr>
                <w:sz w:val="20"/>
                <w:szCs w:val="20"/>
                <w:color w:val="auto"/>
              </w:rPr>
            </w:pP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195,478</w:t>
            </w:r>
          </w:p>
        </w:tc>
        <w:tc>
          <w:tcPr>
            <w:tcW w:w="138" w:type="dxa"/>
            <w:vAlign w:val="bottom"/>
            <w:shd w:val="clear" w:color="auto" w:fill="E4E4E4"/>
          </w:tcPr>
          <w:p>
            <w:pPr>
              <w:spacing w:after="0"/>
              <w:rPr>
                <w:sz w:val="20"/>
                <w:szCs w:val="20"/>
                <w:color w:val="auto"/>
              </w:rPr>
            </w:pP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199,496</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(2.0)%</w:t>
            </w:r>
          </w:p>
        </w:tc>
      </w:tr>
      <w:tr>
        <w:trPr>
          <w:trHeight w:val="245"/>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Pr>
          <w:p>
            <w:pPr>
              <w:spacing w:after="0"/>
              <w:rPr>
                <w:sz w:val="21"/>
                <w:szCs w:val="21"/>
                <w:color w:val="auto"/>
              </w:rPr>
            </w:pPr>
          </w:p>
        </w:tc>
        <w:tc>
          <w:tcPr>
            <w:tcW w:w="1333" w:type="dxa"/>
            <w:vAlign w:val="bottom"/>
          </w:tcPr>
          <w:p>
            <w:pPr>
              <w:jc w:val="right"/>
              <w:ind w:right="92"/>
              <w:spacing w:after="0"/>
              <w:rPr>
                <w:sz w:val="20"/>
                <w:szCs w:val="20"/>
                <w:color w:val="auto"/>
              </w:rPr>
            </w:pPr>
            <w:r>
              <w:rPr>
                <w:rFonts w:ascii="Times New Roman" w:cs="Times New Roman" w:eastAsia="Times New Roman" w:hAnsi="Times New Roman"/>
                <w:sz w:val="20"/>
                <w:szCs w:val="20"/>
                <w:b w:val="1"/>
                <w:bCs w:val="1"/>
                <w:i w:val="1"/>
                <w:iCs w:val="1"/>
                <w:color w:val="1E1E1E"/>
              </w:rPr>
              <w:t>39.1%</w:t>
            </w:r>
          </w:p>
        </w:tc>
        <w:tc>
          <w:tcPr>
            <w:tcW w:w="138" w:type="dxa"/>
            <w:vAlign w:val="bottom"/>
          </w:tcPr>
          <w:p>
            <w:pPr>
              <w:spacing w:after="0"/>
              <w:rPr>
                <w:sz w:val="21"/>
                <w:szCs w:val="21"/>
                <w:color w:val="auto"/>
              </w:rPr>
            </w:pPr>
          </w:p>
        </w:tc>
        <w:tc>
          <w:tcPr>
            <w:tcW w:w="121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41.6%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5"/>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Selling and administrative expenses</w:t>
            </w:r>
          </w:p>
        </w:tc>
        <w:tc>
          <w:tcPr>
            <w:tcW w:w="100" w:type="dxa"/>
            <w:vAlign w:val="bottom"/>
            <w:shd w:val="clear" w:color="auto" w:fill="E4E4E4"/>
          </w:tcPr>
          <w:p>
            <w:pPr>
              <w:spacing w:after="0"/>
              <w:rPr>
                <w:sz w:val="21"/>
                <w:szCs w:val="21"/>
                <w:color w:val="auto"/>
              </w:rPr>
            </w:pP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200,023</w:t>
            </w:r>
          </w:p>
        </w:tc>
        <w:tc>
          <w:tcPr>
            <w:tcW w:w="138" w:type="dxa"/>
            <w:vAlign w:val="bottom"/>
            <w:shd w:val="clear" w:color="auto" w:fill="E4E4E4"/>
          </w:tcPr>
          <w:p>
            <w:pPr>
              <w:spacing w:after="0"/>
              <w:rPr>
                <w:sz w:val="21"/>
                <w:szCs w:val="21"/>
                <w:color w:val="auto"/>
              </w:rPr>
            </w:pP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189,297</w:t>
            </w: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5.7%</w:t>
            </w:r>
          </w:p>
        </w:tc>
      </w:tr>
      <w:tr>
        <w:trPr>
          <w:trHeight w:val="245"/>
        </w:trPr>
        <w:tc>
          <w:tcPr>
            <w:tcW w:w="600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92"/>
              <w:spacing w:after="0"/>
              <w:rPr>
                <w:sz w:val="20"/>
                <w:szCs w:val="20"/>
                <w:color w:val="auto"/>
              </w:rPr>
            </w:pPr>
            <w:r>
              <w:rPr>
                <w:rFonts w:ascii="Times New Roman" w:cs="Times New Roman" w:eastAsia="Times New Roman" w:hAnsi="Times New Roman"/>
                <w:sz w:val="20"/>
                <w:szCs w:val="20"/>
                <w:b w:val="1"/>
                <w:bCs w:val="1"/>
                <w:i w:val="1"/>
                <w:iCs w:val="1"/>
                <w:color w:val="1E1E1E"/>
              </w:rPr>
              <w:t>40.0%</w:t>
            </w:r>
          </w:p>
        </w:tc>
        <w:tc>
          <w:tcPr>
            <w:tcW w:w="138" w:type="dxa"/>
            <w:vAlign w:val="bottom"/>
            <w:tcBorders>
              <w:bottom w:val="single" w:sz="8" w:color="1E1E1E"/>
            </w:tcBorders>
          </w:tcPr>
          <w:p>
            <w:pPr>
              <w:spacing w:after="0"/>
              <w:rPr>
                <w:sz w:val="21"/>
                <w:szCs w:val="21"/>
                <w:color w:val="auto"/>
              </w:rPr>
            </w:pPr>
          </w:p>
        </w:tc>
        <w:tc>
          <w:tcPr>
            <w:tcW w:w="12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i w:val="1"/>
                <w:iCs w:val="1"/>
                <w:color w:val="1E1E1E"/>
              </w:rPr>
              <w:t>39.4%</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0"/>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(4,545)</w:t>
            </w:r>
          </w:p>
        </w:tc>
        <w:tc>
          <w:tcPr>
            <w:tcW w:w="13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10,199</w:t>
            </w:r>
          </w:p>
        </w:tc>
        <w:tc>
          <w:tcPr>
            <w:tcW w:w="100" w:type="dxa"/>
            <w:vAlign w:val="bottom"/>
            <w:shd w:val="clear" w:color="auto" w:fill="E4E4E4"/>
          </w:tcPr>
          <w:p>
            <w:pPr>
              <w:spacing w:after="0"/>
              <w:rPr>
                <w:sz w:val="19"/>
                <w:szCs w:val="19"/>
                <w:color w:val="auto"/>
              </w:rPr>
            </w:pPr>
          </w:p>
        </w:tc>
        <w:tc>
          <w:tcPr>
            <w:tcW w:w="1360" w:type="dxa"/>
            <w:vAlign w:val="bottom"/>
            <w:shd w:val="clear" w:color="auto" w:fill="E4E4E4"/>
          </w:tcPr>
          <w:p>
            <w:pPr>
              <w:jc w:val="right"/>
              <w:ind w:right="159"/>
              <w:spacing w:after="0"/>
              <w:rPr>
                <w:sz w:val="20"/>
                <w:szCs w:val="20"/>
                <w:color w:val="auto"/>
              </w:rPr>
            </w:pPr>
            <w:r>
              <w:rPr>
                <w:rFonts w:ascii="Times New Roman" w:cs="Times New Roman" w:eastAsia="Times New Roman" w:hAnsi="Times New Roman"/>
                <w:sz w:val="20"/>
                <w:szCs w:val="20"/>
                <w:color w:val="1E1E1E"/>
              </w:rPr>
              <w:t>NM</w:t>
            </w:r>
          </w:p>
        </w:tc>
      </w:tr>
      <w:tr>
        <w:trPr>
          <w:trHeight w:val="259"/>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Operating margin</w:t>
            </w:r>
          </w:p>
        </w:tc>
        <w:tc>
          <w:tcPr>
            <w:tcW w:w="100" w:type="dxa"/>
            <w:vAlign w:val="bottom"/>
          </w:tcPr>
          <w:p>
            <w:pPr>
              <w:spacing w:after="0"/>
              <w:rPr>
                <w:sz w:val="22"/>
                <w:szCs w:val="22"/>
                <w:color w:val="auto"/>
              </w:rPr>
            </w:pPr>
          </w:p>
        </w:tc>
        <w:tc>
          <w:tcPr>
            <w:tcW w:w="1333" w:type="dxa"/>
            <w:vAlign w:val="bottom"/>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(0.9)%</w:t>
            </w:r>
          </w:p>
        </w:tc>
        <w:tc>
          <w:tcPr>
            <w:tcW w:w="138" w:type="dxa"/>
            <w:vAlign w:val="bottom"/>
          </w:tcPr>
          <w:p>
            <w:pPr>
              <w:spacing w:after="0"/>
              <w:rPr>
                <w:sz w:val="22"/>
                <w:szCs w:val="22"/>
                <w:color w:val="auto"/>
              </w:rPr>
            </w:pPr>
          </w:p>
        </w:tc>
        <w:tc>
          <w:tcPr>
            <w:tcW w:w="121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2.1%</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5707380</wp:posOffset>
                </wp:positionH>
                <wp:positionV relativeFrom="paragraph">
                  <wp:posOffset>-1252220</wp:posOffset>
                </wp:positionV>
                <wp:extent cx="628015" cy="14605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29" o:spid="_x0000_s1054" style="position:absolute;margin-left:449.4pt;margin-top:-98.5999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-935355</wp:posOffset>
                </wp:positionV>
                <wp:extent cx="628015" cy="146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30" o:spid="_x0000_s1055" style="position:absolute;margin-left:449.4pt;margin-top:-73.6499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-779780</wp:posOffset>
                </wp:positionV>
                <wp:extent cx="589915" cy="14605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915" cy="146050"/>
                        </a:xfrm>
                        <a:prstGeom prst="rect">
                          <a:avLst/>
                        </a:prstGeom>
                        <a:solidFill>
                          <a:srgbClr val="FFFFFF"/>
                        </a:solidFill>
                      </wps:spPr>
                      <wps:bodyPr/>
                    </wps:wsp>
                  </a:graphicData>
                </a:graphic>
              </wp:anchor>
            </w:drawing>
          </mc:Choice>
          <mc:Fallback>
            <w:pict>
              <v:rect id="Shape 31" o:spid="_x0000_s1056" style="position:absolute;margin-left:306pt;margin-top:-61.3999pt;width:46.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4814570</wp:posOffset>
                </wp:positionH>
                <wp:positionV relativeFrom="paragraph">
                  <wp:posOffset>-779780</wp:posOffset>
                </wp:positionV>
                <wp:extent cx="640080" cy="14605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146050"/>
                        </a:xfrm>
                        <a:prstGeom prst="rect">
                          <a:avLst/>
                        </a:prstGeom>
                        <a:solidFill>
                          <a:srgbClr val="FFFFFF"/>
                        </a:solidFill>
                      </wps:spPr>
                      <wps:bodyPr/>
                    </wps:wsp>
                  </a:graphicData>
                </a:graphic>
              </wp:anchor>
            </w:drawing>
          </mc:Choice>
          <mc:Fallback>
            <w:pict>
              <v:rect id="Shape 32" o:spid="_x0000_s1057" style="position:absolute;margin-left:379.1pt;margin-top:-61.3999pt;width:50.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-624205</wp:posOffset>
                </wp:positionV>
                <wp:extent cx="628015" cy="14605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33" o:spid="_x0000_s1058" style="position:absolute;margin-left:449.4pt;margin-top:-49.1499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-146050</wp:posOffset>
                </wp:positionV>
                <wp:extent cx="589915" cy="14605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915" cy="146050"/>
                        </a:xfrm>
                        <a:prstGeom prst="rect">
                          <a:avLst/>
                        </a:prstGeom>
                        <a:solidFill>
                          <a:srgbClr val="FFFFFF"/>
                        </a:solidFill>
                      </wps:spPr>
                      <wps:bodyPr/>
                    </wps:wsp>
                  </a:graphicData>
                </a:graphic>
              </wp:anchor>
            </w:drawing>
          </mc:Choice>
          <mc:Fallback>
            <w:pict>
              <v:rect id="Shape 34" o:spid="_x0000_s1059" style="position:absolute;margin-left:306pt;margin-top:-11.4999pt;width:46.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4814570</wp:posOffset>
                </wp:positionH>
                <wp:positionV relativeFrom="paragraph">
                  <wp:posOffset>-146050</wp:posOffset>
                </wp:positionV>
                <wp:extent cx="640080" cy="14605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146050"/>
                        </a:xfrm>
                        <a:prstGeom prst="rect">
                          <a:avLst/>
                        </a:prstGeom>
                        <a:solidFill>
                          <a:srgbClr val="FFFFFF"/>
                        </a:solidFill>
                      </wps:spPr>
                      <wps:bodyPr/>
                    </wps:wsp>
                  </a:graphicData>
                </a:graphic>
              </wp:anchor>
            </w:drawing>
          </mc:Choice>
          <mc:Fallback>
            <w:pict>
              <v:rect id="Shape 35" o:spid="_x0000_s1060" style="position:absolute;margin-left:379.1pt;margin-top:-11.4999pt;width:50.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-156845</wp:posOffset>
                </wp:positionV>
                <wp:extent cx="651002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3499pt" to="512.3pt,-12.3499pt" o:allowincell="f" strokecolor="#FFFFFF" strokeweight="0.7199pt"/>
            </w:pict>
          </mc:Fallback>
        </mc:AlternateContent>
      </w:r>
    </w:p>
    <w:p>
      <w:pPr>
        <w:spacing w:after="0" w:line="23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Net sales from Schuh Group increased 4.2% to $500.0 million for Fiscal 2026 compared to $479.9 million for Fiscal 2025. Net sales in Fiscal 2026 included a favorable impact of $21.2 million in sales due to changes in foreign exchange rates and an increase in e-commerce comparable sales, partially offset by decreased stores sales. Total comparable sales were flat for Schuh Group in Fiscal 2026. Schuh Group's sales were flat on a local currency basis for Fiscal 2026. Schuh Group performance was impacted by the ongoing challenging U.K. retail environment in Fiscal 2026. The e-commerce business remains a key channel for consumer engagement, accounting for over 45% of its sales in Fiscal 2026. Schuh Group operated 118 stores at the end of Fiscal 2026 compared to 124 stores at the end of Fiscal 2025.</w:t>
      </w:r>
    </w:p>
    <w:p>
      <w:pPr>
        <w:spacing w:after="0" w:line="15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The 300 basis point decrease in operating margin for Fiscal 2026 compared to Fiscal 2025 reflects decreased gross margin as a percentage of net sales reflecting increased promotional activity, including increased loyalty redemptions and promotions to match the competitive environment, partially offset by decreased shipping and warehouse expenses. In addition, selling and administrative expenses increased as a percentage of net sales, reflecting deleverage of expenses, especially marketing expense and selling salaries, partially offset by decreased compensation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Johnston &amp; Murphy Group</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00" w:type="dxa"/>
            <w:vAlign w:val="bottom"/>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2680" w:type="dxa"/>
            <w:vAlign w:val="bottom"/>
            <w:tcBorders>
              <w:bottom w:val="single" w:sz="8" w:color="1E1E1E"/>
            </w:tcBorders>
            <w:gridSpan w:val="3"/>
          </w:tcPr>
          <w:p>
            <w:pPr>
              <w:jc w:val="right"/>
              <w:ind w:right="599"/>
              <w:spacing w:after="0"/>
              <w:rPr>
                <w:sz w:val="20"/>
                <w:szCs w:val="20"/>
                <w:color w:val="auto"/>
              </w:rPr>
            </w:pPr>
            <w:r>
              <w:rPr>
                <w:rFonts w:ascii="Times New Roman" w:cs="Times New Roman" w:eastAsia="Times New Roman" w:hAnsi="Times New Roman"/>
                <w:sz w:val="20"/>
                <w:szCs w:val="20"/>
                <w:b w:val="1"/>
                <w:bCs w:val="1"/>
                <w:color w:val="1E1E1E"/>
              </w:rPr>
              <w:t>Fiscal Year Ended</w:t>
            </w:r>
          </w:p>
        </w:tc>
        <w:tc>
          <w:tcPr>
            <w:tcW w:w="1460" w:type="dxa"/>
            <w:vAlign w:val="bottom"/>
            <w:gridSpan w:val="2"/>
          </w:tcPr>
          <w:p>
            <w:pPr>
              <w:jc w:val="right"/>
              <w:ind w:right="159"/>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6000" w:type="dxa"/>
            <w:vAlign w:val="bottom"/>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333" w:type="dxa"/>
            <w:vAlign w:val="bottom"/>
            <w:tcBorders>
              <w:bottom w:val="single" w:sz="8" w:color="1E1E1E"/>
            </w:tcBorders>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138" w:type="dxa"/>
            <w:vAlign w:val="bottom"/>
            <w:tcBorders>
              <w:bottom w:val="single" w:sz="8" w:color="1E1E1E"/>
            </w:tcBorders>
          </w:tcPr>
          <w:p>
            <w:pPr>
              <w:spacing w:after="0"/>
              <w:rPr>
                <w:sz w:val="20"/>
                <w:szCs w:val="20"/>
                <w:color w:val="auto"/>
              </w:rPr>
            </w:pPr>
          </w:p>
        </w:tc>
        <w:tc>
          <w:tcPr>
            <w:tcW w:w="1210" w:type="dxa"/>
            <w:vAlign w:val="bottom"/>
            <w:tcBorders>
              <w:bottom w:val="single" w:sz="8" w:color="1E1E1E"/>
            </w:tcBorders>
          </w:tcPr>
          <w:p>
            <w:pPr>
              <w:jc w:val="right"/>
              <w:ind w:right="79"/>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tcPr>
          <w:p>
            <w:pPr>
              <w:spacing w:after="0"/>
              <w:rPr>
                <w:sz w:val="20"/>
                <w:szCs w:val="20"/>
                <w:color w:val="auto"/>
              </w:rPr>
            </w:pPr>
          </w:p>
        </w:tc>
        <w:tc>
          <w:tcPr>
            <w:tcW w:w="1360" w:type="dxa"/>
            <w:vAlign w:val="bottom"/>
            <w:tcBorders>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color w:val="1E1E1E"/>
              </w:rPr>
              <w:t>Change</w:t>
            </w:r>
          </w:p>
        </w:tc>
      </w:tr>
      <w:tr>
        <w:trPr>
          <w:trHeight w:val="234"/>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3"/>
          </w:tcPr>
          <w:p>
            <w:pPr>
              <w:jc w:val="right"/>
              <w:ind w:right="519"/>
              <w:spacing w:after="0"/>
              <w:rPr>
                <w:sz w:val="20"/>
                <w:szCs w:val="20"/>
                <w:color w:val="auto"/>
              </w:rPr>
            </w:pPr>
            <w:r>
              <w:rPr>
                <w:rFonts w:ascii="Times New Roman" w:cs="Times New Roman" w:eastAsia="Times New Roman" w:hAnsi="Times New Roman"/>
                <w:sz w:val="20"/>
                <w:szCs w:val="20"/>
                <w:color w:val="1E1E1E"/>
              </w:rPr>
              <w:t>(dollars in thousands)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0"/>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320,199</w:t>
            </w:r>
          </w:p>
        </w:tc>
        <w:tc>
          <w:tcPr>
            <w:tcW w:w="13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320,208</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(0.0)%</w:t>
            </w:r>
          </w:p>
        </w:tc>
      </w:tr>
      <w:tr>
        <w:trPr>
          <w:trHeight w:val="245"/>
        </w:trPr>
        <w:tc>
          <w:tcPr>
            <w:tcW w:w="60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Cost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148,727</w:t>
            </w:r>
          </w:p>
        </w:tc>
        <w:tc>
          <w:tcPr>
            <w:tcW w:w="138" w:type="dxa"/>
            <w:vAlign w:val="bottom"/>
            <w:tcBorders>
              <w:bottom w:val="single" w:sz="8" w:color="1E1E1E"/>
            </w:tcBorders>
          </w:tcPr>
          <w:p>
            <w:pPr>
              <w:spacing w:after="0"/>
              <w:rPr>
                <w:sz w:val="21"/>
                <w:szCs w:val="21"/>
                <w:color w:val="auto"/>
              </w:rPr>
            </w:pPr>
          </w:p>
        </w:tc>
        <w:tc>
          <w:tcPr>
            <w:tcW w:w="1210" w:type="dxa"/>
            <w:vAlign w:val="bottom"/>
            <w:tcBorders>
              <w:bottom w:val="single" w:sz="8" w:color="1E1E1E"/>
            </w:tcBorders>
          </w:tcPr>
          <w:p>
            <w:pPr>
              <w:jc w:val="right"/>
              <w:ind w:right="99"/>
              <w:spacing w:after="0"/>
              <w:rPr>
                <w:sz w:val="20"/>
                <w:szCs w:val="20"/>
                <w:color w:val="auto"/>
              </w:rPr>
            </w:pPr>
            <w:r>
              <w:rPr>
                <w:rFonts w:ascii="Times New Roman" w:cs="Times New Roman" w:eastAsia="Times New Roman" w:hAnsi="Times New Roman"/>
                <w:sz w:val="20"/>
                <w:szCs w:val="20"/>
                <w:color w:val="1E1E1E"/>
              </w:rPr>
              <w:t>148,461</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4"/>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Gross margin</w:t>
            </w:r>
          </w:p>
        </w:tc>
        <w:tc>
          <w:tcPr>
            <w:tcW w:w="100" w:type="dxa"/>
            <w:vAlign w:val="bottom"/>
            <w:shd w:val="clear" w:color="auto" w:fill="E4E4E4"/>
          </w:tcPr>
          <w:p>
            <w:pPr>
              <w:spacing w:after="0"/>
              <w:rPr>
                <w:sz w:val="20"/>
                <w:szCs w:val="20"/>
                <w:color w:val="auto"/>
              </w:rPr>
            </w:pP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171,472</w:t>
            </w:r>
          </w:p>
        </w:tc>
        <w:tc>
          <w:tcPr>
            <w:tcW w:w="138" w:type="dxa"/>
            <w:vAlign w:val="bottom"/>
            <w:shd w:val="clear" w:color="auto" w:fill="E4E4E4"/>
          </w:tcPr>
          <w:p>
            <w:pPr>
              <w:spacing w:after="0"/>
              <w:rPr>
                <w:sz w:val="20"/>
                <w:szCs w:val="20"/>
                <w:color w:val="auto"/>
              </w:rPr>
            </w:pP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171,747</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(0.2)%</w:t>
            </w:r>
          </w:p>
        </w:tc>
      </w:tr>
      <w:tr>
        <w:trPr>
          <w:trHeight w:val="245"/>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Pr>
          <w:p>
            <w:pPr>
              <w:spacing w:after="0"/>
              <w:rPr>
                <w:sz w:val="21"/>
                <w:szCs w:val="21"/>
                <w:color w:val="auto"/>
              </w:rPr>
            </w:pPr>
          </w:p>
        </w:tc>
        <w:tc>
          <w:tcPr>
            <w:tcW w:w="1333" w:type="dxa"/>
            <w:vAlign w:val="bottom"/>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53.6%</w:t>
            </w:r>
          </w:p>
        </w:tc>
        <w:tc>
          <w:tcPr>
            <w:tcW w:w="138" w:type="dxa"/>
            <w:vAlign w:val="bottom"/>
          </w:tcPr>
          <w:p>
            <w:pPr>
              <w:spacing w:after="0"/>
              <w:rPr>
                <w:sz w:val="21"/>
                <w:szCs w:val="21"/>
                <w:color w:val="auto"/>
              </w:rPr>
            </w:pPr>
          </w:p>
        </w:tc>
        <w:tc>
          <w:tcPr>
            <w:tcW w:w="121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53.6%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5"/>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Selling and administrative expenses</w:t>
            </w:r>
          </w:p>
        </w:tc>
        <w:tc>
          <w:tcPr>
            <w:tcW w:w="100" w:type="dxa"/>
            <w:vAlign w:val="bottom"/>
            <w:shd w:val="clear" w:color="auto" w:fill="E4E4E4"/>
          </w:tcPr>
          <w:p>
            <w:pPr>
              <w:spacing w:after="0"/>
              <w:rPr>
                <w:sz w:val="21"/>
                <w:szCs w:val="21"/>
                <w:color w:val="auto"/>
              </w:rPr>
            </w:pP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166,884</w:t>
            </w:r>
          </w:p>
        </w:tc>
        <w:tc>
          <w:tcPr>
            <w:tcW w:w="138" w:type="dxa"/>
            <w:vAlign w:val="bottom"/>
            <w:shd w:val="clear" w:color="auto" w:fill="E4E4E4"/>
          </w:tcPr>
          <w:p>
            <w:pPr>
              <w:spacing w:after="0"/>
              <w:rPr>
                <w:sz w:val="21"/>
                <w:szCs w:val="21"/>
                <w:color w:val="auto"/>
              </w:rPr>
            </w:pP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163,331</w:t>
            </w: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2.2%</w:t>
            </w:r>
          </w:p>
        </w:tc>
      </w:tr>
      <w:tr>
        <w:trPr>
          <w:trHeight w:val="245"/>
        </w:trPr>
        <w:tc>
          <w:tcPr>
            <w:tcW w:w="600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52.1%</w:t>
            </w:r>
          </w:p>
        </w:tc>
        <w:tc>
          <w:tcPr>
            <w:tcW w:w="138" w:type="dxa"/>
            <w:vAlign w:val="bottom"/>
            <w:tcBorders>
              <w:bottom w:val="single" w:sz="8" w:color="1E1E1E"/>
            </w:tcBorders>
          </w:tcPr>
          <w:p>
            <w:pPr>
              <w:spacing w:after="0"/>
              <w:rPr>
                <w:sz w:val="21"/>
                <w:szCs w:val="21"/>
                <w:color w:val="auto"/>
              </w:rPr>
            </w:pPr>
          </w:p>
        </w:tc>
        <w:tc>
          <w:tcPr>
            <w:tcW w:w="12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i w:val="1"/>
                <w:iCs w:val="1"/>
                <w:color w:val="1E1E1E"/>
              </w:rPr>
              <w:t>51.0%</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4"/>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Operating income</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12"/>
              <w:spacing w:after="0"/>
              <w:rPr>
                <w:sz w:val="20"/>
                <w:szCs w:val="20"/>
                <w:color w:val="auto"/>
              </w:rPr>
            </w:pPr>
            <w:r>
              <w:rPr>
                <w:rFonts w:ascii="Times New Roman" w:cs="Times New Roman" w:eastAsia="Times New Roman" w:hAnsi="Times New Roman"/>
                <w:sz w:val="20"/>
                <w:szCs w:val="20"/>
                <w:b w:val="1"/>
                <w:bCs w:val="1"/>
                <w:color w:val="1E1E1E"/>
              </w:rPr>
              <w:t>4,588</w:t>
            </w:r>
          </w:p>
        </w:tc>
        <w:tc>
          <w:tcPr>
            <w:tcW w:w="13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8,416</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(45.5)%</w:t>
            </w:r>
          </w:p>
        </w:tc>
      </w:tr>
      <w:tr>
        <w:trPr>
          <w:trHeight w:val="254"/>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Operating margin</w:t>
            </w:r>
          </w:p>
        </w:tc>
        <w:tc>
          <w:tcPr>
            <w:tcW w:w="100" w:type="dxa"/>
            <w:vAlign w:val="bottom"/>
          </w:tcPr>
          <w:p>
            <w:pPr>
              <w:spacing w:after="0"/>
              <w:rPr>
                <w:sz w:val="22"/>
                <w:szCs w:val="22"/>
                <w:color w:val="auto"/>
              </w:rPr>
            </w:pPr>
          </w:p>
        </w:tc>
        <w:tc>
          <w:tcPr>
            <w:tcW w:w="1333" w:type="dxa"/>
            <w:vAlign w:val="bottom"/>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1.4%</w:t>
            </w:r>
          </w:p>
        </w:tc>
        <w:tc>
          <w:tcPr>
            <w:tcW w:w="138" w:type="dxa"/>
            <w:vAlign w:val="bottom"/>
          </w:tcPr>
          <w:p>
            <w:pPr>
              <w:spacing w:after="0"/>
              <w:rPr>
                <w:sz w:val="22"/>
                <w:szCs w:val="22"/>
                <w:color w:val="auto"/>
              </w:rPr>
            </w:pPr>
          </w:p>
        </w:tc>
        <w:tc>
          <w:tcPr>
            <w:tcW w:w="121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2.6%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5707380</wp:posOffset>
                </wp:positionH>
                <wp:positionV relativeFrom="paragraph">
                  <wp:posOffset>-1249680</wp:posOffset>
                </wp:positionV>
                <wp:extent cx="628015" cy="14351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3510"/>
                        </a:xfrm>
                        <a:prstGeom prst="rect">
                          <a:avLst/>
                        </a:prstGeom>
                        <a:solidFill>
                          <a:srgbClr val="E4E4E4"/>
                        </a:solidFill>
                      </wps:spPr>
                      <wps:bodyPr/>
                    </wps:wsp>
                  </a:graphicData>
                </a:graphic>
              </wp:anchor>
            </w:drawing>
          </mc:Choice>
          <mc:Fallback>
            <w:pict>
              <v:rect id="Shape 37" o:spid="_x0000_s1062" style="position:absolute;margin-left:449.4pt;margin-top:-98.3999pt;width:49.45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-935355</wp:posOffset>
                </wp:positionV>
                <wp:extent cx="628015" cy="14605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38" o:spid="_x0000_s1063" style="position:absolute;margin-left:449.4pt;margin-top:-73.6499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-624840</wp:posOffset>
                </wp:positionV>
                <wp:extent cx="628015" cy="14668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685"/>
                        </a:xfrm>
                        <a:prstGeom prst="rect">
                          <a:avLst/>
                        </a:prstGeom>
                        <a:solidFill>
                          <a:srgbClr val="E4E4E4"/>
                        </a:solidFill>
                      </wps:spPr>
                      <wps:bodyPr/>
                    </wps:wsp>
                  </a:graphicData>
                </a:graphic>
              </wp:anchor>
            </w:drawing>
          </mc:Choice>
          <mc:Fallback>
            <w:pict>
              <v:rect id="Shape 39" o:spid="_x0000_s1064" style="position:absolute;margin-left:449.4pt;margin-top:-49.1999pt;width:49.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-307340</wp:posOffset>
                </wp:positionV>
                <wp:extent cx="628015" cy="14605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40" o:spid="_x0000_s1065" style="position:absolute;margin-left:449.4pt;margin-top:-24.1999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-142875</wp:posOffset>
                </wp:positionV>
                <wp:extent cx="635635" cy="14287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142875"/>
                        </a:xfrm>
                        <a:prstGeom prst="rect">
                          <a:avLst/>
                        </a:prstGeom>
                        <a:solidFill>
                          <a:srgbClr val="FFFFFF"/>
                        </a:solidFill>
                      </wps:spPr>
                      <wps:bodyPr/>
                    </wps:wsp>
                  </a:graphicData>
                </a:graphic>
              </wp:anchor>
            </w:drawing>
          </mc:Choice>
          <mc:Fallback>
            <w:pict>
              <v:rect id="Shape 41" o:spid="_x0000_s1066" style="position:absolute;margin-left:306pt;margin-top:-11.2499pt;width:50.05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4814570</wp:posOffset>
                </wp:positionH>
                <wp:positionV relativeFrom="paragraph">
                  <wp:posOffset>-142875</wp:posOffset>
                </wp:positionV>
                <wp:extent cx="640080" cy="14287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142875"/>
                        </a:xfrm>
                        <a:prstGeom prst="rect">
                          <a:avLst/>
                        </a:prstGeom>
                        <a:solidFill>
                          <a:srgbClr val="FFFFFF"/>
                        </a:solidFill>
                      </wps:spPr>
                      <wps:bodyPr/>
                    </wps:wsp>
                  </a:graphicData>
                </a:graphic>
              </wp:anchor>
            </w:drawing>
          </mc:Choice>
          <mc:Fallback>
            <w:pict>
              <v:rect id="Shape 42" o:spid="_x0000_s1067" style="position:absolute;margin-left:379.1pt;margin-top:-11.2499pt;width:50.4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36"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9"/>
          <w:szCs w:val="19"/>
          <w:color w:val="1E1E1E"/>
        </w:rPr>
        <w:t>Johnston &amp; Murphy Group net sales were flat at $320.2 million for Fiscal 2026 and Fiscal 2025. Total comparable sales were flat in Fiscal 2026 and the average number of Johnston &amp; Murphy stores decreased 1% for Fiscal 2026 which was offset by a small increase in wholesale sales. Retail operations accounted for 77.9% of Johnston &amp; Murphy Group's sales in Fiscal 2026, down from 78.3% in Fiscal 2025. The store count for Johnston &amp; Murphy retail operations at the end of Fiscal 2026 was 153 Johnston &amp; Murphy shops and factory stores, compared to 148 Johnston &amp; Murphy shops and factory stores at the end of Fiscal 2025.</w:t>
      </w:r>
    </w:p>
    <w:p>
      <w:pPr>
        <w:spacing w:after="0" w:line="136" w:lineRule="exact"/>
        <w:rPr>
          <w:sz w:val="20"/>
          <w:szCs w:val="20"/>
          <w:color w:val="auto"/>
        </w:rPr>
      </w:pPr>
    </w:p>
    <w:p>
      <w:pPr>
        <w:jc w:val="both"/>
        <w:ind w:right="20"/>
        <w:spacing w:after="0" w:line="362" w:lineRule="auto"/>
        <w:rPr>
          <w:sz w:val="20"/>
          <w:szCs w:val="20"/>
          <w:color w:val="auto"/>
        </w:rPr>
      </w:pPr>
      <w:r>
        <w:rPr>
          <w:rFonts w:ascii="Times New Roman" w:cs="Times New Roman" w:eastAsia="Times New Roman" w:hAnsi="Times New Roman"/>
          <w:sz w:val="19"/>
          <w:szCs w:val="19"/>
          <w:color w:val="1E1E1E"/>
        </w:rPr>
        <w:t>The 120 basis point decrease in operating margin for Johnston &amp; Murphy Group for Fiscal 2026 compared to Fiscal 2025 reflects increased selling and administrative expenses as a percentage of net sales for Fiscal 2026, reflecting increased depreciation,</w:t>
      </w:r>
    </w:p>
    <w:p>
      <w:pPr>
        <w:sectPr>
          <w:pgSz w:w="12240" w:h="15840" w:orient="portrait"/>
          <w:cols w:equalWidth="0" w:num="1">
            <w:col w:w="10260"/>
          </w:cols>
          <w:pgMar w:left="1000" w:top="1440" w:right="980" w:bottom="178" w:gutter="0" w:footer="0" w:header="0"/>
        </w:sectPr>
      </w:pP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34</w:t>
      </w:r>
    </w:p>
    <w:p>
      <w:pPr>
        <w:sectPr>
          <w:pgSz w:w="12240" w:h="15840" w:orient="portrait"/>
          <w:cols w:equalWidth="0" w:num="1">
            <w:col w:w="10260"/>
          </w:cols>
          <w:pgMar w:left="1000" w:top="1440" w:right="980" w:bottom="178" w:gutter="0" w:footer="0" w:header="0"/>
          <w:type w:val="continuous"/>
        </w:sectPr>
      </w:pPr>
    </w:p>
    <w:bookmarkStart w:id="41" w:name="page42"/>
    <w:bookmarkEnd w:id="41"/>
    <w:p>
      <w:pPr>
        <w:spacing w:after="0" w:line="165"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occupancy and compensation expenses, partially offset by decreased marketing expense. Gross margin as a percentage of net sales was flat in Fiscal 2026 compared to Fiscal 2025 as better initial margins at retail were offset by lower wholesale margins due primarily to tariff impacts.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Genesco Brands Group</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00" w:type="dxa"/>
            <w:vAlign w:val="bottom"/>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2680" w:type="dxa"/>
            <w:vAlign w:val="bottom"/>
            <w:tcBorders>
              <w:bottom w:val="single" w:sz="8" w:color="1E1E1E"/>
            </w:tcBorders>
            <w:gridSpan w:val="3"/>
          </w:tcPr>
          <w:p>
            <w:pPr>
              <w:jc w:val="right"/>
              <w:ind w:right="599"/>
              <w:spacing w:after="0"/>
              <w:rPr>
                <w:sz w:val="20"/>
                <w:szCs w:val="20"/>
                <w:color w:val="auto"/>
              </w:rPr>
            </w:pPr>
            <w:r>
              <w:rPr>
                <w:rFonts w:ascii="Times New Roman" w:cs="Times New Roman" w:eastAsia="Times New Roman" w:hAnsi="Times New Roman"/>
                <w:sz w:val="20"/>
                <w:szCs w:val="20"/>
                <w:b w:val="1"/>
                <w:bCs w:val="1"/>
                <w:color w:val="1E1E1E"/>
              </w:rPr>
              <w:t>Fiscal Year Ended</w:t>
            </w:r>
          </w:p>
        </w:tc>
        <w:tc>
          <w:tcPr>
            <w:tcW w:w="1460" w:type="dxa"/>
            <w:vAlign w:val="bottom"/>
            <w:gridSpan w:val="2"/>
          </w:tcPr>
          <w:p>
            <w:pPr>
              <w:jc w:val="right"/>
              <w:ind w:right="159"/>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6000" w:type="dxa"/>
            <w:vAlign w:val="bottom"/>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333" w:type="dxa"/>
            <w:vAlign w:val="bottom"/>
            <w:tcBorders>
              <w:bottom w:val="single" w:sz="8" w:color="1E1E1E"/>
            </w:tcBorders>
          </w:tcPr>
          <w:p>
            <w:pPr>
              <w:jc w:val="right"/>
              <w:ind w:right="272"/>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138" w:type="dxa"/>
            <w:vAlign w:val="bottom"/>
            <w:tcBorders>
              <w:bottom w:val="single" w:sz="8" w:color="1E1E1E"/>
            </w:tcBorders>
          </w:tcPr>
          <w:p>
            <w:pPr>
              <w:spacing w:after="0"/>
              <w:rPr>
                <w:sz w:val="20"/>
                <w:szCs w:val="20"/>
                <w:color w:val="auto"/>
              </w:rPr>
            </w:pPr>
          </w:p>
        </w:tc>
        <w:tc>
          <w:tcPr>
            <w:tcW w:w="1210" w:type="dxa"/>
            <w:vAlign w:val="bottom"/>
            <w:tcBorders>
              <w:bottom w:val="single" w:sz="8" w:color="1E1E1E"/>
            </w:tcBorders>
          </w:tcPr>
          <w:p>
            <w:pPr>
              <w:jc w:val="right"/>
              <w:ind w:right="79"/>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tcPr>
          <w:p>
            <w:pPr>
              <w:spacing w:after="0"/>
              <w:rPr>
                <w:sz w:val="20"/>
                <w:szCs w:val="20"/>
                <w:color w:val="auto"/>
              </w:rPr>
            </w:pPr>
          </w:p>
        </w:tc>
        <w:tc>
          <w:tcPr>
            <w:tcW w:w="1360" w:type="dxa"/>
            <w:vAlign w:val="bottom"/>
            <w:tcBorders>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color w:val="1E1E1E"/>
              </w:rPr>
              <w:t>Change</w:t>
            </w:r>
          </w:p>
        </w:tc>
      </w:tr>
      <w:tr>
        <w:trPr>
          <w:trHeight w:val="234"/>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3"/>
          </w:tcPr>
          <w:p>
            <w:pPr>
              <w:jc w:val="right"/>
              <w:ind w:right="519"/>
              <w:spacing w:after="0"/>
              <w:rPr>
                <w:sz w:val="20"/>
                <w:szCs w:val="20"/>
                <w:color w:val="auto"/>
              </w:rPr>
            </w:pPr>
            <w:r>
              <w:rPr>
                <w:rFonts w:ascii="Times New Roman" w:cs="Times New Roman" w:eastAsia="Times New Roman" w:hAnsi="Times New Roman"/>
                <w:sz w:val="20"/>
                <w:szCs w:val="20"/>
                <w:color w:val="1E1E1E"/>
              </w:rPr>
              <w:t>(dollars in thousands)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0"/>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sales</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121,226</w:t>
            </w:r>
          </w:p>
        </w:tc>
        <w:tc>
          <w:tcPr>
            <w:tcW w:w="13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126,041</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(3.8)%</w:t>
            </w:r>
          </w:p>
        </w:tc>
      </w:tr>
      <w:tr>
        <w:trPr>
          <w:trHeight w:val="245"/>
        </w:trPr>
        <w:tc>
          <w:tcPr>
            <w:tcW w:w="60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Cost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91,360</w:t>
            </w:r>
          </w:p>
        </w:tc>
        <w:tc>
          <w:tcPr>
            <w:tcW w:w="138" w:type="dxa"/>
            <w:vAlign w:val="bottom"/>
            <w:tcBorders>
              <w:bottom w:val="single" w:sz="8" w:color="1E1E1E"/>
            </w:tcBorders>
          </w:tcPr>
          <w:p>
            <w:pPr>
              <w:spacing w:after="0"/>
              <w:rPr>
                <w:sz w:val="21"/>
                <w:szCs w:val="21"/>
                <w:color w:val="auto"/>
              </w:rPr>
            </w:pPr>
          </w:p>
        </w:tc>
        <w:tc>
          <w:tcPr>
            <w:tcW w:w="1210" w:type="dxa"/>
            <w:vAlign w:val="bottom"/>
            <w:tcBorders>
              <w:bottom w:val="single" w:sz="8" w:color="1E1E1E"/>
            </w:tcBorders>
          </w:tcPr>
          <w:p>
            <w:pPr>
              <w:jc w:val="right"/>
              <w:ind w:right="99"/>
              <w:spacing w:after="0"/>
              <w:rPr>
                <w:sz w:val="20"/>
                <w:szCs w:val="20"/>
                <w:color w:val="auto"/>
              </w:rPr>
            </w:pPr>
            <w:r>
              <w:rPr>
                <w:rFonts w:ascii="Times New Roman" w:cs="Times New Roman" w:eastAsia="Times New Roman" w:hAnsi="Times New Roman"/>
                <w:sz w:val="20"/>
                <w:szCs w:val="20"/>
                <w:color w:val="1E1E1E"/>
              </w:rPr>
              <w:t>83,670</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4"/>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Gross margin</w:t>
            </w:r>
          </w:p>
        </w:tc>
        <w:tc>
          <w:tcPr>
            <w:tcW w:w="100" w:type="dxa"/>
            <w:vAlign w:val="bottom"/>
            <w:shd w:val="clear" w:color="auto" w:fill="E4E4E4"/>
          </w:tcPr>
          <w:p>
            <w:pPr>
              <w:spacing w:after="0"/>
              <w:rPr>
                <w:sz w:val="20"/>
                <w:szCs w:val="20"/>
                <w:color w:val="auto"/>
              </w:rPr>
            </w:pP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29,866</w:t>
            </w:r>
          </w:p>
        </w:tc>
        <w:tc>
          <w:tcPr>
            <w:tcW w:w="138" w:type="dxa"/>
            <w:vAlign w:val="bottom"/>
            <w:shd w:val="clear" w:color="auto" w:fill="E4E4E4"/>
          </w:tcPr>
          <w:p>
            <w:pPr>
              <w:spacing w:after="0"/>
              <w:rPr>
                <w:sz w:val="20"/>
                <w:szCs w:val="20"/>
                <w:color w:val="auto"/>
              </w:rPr>
            </w:pP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42,371</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(29.5)%</w:t>
            </w:r>
          </w:p>
        </w:tc>
      </w:tr>
      <w:tr>
        <w:trPr>
          <w:trHeight w:val="245"/>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Pr>
          <w:p>
            <w:pPr>
              <w:spacing w:after="0"/>
              <w:rPr>
                <w:sz w:val="21"/>
                <w:szCs w:val="21"/>
                <w:color w:val="auto"/>
              </w:rPr>
            </w:pPr>
          </w:p>
        </w:tc>
        <w:tc>
          <w:tcPr>
            <w:tcW w:w="1333" w:type="dxa"/>
            <w:vAlign w:val="bottom"/>
          </w:tcPr>
          <w:p>
            <w:pPr>
              <w:jc w:val="right"/>
              <w:ind w:right="92"/>
              <w:spacing w:after="0"/>
              <w:rPr>
                <w:sz w:val="20"/>
                <w:szCs w:val="20"/>
                <w:color w:val="auto"/>
              </w:rPr>
            </w:pPr>
            <w:r>
              <w:rPr>
                <w:rFonts w:ascii="Times New Roman" w:cs="Times New Roman" w:eastAsia="Times New Roman" w:hAnsi="Times New Roman"/>
                <w:sz w:val="20"/>
                <w:szCs w:val="20"/>
                <w:b w:val="1"/>
                <w:bCs w:val="1"/>
                <w:i w:val="1"/>
                <w:iCs w:val="1"/>
                <w:color w:val="1E1E1E"/>
              </w:rPr>
              <w:t>24.6%</w:t>
            </w:r>
          </w:p>
        </w:tc>
        <w:tc>
          <w:tcPr>
            <w:tcW w:w="138" w:type="dxa"/>
            <w:vAlign w:val="bottom"/>
          </w:tcPr>
          <w:p>
            <w:pPr>
              <w:spacing w:after="0"/>
              <w:rPr>
                <w:sz w:val="21"/>
                <w:szCs w:val="21"/>
                <w:color w:val="auto"/>
              </w:rPr>
            </w:pPr>
          </w:p>
        </w:tc>
        <w:tc>
          <w:tcPr>
            <w:tcW w:w="121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33.6%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5"/>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Selling and administrative expenses</w:t>
            </w:r>
          </w:p>
        </w:tc>
        <w:tc>
          <w:tcPr>
            <w:tcW w:w="100" w:type="dxa"/>
            <w:vAlign w:val="bottom"/>
            <w:shd w:val="clear" w:color="auto" w:fill="E4E4E4"/>
          </w:tcPr>
          <w:p>
            <w:pPr>
              <w:spacing w:after="0"/>
              <w:rPr>
                <w:sz w:val="21"/>
                <w:szCs w:val="21"/>
                <w:color w:val="auto"/>
              </w:rPr>
            </w:pP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29,932</w:t>
            </w:r>
          </w:p>
        </w:tc>
        <w:tc>
          <w:tcPr>
            <w:tcW w:w="138" w:type="dxa"/>
            <w:vAlign w:val="bottom"/>
            <w:shd w:val="clear" w:color="auto" w:fill="E4E4E4"/>
          </w:tcPr>
          <w:p>
            <w:pPr>
              <w:spacing w:after="0"/>
              <w:rPr>
                <w:sz w:val="21"/>
                <w:szCs w:val="21"/>
                <w:color w:val="auto"/>
              </w:rPr>
            </w:pP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35,565</w:t>
            </w:r>
          </w:p>
        </w:tc>
        <w:tc>
          <w:tcPr>
            <w:tcW w:w="100" w:type="dxa"/>
            <w:vAlign w:val="bottom"/>
            <w:shd w:val="clear" w:color="auto" w:fill="E4E4E4"/>
          </w:tcPr>
          <w:p>
            <w:pPr>
              <w:spacing w:after="0"/>
              <w:rPr>
                <w:sz w:val="21"/>
                <w:szCs w:val="21"/>
                <w:color w:val="auto"/>
              </w:rPr>
            </w:pPr>
          </w:p>
        </w:tc>
        <w:tc>
          <w:tcPr>
            <w:tcW w:w="1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(15.8)%</w:t>
            </w:r>
          </w:p>
        </w:tc>
      </w:tr>
      <w:tr>
        <w:trPr>
          <w:trHeight w:val="245"/>
        </w:trPr>
        <w:tc>
          <w:tcPr>
            <w:tcW w:w="600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1E1E1E"/>
              </w:rPr>
              <w:t>% of sales</w:t>
            </w:r>
          </w:p>
        </w:tc>
        <w:tc>
          <w:tcPr>
            <w:tcW w:w="100" w:type="dxa"/>
            <w:vAlign w:val="bottom"/>
            <w:tcBorders>
              <w:bottom w:val="single" w:sz="8" w:color="1E1E1E"/>
            </w:tcBorders>
          </w:tcPr>
          <w:p>
            <w:pPr>
              <w:spacing w:after="0"/>
              <w:rPr>
                <w:sz w:val="21"/>
                <w:szCs w:val="21"/>
                <w:color w:val="auto"/>
              </w:rPr>
            </w:pPr>
          </w:p>
        </w:tc>
        <w:tc>
          <w:tcPr>
            <w:tcW w:w="1333" w:type="dxa"/>
            <w:vAlign w:val="bottom"/>
            <w:tcBorders>
              <w:bottom w:val="single" w:sz="8" w:color="1E1E1E"/>
            </w:tcBorders>
          </w:tcPr>
          <w:p>
            <w:pPr>
              <w:jc w:val="right"/>
              <w:ind w:right="92"/>
              <w:spacing w:after="0"/>
              <w:rPr>
                <w:sz w:val="20"/>
                <w:szCs w:val="20"/>
                <w:color w:val="auto"/>
              </w:rPr>
            </w:pPr>
            <w:r>
              <w:rPr>
                <w:rFonts w:ascii="Times New Roman" w:cs="Times New Roman" w:eastAsia="Times New Roman" w:hAnsi="Times New Roman"/>
                <w:sz w:val="20"/>
                <w:szCs w:val="20"/>
                <w:b w:val="1"/>
                <w:bCs w:val="1"/>
                <w:i w:val="1"/>
                <w:iCs w:val="1"/>
                <w:color w:val="1E1E1E"/>
              </w:rPr>
              <w:t>24.7%</w:t>
            </w:r>
          </w:p>
        </w:tc>
        <w:tc>
          <w:tcPr>
            <w:tcW w:w="138" w:type="dxa"/>
            <w:vAlign w:val="bottom"/>
            <w:tcBorders>
              <w:bottom w:val="single" w:sz="8" w:color="1E1E1E"/>
            </w:tcBorders>
          </w:tcPr>
          <w:p>
            <w:pPr>
              <w:spacing w:after="0"/>
              <w:rPr>
                <w:sz w:val="21"/>
                <w:szCs w:val="21"/>
                <w:color w:val="auto"/>
              </w:rPr>
            </w:pPr>
          </w:p>
        </w:tc>
        <w:tc>
          <w:tcPr>
            <w:tcW w:w="12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i w:val="1"/>
                <w:iCs w:val="1"/>
                <w:color w:val="1E1E1E"/>
              </w:rPr>
              <w:t>28.2%</w:t>
            </w:r>
          </w:p>
        </w:tc>
        <w:tc>
          <w:tcPr>
            <w:tcW w:w="100" w:type="dxa"/>
            <w:vAlign w:val="bottom"/>
            <w:tcBorders>
              <w:bottom w:val="single" w:sz="8" w:color="E4E4E4"/>
            </w:tcBorders>
          </w:tcPr>
          <w:p>
            <w:pPr>
              <w:spacing w:after="0"/>
              <w:rPr>
                <w:sz w:val="21"/>
                <w:szCs w:val="21"/>
                <w:color w:val="auto"/>
              </w:rPr>
            </w:pPr>
          </w:p>
        </w:tc>
        <w:tc>
          <w:tcPr>
            <w:tcW w:w="1360" w:type="dxa"/>
            <w:vAlign w:val="bottom"/>
            <w:tcBorders>
              <w:bottom w:val="single" w:sz="8" w:color="1E1E1E"/>
            </w:tcBorders>
          </w:tcPr>
          <w:p>
            <w:pPr>
              <w:spacing w:after="0"/>
              <w:rPr>
                <w:sz w:val="21"/>
                <w:szCs w:val="21"/>
                <w:color w:val="auto"/>
              </w:rPr>
            </w:pPr>
          </w:p>
        </w:tc>
      </w:tr>
      <w:tr>
        <w:trPr>
          <w:trHeight w:val="234"/>
        </w:trPr>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Operating income (loss)</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333" w:type="dxa"/>
            <w:vAlign w:val="bottom"/>
            <w:shd w:val="clear" w:color="auto" w:fill="E4E4E4"/>
          </w:tcPr>
          <w:p>
            <w:pPr>
              <w:jc w:val="right"/>
              <w:ind w:right="292"/>
              <w:spacing w:after="0"/>
              <w:rPr>
                <w:sz w:val="20"/>
                <w:szCs w:val="20"/>
                <w:color w:val="auto"/>
              </w:rPr>
            </w:pPr>
            <w:r>
              <w:rPr>
                <w:rFonts w:ascii="Times New Roman" w:cs="Times New Roman" w:eastAsia="Times New Roman" w:hAnsi="Times New Roman"/>
                <w:sz w:val="20"/>
                <w:szCs w:val="20"/>
                <w:b w:val="1"/>
                <w:bCs w:val="1"/>
                <w:color w:val="1E1E1E"/>
              </w:rPr>
              <w:t>(66)</w:t>
            </w:r>
          </w:p>
        </w:tc>
        <w:tc>
          <w:tcPr>
            <w:tcW w:w="138"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1210" w:type="dxa"/>
            <w:vAlign w:val="bottom"/>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color w:val="1E1E1E"/>
              </w:rPr>
              <w:t>6,806</w:t>
            </w:r>
          </w:p>
        </w:tc>
        <w:tc>
          <w:tcPr>
            <w:tcW w:w="100" w:type="dxa"/>
            <w:vAlign w:val="bottom"/>
            <w:shd w:val="clear" w:color="auto" w:fill="E4E4E4"/>
          </w:tcPr>
          <w:p>
            <w:pPr>
              <w:spacing w:after="0"/>
              <w:rPr>
                <w:sz w:val="20"/>
                <w:szCs w:val="20"/>
                <w:color w:val="auto"/>
              </w:rPr>
            </w:pPr>
          </w:p>
        </w:tc>
        <w:tc>
          <w:tcPr>
            <w:tcW w:w="1360" w:type="dxa"/>
            <w:vAlign w:val="bottom"/>
            <w:shd w:val="clear" w:color="auto" w:fill="E4E4E4"/>
          </w:tcPr>
          <w:p>
            <w:pPr>
              <w:jc w:val="right"/>
              <w:ind w:right="159"/>
              <w:spacing w:after="0"/>
              <w:rPr>
                <w:sz w:val="20"/>
                <w:szCs w:val="20"/>
                <w:color w:val="auto"/>
              </w:rPr>
            </w:pPr>
            <w:r>
              <w:rPr>
                <w:rFonts w:ascii="Times New Roman" w:cs="Times New Roman" w:eastAsia="Times New Roman" w:hAnsi="Times New Roman"/>
                <w:sz w:val="20"/>
                <w:szCs w:val="20"/>
                <w:color w:val="1E1E1E"/>
              </w:rPr>
              <w:t>NM</w:t>
            </w:r>
          </w:p>
        </w:tc>
      </w:tr>
      <w:tr>
        <w:trPr>
          <w:trHeight w:val="271"/>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Operating margin</w:t>
            </w:r>
          </w:p>
        </w:tc>
        <w:tc>
          <w:tcPr>
            <w:tcW w:w="100" w:type="dxa"/>
            <w:vAlign w:val="bottom"/>
          </w:tcPr>
          <w:p>
            <w:pPr>
              <w:spacing w:after="0"/>
              <w:rPr>
                <w:sz w:val="23"/>
                <w:szCs w:val="23"/>
                <w:color w:val="auto"/>
              </w:rPr>
            </w:pPr>
          </w:p>
        </w:tc>
        <w:tc>
          <w:tcPr>
            <w:tcW w:w="1333" w:type="dxa"/>
            <w:vAlign w:val="bottom"/>
          </w:tcPr>
          <w:p>
            <w:pPr>
              <w:jc w:val="right"/>
              <w:ind w:right="32"/>
              <w:spacing w:after="0"/>
              <w:rPr>
                <w:sz w:val="20"/>
                <w:szCs w:val="20"/>
                <w:color w:val="auto"/>
              </w:rPr>
            </w:pPr>
            <w:r>
              <w:rPr>
                <w:rFonts w:ascii="Times New Roman" w:cs="Times New Roman" w:eastAsia="Times New Roman" w:hAnsi="Times New Roman"/>
                <w:sz w:val="20"/>
                <w:szCs w:val="20"/>
                <w:b w:val="1"/>
                <w:bCs w:val="1"/>
                <w:i w:val="1"/>
                <w:iCs w:val="1"/>
                <w:color w:val="1E1E1E"/>
              </w:rPr>
              <w:t>(0.1)%</w:t>
            </w:r>
          </w:p>
        </w:tc>
        <w:tc>
          <w:tcPr>
            <w:tcW w:w="138" w:type="dxa"/>
            <w:vAlign w:val="bottom"/>
          </w:tcPr>
          <w:p>
            <w:pPr>
              <w:spacing w:after="0"/>
              <w:rPr>
                <w:sz w:val="23"/>
                <w:szCs w:val="23"/>
                <w:color w:val="auto"/>
              </w:rPr>
            </w:pPr>
          </w:p>
        </w:tc>
        <w:tc>
          <w:tcPr>
            <w:tcW w:w="121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1E1E1E"/>
              </w:rPr>
              <w:t>5.4%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5707380</wp:posOffset>
                </wp:positionH>
                <wp:positionV relativeFrom="paragraph">
                  <wp:posOffset>-1259840</wp:posOffset>
                </wp:positionV>
                <wp:extent cx="628015" cy="14605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43" o:spid="_x0000_s1068" style="position:absolute;margin-left:449.4pt;margin-top:-99.1999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-1109345</wp:posOffset>
                </wp:positionV>
                <wp:extent cx="651002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87.3499pt" to="512.3pt,-87.3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-946150</wp:posOffset>
                </wp:positionV>
                <wp:extent cx="628015" cy="14605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45" o:spid="_x0000_s1070" style="position:absolute;margin-left:449.4pt;margin-top:-74.4999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-635000</wp:posOffset>
                </wp:positionV>
                <wp:extent cx="628015" cy="14605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 cy="146050"/>
                        </a:xfrm>
                        <a:prstGeom prst="rect">
                          <a:avLst/>
                        </a:prstGeom>
                        <a:solidFill>
                          <a:srgbClr val="E4E4E4"/>
                        </a:solidFill>
                      </wps:spPr>
                      <wps:bodyPr/>
                    </wps:wsp>
                  </a:graphicData>
                </a:graphic>
              </wp:anchor>
            </w:drawing>
          </mc:Choice>
          <mc:Fallback>
            <w:pict>
              <v:rect id="Shape 46" o:spid="_x0000_s1071" style="position:absolute;margin-left:449.4pt;margin-top:-50pt;width:49.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-479425</wp:posOffset>
                </wp:positionV>
                <wp:extent cx="589915" cy="1460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915" cy="146050"/>
                        </a:xfrm>
                        <a:prstGeom prst="rect">
                          <a:avLst/>
                        </a:prstGeom>
                        <a:solidFill>
                          <a:srgbClr val="FFFFFF"/>
                        </a:solidFill>
                      </wps:spPr>
                      <wps:bodyPr/>
                    </wps:wsp>
                  </a:graphicData>
                </a:graphic>
              </wp:anchor>
            </w:drawing>
          </mc:Choice>
          <mc:Fallback>
            <w:pict>
              <v:rect id="Shape 47" o:spid="_x0000_s1072" style="position:absolute;margin-left:306pt;margin-top:-37.7499pt;width:46.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4814570</wp:posOffset>
                </wp:positionH>
                <wp:positionV relativeFrom="paragraph">
                  <wp:posOffset>-479425</wp:posOffset>
                </wp:positionV>
                <wp:extent cx="640080" cy="1460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 cy="146050"/>
                        </a:xfrm>
                        <a:prstGeom prst="rect">
                          <a:avLst/>
                        </a:prstGeom>
                        <a:solidFill>
                          <a:srgbClr val="FFFFFF"/>
                        </a:solidFill>
                      </wps:spPr>
                      <wps:bodyPr/>
                    </wps:wsp>
                  </a:graphicData>
                </a:graphic>
              </wp:anchor>
            </w:drawing>
          </mc:Choice>
          <mc:Fallback>
            <w:pict>
              <v:rect id="Shape 48" o:spid="_x0000_s1073" style="position:absolute;margin-left:379.1pt;margin-top:-37.7499pt;width:50.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1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Net sales for Genesco Brands Group decreased 3.8% to $121.2 million for Fiscal 2026 from $126.0 million for Fiscal 2025, primarily due to decreased sales of Levi's as we exit that business, partially offset by increased sales of private label footwear.</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The 550 basis point decrease in operating margin for Genesco Brands Group in Fiscal 2026 was primarily due to decreased gross margin as a percentage of net sales due to the impact of tariffs and higher closeout sales related to the exit of Levi's and other licenses as well as an unfavorable change in sales mix. Gross margin included an inventory write-down related to the exit of licenses in Fiscal 2026 and a charge for a distribution model transition in Fiscal 2025. The decrease in gross margin was partially offset by decreased selling and administrative expenses as a percentage of net sales in Fiscal 2026 primarily reflecting decreased performance-based compensation, freight and other expenses, partially offset by increased royalty expense, due to a reversal of royalty expense last year resulting from an amendment to the Levi's license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Corporate, Interest Expenses and Other Charges</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Corporate and other expense for Fiscal 2026 increased 14% to $43.2 million compared to $37.8 million for Fiscal 2025. Corporate and other expense in Fiscal 2026 included an $8.1 million charge in asset impairments and other which included $3.9 million for store restructuring, $2.9 million for costs associated with information technology transformation, $0.7 million for asset impairments and $0.6 million for severance. Corporate and other expense in Fiscal 2025 included a $3.2 million charge in asset impairment and other charges which included $1.8 million for severance and $1.4 million for asset impairments. The corporate expense increase, excluding asset impairment and other charges in Fiscal 2026 and Fiscal 2025, primarily reflects an increase in compensation expense, partially offset by a decrease in professional fees in Fiscal 2026 compared to Fiscal 2025.</w:t>
      </w:r>
    </w:p>
    <w:p>
      <w:pPr>
        <w:spacing w:after="0" w:line="159"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Net interest expense decreased 3.6% or $0.2 million to $4.1 million in Fiscal 2026 from $4.3 million in Fiscal 2025 primarily reflecting decreased revolver borrowings in the U.S. in Fiscal 2026 compared to Fiscal 2025, partially offset by increased revolver borrowings in the U.K. in Fiscal 2026.</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35</w:t>
      </w:r>
    </w:p>
    <w:p>
      <w:pPr>
        <w:sectPr>
          <w:pgSz w:w="12240" w:h="15840" w:orient="portrait"/>
          <w:cols w:equalWidth="0" w:num="1">
            <w:col w:w="10260"/>
          </w:cols>
          <w:pgMar w:left="1000" w:top="1440" w:right="980" w:bottom="178" w:gutter="0" w:footer="0" w:header="0"/>
          <w:type w:val="continuous"/>
        </w:sectPr>
      </w:pPr>
    </w:p>
    <w:bookmarkStart w:id="42" w:name="page43"/>
    <w:bookmarkEnd w:id="42"/>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Working Capital</w:t>
      </w:r>
    </w:p>
    <w:p>
      <w:pPr>
        <w:spacing w:after="0" w:line="246" w:lineRule="exact"/>
        <w:rPr>
          <w:sz w:val="20"/>
          <w:szCs w:val="20"/>
          <w:color w:val="auto"/>
        </w:rPr>
      </w:pPr>
    </w:p>
    <w:p>
      <w:pPr>
        <w:ind w:right="20"/>
        <w:spacing w:after="0" w:line="326" w:lineRule="auto"/>
        <w:rPr>
          <w:sz w:val="20"/>
          <w:szCs w:val="20"/>
          <w:color w:val="auto"/>
        </w:rPr>
      </w:pPr>
      <w:r>
        <w:rPr>
          <w:rFonts w:ascii="Times New Roman" w:cs="Times New Roman" w:eastAsia="Times New Roman" w:hAnsi="Times New Roman"/>
          <w:sz w:val="20"/>
          <w:szCs w:val="20"/>
          <w:color w:val="1E1E1E"/>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ectPr>
          <w:pgSz w:w="12240" w:h="15840" w:orient="portrait"/>
          <w:cols w:equalWidth="0" w:num="1">
            <w:col w:w="10260"/>
          </w:cols>
          <w:pgMar w:left="1000" w:top="1440" w:right="980" w:bottom="178" w:gutter="0" w:footer="0" w:header="0"/>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Cash flow changes: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20320</wp:posOffset>
                </wp:positionV>
                <wp:extent cx="4824730" cy="14605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4730" cy="146050"/>
                        </a:xfrm>
                        <a:prstGeom prst="rect">
                          <a:avLst/>
                        </a:prstGeom>
                        <a:solidFill>
                          <a:srgbClr val="E4E4E4"/>
                        </a:solidFill>
                      </wps:spPr>
                      <wps:bodyPr/>
                    </wps:wsp>
                  </a:graphicData>
                </a:graphic>
              </wp:anchor>
            </w:drawing>
          </mc:Choice>
          <mc:Fallback>
            <w:pict>
              <v:rect id="Shape 49" o:spid="_x0000_s1074" style="position:absolute;margin-left:-0.2999pt;margin-top:1.6pt;width:379.9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17145</wp:posOffset>
                </wp:positionV>
                <wp:extent cx="382778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7780" cy="4763"/>
                        </a:xfrm>
                        <a:prstGeom prst="line">
                          <a:avLst/>
                        </a:prstGeom>
                        <a:solidFill>
                          <a:srgbClr val="FFFFFF"/>
                        </a:solidFill>
                        <a:ln w="6095">
                          <a:solidFill>
                            <a:srgbClr val="E4E4E4"/>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5pt" to="301.1pt,1.35pt" o:allowincell="f" strokecolor="#E4E4E4" strokeweight="0.4799pt"/>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Net cash provided by operating activities</w:t>
      </w:r>
    </w:p>
    <w:p>
      <w:pPr>
        <w:spacing w:after="0"/>
        <w:rPr>
          <w:sz w:val="20"/>
          <w:szCs w:val="20"/>
          <w:color w:val="auto"/>
        </w:rPr>
      </w:pPr>
      <w:r>
        <w:rPr>
          <w:rFonts w:ascii="Times New Roman" w:cs="Times New Roman" w:eastAsia="Times New Roman" w:hAnsi="Times New Roman"/>
          <w:sz w:val="20"/>
          <w:szCs w:val="20"/>
          <w:color w:val="1E1E1E"/>
        </w:rPr>
        <w:t>Net cash used in investing activities</w:t>
      </w:r>
    </w:p>
    <w:p>
      <w:pPr>
        <w:spacing w:after="0"/>
        <w:rPr>
          <w:sz w:val="20"/>
          <w:szCs w:val="20"/>
          <w:color w:val="auto"/>
        </w:rPr>
      </w:pPr>
      <w:r>
        <w:rPr>
          <w:rFonts w:ascii="Times New Roman" w:cs="Times New Roman" w:eastAsia="Times New Roman" w:hAnsi="Times New Roman"/>
          <w:sz w:val="20"/>
          <w:szCs w:val="20"/>
          <w:color w:val="1E1E1E"/>
        </w:rPr>
        <w:t>Net cash used in financing activities</w:t>
      </w:r>
    </w:p>
    <w:p>
      <w:pPr>
        <w:ind w:right="980"/>
        <w:spacing w:after="0" w:line="286" w:lineRule="auto"/>
        <w:rPr>
          <w:sz w:val="20"/>
          <w:szCs w:val="20"/>
          <w:color w:val="auto"/>
        </w:rPr>
      </w:pPr>
      <w:r>
        <w:rPr>
          <w:rFonts w:ascii="Times New Roman" w:cs="Times New Roman" w:eastAsia="Times New Roman" w:hAnsi="Times New Roman"/>
          <w:sz w:val="19"/>
          <w:szCs w:val="19"/>
          <w:color w:val="1E1E1E"/>
        </w:rPr>
        <w:t>Effect of foreign exchange rate fluctuations on cash Net increase (decrease) in cash and cash equivalents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-182880</wp:posOffset>
                </wp:positionV>
                <wp:extent cx="6510020" cy="14668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146685"/>
                        </a:xfrm>
                        <a:prstGeom prst="rect">
                          <a:avLst/>
                        </a:prstGeom>
                        <a:solidFill>
                          <a:srgbClr val="E4E4E4"/>
                        </a:solidFill>
                      </wps:spPr>
                      <wps:bodyPr/>
                    </wps:wsp>
                  </a:graphicData>
                </a:graphic>
              </wp:anchor>
            </w:drawing>
          </mc:Choice>
          <mc:Fallback>
            <w:pict>
              <v:rect id="Shape 51" o:spid="_x0000_s1076" style="position:absolute;margin-left:-0.2999pt;margin-top:-14.3999pt;width:512.6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-188595</wp:posOffset>
                </wp:positionV>
                <wp:extent cx="3827780" cy="1524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7780" cy="152400"/>
                        </a:xfrm>
                        <a:prstGeom prst="rect">
                          <a:avLst/>
                        </a:prstGeom>
                        <a:solidFill>
                          <a:srgbClr val="E4E4E4"/>
                        </a:solidFill>
                      </wps:spPr>
                      <wps:bodyPr/>
                    </wps:wsp>
                  </a:graphicData>
                </a:graphic>
              </wp:anchor>
            </w:drawing>
          </mc:Choice>
          <mc:Fallback>
            <w:pict>
              <v:rect id="Shape 52" o:spid="_x0000_s1077" style="position:absolute;margin-left:-0.2999pt;margin-top:-14.8499pt;width:301.4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1E1E1E"/>
        </w:rPr>
        <w:t>Fiscal Year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1E1E1E"/>
            </w:tcBorders>
          </w:tcPr>
          <w:p>
            <w:pPr>
              <w:spacing w:after="0"/>
              <w:rPr>
                <w:sz w:val="17"/>
                <w:szCs w:val="17"/>
                <w:color w:val="auto"/>
              </w:rPr>
            </w:pPr>
          </w:p>
        </w:tc>
        <w:tc>
          <w:tcPr>
            <w:tcW w:w="1200" w:type="dxa"/>
            <w:vAlign w:val="bottom"/>
            <w:tcBorders>
              <w:top w:val="single" w:sz="8" w:color="1E1E1E"/>
            </w:tcBorders>
          </w:tcPr>
          <w:p>
            <w:pPr>
              <w:jc w:val="right"/>
              <w:ind w:right="39"/>
              <w:spacing w:after="0" w:line="196" w:lineRule="exact"/>
              <w:rPr>
                <w:sz w:val="20"/>
                <w:szCs w:val="20"/>
                <w:color w:val="auto"/>
              </w:rPr>
            </w:pPr>
            <w:r>
              <w:rPr>
                <w:rFonts w:ascii="Times New Roman" w:cs="Times New Roman" w:eastAsia="Times New Roman" w:hAnsi="Times New Roman"/>
                <w:sz w:val="20"/>
                <w:szCs w:val="20"/>
                <w:b w:val="1"/>
                <w:bCs w:val="1"/>
                <w:color w:val="1E1E1E"/>
              </w:rPr>
              <w:t>January 31,</w:t>
            </w:r>
          </w:p>
        </w:tc>
        <w:tc>
          <w:tcPr>
            <w:tcW w:w="220" w:type="dxa"/>
            <w:vAlign w:val="bottom"/>
            <w:tcBorders>
              <w:top w:val="single" w:sz="8" w:color="1E1E1E"/>
            </w:tcBorders>
          </w:tcPr>
          <w:p>
            <w:pPr>
              <w:spacing w:after="0"/>
              <w:rPr>
                <w:sz w:val="17"/>
                <w:szCs w:val="17"/>
                <w:color w:val="auto"/>
              </w:rPr>
            </w:pPr>
          </w:p>
        </w:tc>
        <w:tc>
          <w:tcPr>
            <w:tcW w:w="1240" w:type="dxa"/>
            <w:vAlign w:val="bottom"/>
            <w:tcBorders>
              <w:top w:val="single" w:sz="8" w:color="1E1E1E"/>
            </w:tcBorders>
          </w:tcPr>
          <w:p>
            <w:pPr>
              <w:jc w:val="right"/>
              <w:ind w:right="59"/>
              <w:spacing w:after="0" w:line="196" w:lineRule="exact"/>
              <w:rPr>
                <w:sz w:val="20"/>
                <w:szCs w:val="20"/>
                <w:color w:val="auto"/>
              </w:rPr>
            </w:pPr>
            <w:r>
              <w:rPr>
                <w:rFonts w:ascii="Times New Roman" w:cs="Times New Roman" w:eastAsia="Times New Roman" w:hAnsi="Times New Roman"/>
                <w:sz w:val="20"/>
                <w:szCs w:val="20"/>
                <w:color w:val="1E1E1E"/>
              </w:rPr>
              <w:t>February 1,</w:t>
            </w:r>
          </w:p>
        </w:tc>
        <w:tc>
          <w:tcPr>
            <w:tcW w:w="320" w:type="dxa"/>
            <w:vAlign w:val="bottom"/>
            <w:tcBorders>
              <w:top w:val="single" w:sz="8" w:color="1E1E1E"/>
            </w:tcBorders>
          </w:tcPr>
          <w:p>
            <w:pPr>
              <w:spacing w:after="0"/>
              <w:rPr>
                <w:sz w:val="17"/>
                <w:szCs w:val="17"/>
                <w:color w:val="auto"/>
              </w:rPr>
            </w:pPr>
          </w:p>
        </w:tc>
        <w:tc>
          <w:tcPr>
            <w:tcW w:w="1080" w:type="dxa"/>
            <w:vAlign w:val="bottom"/>
            <w:tcBorders>
              <w:top w:val="single" w:sz="8" w:color="1E1E1E"/>
            </w:tcBorders>
          </w:tcPr>
          <w:p>
            <w:pPr>
              <w:jc w:val="right"/>
              <w:spacing w:after="0" w:line="196" w:lineRule="exact"/>
              <w:rPr>
                <w:sz w:val="20"/>
                <w:szCs w:val="20"/>
                <w:color w:val="auto"/>
              </w:rPr>
            </w:pPr>
            <w:r>
              <w:rPr>
                <w:rFonts w:ascii="Times New Roman" w:cs="Times New Roman" w:eastAsia="Times New Roman" w:hAnsi="Times New Roman"/>
                <w:sz w:val="20"/>
                <w:szCs w:val="20"/>
                <w:color w:val="1E1E1E"/>
              </w:rPr>
              <w:t>Increase</w:t>
            </w:r>
          </w:p>
        </w:tc>
      </w:tr>
      <w:tr>
        <w:trPr>
          <w:trHeight w:val="255"/>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1E1E1E"/>
            </w:tcBorders>
          </w:tcPr>
          <w:p>
            <w:pPr>
              <w:spacing w:after="0"/>
              <w:rPr>
                <w:sz w:val="22"/>
                <w:szCs w:val="22"/>
                <w:color w:val="auto"/>
              </w:rPr>
            </w:pPr>
          </w:p>
        </w:tc>
        <w:tc>
          <w:tcPr>
            <w:tcW w:w="120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220" w:type="dxa"/>
            <w:vAlign w:val="bottom"/>
            <w:tcBorders>
              <w:bottom w:val="single" w:sz="8" w:color="1E1E1E"/>
            </w:tcBorders>
          </w:tcPr>
          <w:p>
            <w:pPr>
              <w:spacing w:after="0"/>
              <w:rPr>
                <w:sz w:val="22"/>
                <w:szCs w:val="22"/>
                <w:color w:val="auto"/>
              </w:rPr>
            </w:pPr>
          </w:p>
        </w:tc>
        <w:tc>
          <w:tcPr>
            <w:tcW w:w="1240" w:type="dxa"/>
            <w:vAlign w:val="bottom"/>
            <w:tcBorders>
              <w:bottom w:val="single" w:sz="8" w:color="1E1E1E"/>
            </w:tcBorders>
          </w:tcPr>
          <w:p>
            <w:pPr>
              <w:jc w:val="right"/>
              <w:ind w:right="59"/>
              <w:spacing w:after="0"/>
              <w:rPr>
                <w:sz w:val="20"/>
                <w:szCs w:val="20"/>
                <w:color w:val="auto"/>
              </w:rPr>
            </w:pPr>
            <w:r>
              <w:rPr>
                <w:rFonts w:ascii="Times New Roman" w:cs="Times New Roman" w:eastAsia="Times New Roman" w:hAnsi="Times New Roman"/>
                <w:sz w:val="20"/>
                <w:szCs w:val="20"/>
                <w:color w:val="1E1E1E"/>
              </w:rPr>
              <w:t>2025</w:t>
            </w:r>
          </w:p>
        </w:tc>
        <w:tc>
          <w:tcPr>
            <w:tcW w:w="3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(Decrease)</w:t>
            </w:r>
          </w:p>
        </w:tc>
      </w:tr>
      <w:tr>
        <w:trPr>
          <w:trHeight w:val="220"/>
        </w:trPr>
        <w:tc>
          <w:tcPr>
            <w:tcW w:w="300" w:type="dxa"/>
            <w:vAlign w:val="bottom"/>
            <w:gridSpan w:val="3"/>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200" w:type="dxa"/>
            <w:vAlign w:val="bottom"/>
            <w:shd w:val="clear" w:color="auto" w:fill="E4E4E4"/>
          </w:tcPr>
          <w:p>
            <w:pPr>
              <w:jc w:val="right"/>
              <w:ind w:right="39"/>
              <w:spacing w:after="0" w:line="220" w:lineRule="exact"/>
              <w:rPr>
                <w:sz w:val="20"/>
                <w:szCs w:val="20"/>
                <w:color w:val="auto"/>
              </w:rPr>
            </w:pPr>
            <w:r>
              <w:rPr>
                <w:rFonts w:ascii="Times New Roman" w:cs="Times New Roman" w:eastAsia="Times New Roman" w:hAnsi="Times New Roman"/>
                <w:sz w:val="20"/>
                <w:szCs w:val="20"/>
                <w:b w:val="1"/>
                <w:bCs w:val="1"/>
                <w:color w:val="1E1E1E"/>
              </w:rPr>
              <w:t>145,760</w:t>
            </w:r>
          </w:p>
        </w:tc>
        <w:tc>
          <w:tcPr>
            <w:tcW w:w="2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color w:val="1E1E1E"/>
              </w:rPr>
              <w:t>87,886</w:t>
            </w:r>
          </w:p>
        </w:tc>
        <w:tc>
          <w:tcPr>
            <w:tcW w:w="320" w:type="dxa"/>
            <w:vAlign w:val="bottom"/>
            <w:shd w:val="clear" w:color="auto" w:fill="E4E4E4"/>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57,874</w:t>
            </w:r>
          </w:p>
        </w:tc>
      </w:tr>
      <w:tr>
        <w:trPr>
          <w:trHeight w:val="201"/>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b w:val="1"/>
                <w:bCs w:val="1"/>
                <w:color w:val="1E1E1E"/>
              </w:rPr>
              <w:t>(62,054)</w:t>
            </w:r>
          </w:p>
        </w:tc>
        <w:tc>
          <w:tcPr>
            <w:tcW w:w="2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1E1E1E"/>
              </w:rPr>
              <w:t>(41,131)</w:t>
            </w:r>
          </w:p>
        </w:tc>
        <w:tc>
          <w:tcPr>
            <w:tcW w:w="32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1E1E1E"/>
              </w:rPr>
              <w:t>(20,923)</w:t>
            </w:r>
          </w:p>
        </w:tc>
      </w:tr>
      <w:tr>
        <w:trPr>
          <w:trHeight w:val="230"/>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(13,317)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(47,003)</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33,686</w:t>
            </w:r>
          </w:p>
        </w:tc>
      </w:tr>
      <w:tr>
        <w:trPr>
          <w:trHeight w:val="255"/>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1E1E1E"/>
            </w:tcBorders>
          </w:tcPr>
          <w:p>
            <w:pPr>
              <w:spacing w:after="0"/>
              <w:rPr>
                <w:sz w:val="22"/>
                <w:szCs w:val="22"/>
                <w:color w:val="auto"/>
              </w:rPr>
            </w:pPr>
          </w:p>
        </w:tc>
        <w:tc>
          <w:tcPr>
            <w:tcW w:w="120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1,009</w:t>
            </w:r>
          </w:p>
        </w:tc>
        <w:tc>
          <w:tcPr>
            <w:tcW w:w="220" w:type="dxa"/>
            <w:vAlign w:val="bottom"/>
            <w:tcBorders>
              <w:bottom w:val="single" w:sz="8" w:color="1E1E1E"/>
            </w:tcBorders>
          </w:tcPr>
          <w:p>
            <w:pPr>
              <w:spacing w:after="0"/>
              <w:rPr>
                <w:sz w:val="22"/>
                <w:szCs w:val="22"/>
                <w:color w:val="auto"/>
              </w:rPr>
            </w:pPr>
          </w:p>
        </w:tc>
        <w:tc>
          <w:tcPr>
            <w:tcW w:w="1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(900)</w:t>
            </w:r>
          </w:p>
        </w:tc>
        <w:tc>
          <w:tcPr>
            <w:tcW w:w="3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1,909</w:t>
            </w:r>
          </w:p>
        </w:tc>
      </w:tr>
      <w:tr>
        <w:trPr>
          <w:trHeight w:val="220"/>
        </w:trPr>
        <w:tc>
          <w:tcPr>
            <w:tcW w:w="120" w:type="dxa"/>
            <w:vAlign w:val="bottom"/>
          </w:tcPr>
          <w:p>
            <w:pPr>
              <w:spacing w:after="0"/>
              <w:rPr>
                <w:sz w:val="19"/>
                <w:szCs w:val="19"/>
                <w:color w:val="auto"/>
              </w:rPr>
            </w:pPr>
          </w:p>
        </w:tc>
        <w:tc>
          <w:tcPr>
            <w:tcW w:w="20" w:type="dxa"/>
            <w:vAlign w:val="bottom"/>
            <w:tcBorders>
              <w:bottom w:val="single" w:sz="8" w:color="1E1E1E"/>
            </w:tcBorders>
          </w:tcPr>
          <w:p>
            <w:pPr>
              <w:spacing w:after="0"/>
              <w:rPr>
                <w:sz w:val="19"/>
                <w:szCs w:val="19"/>
                <w:color w:val="auto"/>
              </w:rPr>
            </w:pPr>
          </w:p>
        </w:tc>
        <w:tc>
          <w:tcPr>
            <w:tcW w:w="1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w w:val="79"/>
              </w:rPr>
              <w:t>$</w:t>
            </w:r>
          </w:p>
        </w:tc>
        <w:tc>
          <w:tcPr>
            <w:tcW w:w="1200" w:type="dxa"/>
            <w:vAlign w:val="bottom"/>
            <w:tcBorders>
              <w:bottom w:val="single" w:sz="8" w:color="1E1E1E"/>
            </w:tcBorders>
          </w:tcPr>
          <w:p>
            <w:pPr>
              <w:jc w:val="right"/>
              <w:ind w:right="39"/>
              <w:spacing w:after="0" w:line="220" w:lineRule="exact"/>
              <w:rPr>
                <w:sz w:val="20"/>
                <w:szCs w:val="20"/>
                <w:color w:val="auto"/>
              </w:rPr>
            </w:pPr>
            <w:r>
              <w:rPr>
                <w:rFonts w:ascii="Times New Roman" w:cs="Times New Roman" w:eastAsia="Times New Roman" w:hAnsi="Times New Roman"/>
                <w:sz w:val="20"/>
                <w:szCs w:val="20"/>
                <w:b w:val="1"/>
                <w:bCs w:val="1"/>
                <w:color w:val="1E1E1E"/>
              </w:rPr>
              <w:t>71,398</w:t>
            </w:r>
          </w:p>
        </w:tc>
        <w:tc>
          <w:tcPr>
            <w:tcW w:w="22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(1,148)</w:t>
            </w:r>
          </w:p>
        </w:tc>
        <w:tc>
          <w:tcPr>
            <w:tcW w:w="320" w:type="dxa"/>
            <w:vAlign w:val="bottom"/>
            <w:tcBorders>
              <w:bottom w:val="single" w:sz="8" w:color="1E1E1E"/>
            </w:tcBorders>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72,546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-3737610</wp:posOffset>
                </wp:positionH>
                <wp:positionV relativeFrom="paragraph">
                  <wp:posOffset>-450850</wp:posOffset>
                </wp:positionV>
                <wp:extent cx="6510020" cy="1460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146050"/>
                        </a:xfrm>
                        <a:prstGeom prst="rect">
                          <a:avLst/>
                        </a:prstGeom>
                        <a:solidFill>
                          <a:srgbClr val="E4E4E4"/>
                        </a:solidFill>
                      </wps:spPr>
                      <wps:bodyPr/>
                    </wps:wsp>
                  </a:graphicData>
                </a:graphic>
              </wp:anchor>
            </w:drawing>
          </mc:Choice>
          <mc:Fallback>
            <w:pict>
              <v:rect id="Shape 53" o:spid="_x0000_s1078" style="position:absolute;margin-left:-294.2999pt;margin-top:-35.4999pt;width:512.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248" w:lineRule="exact"/>
        <w:rPr>
          <w:sz w:val="20"/>
          <w:szCs w:val="20"/>
          <w:color w:val="auto"/>
        </w:rPr>
      </w:pPr>
    </w:p>
    <w:p>
      <w:pPr>
        <w:sectPr>
          <w:pgSz w:w="12240" w:h="15840" w:orient="portrait"/>
          <w:cols w:equalWidth="0" w:num="2">
            <w:col w:w="5160" w:space="720"/>
            <w:col w:w="4380"/>
          </w:cols>
          <w:pgMar w:left="1000" w:top="1440" w:right="980" w:bottom="178"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Reasons for the major variances in cash provided by (used in) the table above are as follows:</w:t>
      </w:r>
    </w:p>
    <w:p>
      <w:pPr>
        <w:spacing w:after="0" w:line="245"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20"/>
          <w:szCs w:val="20"/>
          <w:color w:val="1E1E1E"/>
        </w:rPr>
        <w:t>Cash provided by operating activities was $57.9 million higher in Fiscal 2026 compared to Fiscal 2025, reflecting primarily the following factors:</w:t>
      </w:r>
    </w:p>
    <w:p>
      <w:pPr>
        <w:spacing w:after="0" w:line="134" w:lineRule="exact"/>
        <w:rPr>
          <w:sz w:val="20"/>
          <w:szCs w:val="20"/>
          <w:color w:val="auto"/>
        </w:rPr>
      </w:pPr>
    </w:p>
    <w:p>
      <w:pPr>
        <w:jc w:val="both"/>
        <w:ind w:left="720" w:right="20" w:hanging="366"/>
        <w:spacing w:after="0" w:line="308" w:lineRule="auto"/>
        <w:tabs>
          <w:tab w:leader="none" w:pos="72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a $123.5 million increase in cash flow from changes in prepaids and other current assets, partially offset by a $56.1 million decrease in cash flow from changes in other assets and liabilities, primarily reflecting the receipt of a $59.3 million income tax refund; and</w:t>
      </w:r>
    </w:p>
    <w:p>
      <w:pPr>
        <w:spacing w:after="0" w:line="155" w:lineRule="exact"/>
        <w:rPr>
          <w:rFonts w:ascii="Arial" w:cs="Arial" w:eastAsia="Arial" w:hAnsi="Arial"/>
          <w:sz w:val="20"/>
          <w:szCs w:val="20"/>
          <w:color w:val="1E1E1E"/>
        </w:rPr>
      </w:pPr>
    </w:p>
    <w:p>
      <w:pPr>
        <w:jc w:val="both"/>
        <w:ind w:left="720" w:hanging="366"/>
        <w:spacing w:after="0" w:line="308" w:lineRule="auto"/>
        <w:tabs>
          <w:tab w:leader="none" w:pos="72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a $47.9 million increase in cash flow from changes in inventory, reflecting a $1.2 million increase in inventory in Fiscal 2026 versus Fiscal 2025 compared to a $49.1 million increase in inventory in Fiscal 2025 versus Fiscal 2024; partially offset by</w:t>
      </w:r>
    </w:p>
    <w:p>
      <w:pPr>
        <w:spacing w:after="0" w:line="155" w:lineRule="exact"/>
        <w:rPr>
          <w:rFonts w:ascii="Arial" w:cs="Arial" w:eastAsia="Arial" w:hAnsi="Arial"/>
          <w:sz w:val="20"/>
          <w:szCs w:val="20"/>
          <w:color w:val="1E1E1E"/>
        </w:rPr>
      </w:pPr>
    </w:p>
    <w:p>
      <w:pPr>
        <w:ind w:left="720" w:hanging="366"/>
        <w:spacing w:after="0" w:line="325" w:lineRule="auto"/>
        <w:tabs>
          <w:tab w:leader="none" w:pos="72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a $67.5 million decrease in cash flow from changes in accounts payable, primarily reflecting changes in timing of rent payments and changes in buying and receipt patterns in Fiscal 2026.</w:t>
      </w:r>
    </w:p>
    <w:p>
      <w:pPr>
        <w:spacing w:after="0" w:line="130"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Cash used in investing activities was $20.9 million higher in Fiscal 2026 compared to Fiscal 2025 reflecting increased capital expenditures primarily related to investments in retail stores, primarily renovations.</w:t>
      </w:r>
    </w:p>
    <w:p>
      <w:pPr>
        <w:spacing w:after="0" w:line="12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Cash used in financing activities was $33.7 million lower in Fiscal 2026 as compared to Fiscal 2025 primarily reflecting higher net payments in Fiscal 2025 compared to Fiscal 2026.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Sources of Liquidity and Future Capital Needs</w:t>
      </w:r>
    </w:p>
    <w:p>
      <w:pPr>
        <w:spacing w:after="0" w:line="241"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20"/>
          <w:szCs w:val="20"/>
          <w:color w:val="1E1E1E"/>
        </w:rPr>
        <w:t>We have three principal sources of liquidity: cash flow from operations, cash on hand and our credit facilities discussed in Item 8, Note 8, "Long-Term Debt", to our Consolidated Financial Statements included in this Annual Report on Form 10-K.</w:t>
      </w:r>
    </w:p>
    <w:p>
      <w:pPr>
        <w:spacing w:after="0" w:line="11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1E1E1E"/>
        </w:rPr>
        <w:t xml:space="preserve">On January 16, 2026, we entered into the Fourth Amendment (the "Fourth Amendment") </w:t>
      </w:r>
      <w:r>
        <w:rPr>
          <w:rFonts w:ascii="Times New Roman" w:cs="Times New Roman" w:eastAsia="Times New Roman" w:hAnsi="Times New Roman"/>
          <w:sz w:val="19"/>
          <w:szCs w:val="19"/>
          <w:color w:val="1C1C1C"/>
        </w:rPr>
        <w:t>to the Fourth Amended and Restated</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color w:val="1C1C1C"/>
        </w:rPr>
        <w:t xml:space="preserve">Credit Agreement dated as of January 31, 2018 (as amended, the "Credit Facility" or the "Credit Agreement") by and among us, certain of our subsidiaries, the lenders party thereto and Bank of America, N.A. as agent, to, </w:t>
      </w:r>
      <w:r>
        <w:rPr>
          <w:rFonts w:ascii="Times New Roman" w:cs="Times New Roman" w:eastAsia="Times New Roman" w:hAnsi="Times New Roman"/>
          <w:sz w:val="19"/>
          <w:szCs w:val="19"/>
          <w:color w:val="1E1E1E"/>
        </w:rPr>
        <w:t>among other things, extend the</w:t>
      </w:r>
      <w:r>
        <w:rPr>
          <w:rFonts w:ascii="Times New Roman" w:cs="Times New Roman" w:eastAsia="Times New Roman" w:hAnsi="Times New Roman"/>
          <w:sz w:val="19"/>
          <w:szCs w:val="19"/>
          <w:color w:val="1C1C1C"/>
        </w:rPr>
        <w:t xml:space="preserve"> </w:t>
      </w:r>
      <w:r>
        <w:rPr>
          <w:rFonts w:ascii="Times New Roman" w:cs="Times New Roman" w:eastAsia="Times New Roman" w:hAnsi="Times New Roman"/>
          <w:sz w:val="19"/>
          <w:szCs w:val="19"/>
          <w:color w:val="1E1E1E"/>
        </w:rPr>
        <w:t>maturity date to January 16, 2031. In addition, the Fourth Amendment (i) makes conforming changes to replace the Canadian Dollar Offered Rate with the Canadian Overnight Repo Rate Average ("CORRA") with respect to Canadian borrowings and (ii) removes the credit spread adjustment and thereby reduces the Term SOFR (as defined in the Credit Agreement) interest rate with respect to domestic borrowings. The Total Commitments (as defined in the Credit Agreement) for the revolving loans remains at $332.5 million. As of January 31, 2026, we had outstanding revolver borrowings under the Credit Facility of $3.4 million (CAD</w:t>
      </w:r>
    </w:p>
    <w:p>
      <w:pPr>
        <w:sectPr>
          <w:pgSz w:w="12240" w:h="15840" w:orient="portrait"/>
          <w:cols w:equalWidth="0" w:num="1">
            <w:col w:w="10260"/>
          </w:cols>
          <w:pgMar w:left="1000" w:top="1440" w:right="980" w:bottom="178" w:gutter="0" w:footer="0" w:header="0"/>
          <w:type w:val="continuous"/>
        </w:sect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36</w:t>
      </w:r>
    </w:p>
    <w:p>
      <w:pPr>
        <w:sectPr>
          <w:pgSz w:w="12240" w:h="15840" w:orient="portrait"/>
          <w:cols w:equalWidth="0" w:num="1">
            <w:col w:w="10260"/>
          </w:cols>
          <w:pgMar w:left="1000" w:top="1440" w:right="980" w:bottom="178" w:gutter="0" w:footer="0" w:header="0"/>
          <w:type w:val="continuous"/>
        </w:sectPr>
      </w:pPr>
    </w:p>
    <w:bookmarkStart w:id="43" w:name="page44"/>
    <w:bookmarkEnd w:id="43"/>
    <w:p>
      <w:pPr>
        <w:spacing w:after="0" w:line="16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$4.6 million) related to GCO Canada ULC. We had outstanding letters of credit of $6.2 million under the Credit Facility at January 31, 2026. These letters of credit support insurance and lease indemnifications.</w:t>
      </w:r>
    </w:p>
    <w:p>
      <w:pPr>
        <w:spacing w:after="0" w:line="1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On November 2, 2022, Schuh entered into a facility agreement (the "Facility Agreement") with Lloyds Bank PLC (“Lloyds”) for a £19.0 million revolving credit facility. The Facility Agreement was extended through February 28, 2026 and bears interest at 2.35% over the SONIA Rate. The Facility Agreement was amended during the first quarter of Fiscal 2027 on February 20, 2026 to, among other things, increase the commitment of the credit facility to £20.0 million, extend the maturity date to August 20, 2027, and it will bear interest at 1.75% over the SONIA Rate. This Facility Agreement replaced Schuh's Facility Letter.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 As of January 31, 2026, we did not have any borrowings under the Schuh Facility Agreement.</w:t>
      </w:r>
    </w:p>
    <w:p>
      <w:pPr>
        <w:spacing w:after="0" w:line="15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We were in compliance with all the relevant terms and conditions of the Credit Facility and Facility Agreement as of January 31, 2026.</w:t>
      </w:r>
    </w:p>
    <w:p>
      <w:pPr>
        <w:spacing w:after="0" w:line="12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We believe that cash on hand, cash provided by operations and borrowings under our amended Credit Facility and the Schuh Facility Agreement will be sufficient to support our liquidity needs in Fiscal 2027 and the foreseeable future.</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1E1E1E"/>
        </w:rPr>
        <w:t>In the fourth quarter of Fiscal 2021, we implemented tax strategies allowed under the 5-year carryback provisions in the CARES Act which we believed would generate approximately $55 million of net tax refunds. We received approximately $26 million of such net tax refunds in Fiscal 2022 and anticipated receipt of the remaining outstanding net tax refund in Fiscal 2023. However, in the third quarter of Fiscal 2023, we were notified that the IRS would conduct an audit of the periods related to the outstanding net tax refund. As a result, the timing of the net tax refund was extended due to the audit process. On January 17, 2025, we executed Form 870 with the IRS exam team and began the process of completing the separate Joint Committee on Taxation ("JCT") review of our outstanding U.S. Federal tax refund claim for the Fiscal 2014 to Fiscal 2021 tax periods. During the first quarter of Fiscal 2026, the JCT finalized their review with no changes to the claim and the IRS began the process of issuing the refund. The balance outstanding increased as a result of additional accrued interest. We received a total refund of $60.1 million, including interest, in Fiscal 2026.</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37</w:t>
      </w:r>
    </w:p>
    <w:p>
      <w:pPr>
        <w:sectPr>
          <w:pgSz w:w="12240" w:h="15840" w:orient="portrait"/>
          <w:cols w:equalWidth="0" w:num="1">
            <w:col w:w="10260"/>
          </w:cols>
          <w:pgMar w:left="1000" w:top="1440" w:right="980" w:bottom="178" w:gutter="0" w:footer="0" w:header="0"/>
          <w:type w:val="continuous"/>
        </w:sectPr>
      </w:pPr>
    </w:p>
    <w:bookmarkStart w:id="44" w:name="page45"/>
    <w:bookmarkEnd w:id="44"/>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1E1E1E"/>
        </w:rPr>
        <w:t>Contractual Obligations</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following table sets forth aggregate contractual obligations as of January 31, 2026.</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17145</wp:posOffset>
                </wp:positionV>
                <wp:extent cx="651065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6095">
                          <a:solidFill>
                            <a:srgbClr val="1E1E1E"/>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35pt" to="513.3pt,1.35pt" o:allowincell="f" strokecolor="#1E1E1E" strokeweight="0.4799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24765</wp:posOffset>
                </wp:positionV>
                <wp:extent cx="651065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95pt" to="513.3pt,1.95pt" o:allowincell="f" strokecolor="#FFFFFF" strokeweight="0.72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Contractual Obligations</w:t>
            </w:r>
          </w:p>
        </w:tc>
        <w:tc>
          <w:tcPr>
            <w:tcW w:w="240" w:type="dxa"/>
            <w:vAlign w:val="bottom"/>
            <w:tcBorders>
              <w:bottom w:val="single" w:sz="8" w:color="1E1E1E"/>
            </w:tcBorders>
          </w:tcPr>
          <w:p>
            <w:pPr>
              <w:spacing w:after="0"/>
              <w:rPr>
                <w:sz w:val="20"/>
                <w:szCs w:val="20"/>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Total</w:t>
            </w:r>
          </w:p>
        </w:tc>
        <w:tc>
          <w:tcPr>
            <w:tcW w:w="360" w:type="dxa"/>
            <w:vAlign w:val="bottom"/>
            <w:tcBorders>
              <w:bottom w:val="single" w:sz="8" w:color="1E1E1E"/>
            </w:tcBorders>
          </w:tcPr>
          <w:p>
            <w:pPr>
              <w:spacing w:after="0"/>
              <w:rPr>
                <w:sz w:val="20"/>
                <w:szCs w:val="20"/>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Current</w:t>
            </w:r>
          </w:p>
        </w:tc>
        <w:tc>
          <w:tcPr>
            <w:tcW w:w="360" w:type="dxa"/>
            <w:vAlign w:val="bottom"/>
            <w:tcBorders>
              <w:bottom w:val="single" w:sz="8" w:color="1E1E1E"/>
            </w:tcBorders>
          </w:tcPr>
          <w:p>
            <w:pPr>
              <w:spacing w:after="0"/>
              <w:rPr>
                <w:sz w:val="20"/>
                <w:szCs w:val="20"/>
                <w:color w:val="auto"/>
              </w:rPr>
            </w:pPr>
          </w:p>
        </w:tc>
        <w:tc>
          <w:tcPr>
            <w:tcW w:w="1200" w:type="dxa"/>
            <w:vAlign w:val="bottom"/>
            <w:tcBorders>
              <w:bottom w:val="single" w:sz="8" w:color="1E1E1E"/>
            </w:tcBorders>
            <w:gridSpan w:val="2"/>
          </w:tcPr>
          <w:p>
            <w:pPr>
              <w:ind w:left="180"/>
              <w:spacing w:after="0"/>
              <w:rPr>
                <w:sz w:val="20"/>
                <w:szCs w:val="20"/>
                <w:color w:val="auto"/>
              </w:rPr>
            </w:pPr>
            <w:r>
              <w:rPr>
                <w:rFonts w:ascii="Times New Roman" w:cs="Times New Roman" w:eastAsia="Times New Roman" w:hAnsi="Times New Roman"/>
                <w:sz w:val="20"/>
                <w:szCs w:val="20"/>
                <w:color w:val="1E1E1E"/>
              </w:rPr>
              <w:t>Long-Term</w:t>
            </w:r>
          </w:p>
        </w:tc>
      </w:tr>
      <w:tr>
        <w:trPr>
          <w:trHeight w:val="234"/>
        </w:trPr>
        <w:tc>
          <w:tcPr>
            <w:tcW w:w="20" w:type="dxa"/>
            <w:vAlign w:val="bottom"/>
          </w:tcPr>
          <w:p>
            <w:pPr>
              <w:spacing w:after="0"/>
              <w:rPr>
                <w:sz w:val="20"/>
                <w:szCs w:val="20"/>
                <w:color w:val="auto"/>
              </w:rPr>
            </w:pPr>
          </w:p>
        </w:tc>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Long-Term Debt Obligations</w:t>
            </w:r>
          </w:p>
        </w:tc>
        <w:tc>
          <w:tcPr>
            <w:tcW w:w="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3,379</w:t>
            </w:r>
          </w:p>
        </w:tc>
        <w:tc>
          <w:tcPr>
            <w:tcW w:w="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1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3,379</w:t>
            </w:r>
          </w:p>
        </w:tc>
        <w:tc>
          <w:tcPr>
            <w:tcW w:w="90" w:type="dxa"/>
            <w:vAlign w:val="bottom"/>
            <w:shd w:val="clear" w:color="auto" w:fill="E4E4E4"/>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5880" w:type="dxa"/>
            <w:vAlign w:val="bottom"/>
            <w:tcBorders>
              <w:bottom w:val="single" w:sz="8" w:color="E4E4E4"/>
            </w:tcBorders>
          </w:tcPr>
          <w:p>
            <w:pPr>
              <w:spacing w:after="0" w:line="245" w:lineRule="exact"/>
              <w:rPr>
                <w:sz w:val="20"/>
                <w:szCs w:val="20"/>
                <w:color w:val="auto"/>
              </w:rPr>
            </w:pPr>
            <w:r>
              <w:rPr>
                <w:rFonts w:ascii="Times New Roman" w:cs="Times New Roman" w:eastAsia="Times New Roman" w:hAnsi="Times New Roman"/>
                <w:sz w:val="20"/>
                <w:szCs w:val="20"/>
                <w:color w:val="1E1E1E"/>
              </w:rPr>
              <w:t>Operating Lease Obligations</w:t>
            </w:r>
            <w:r>
              <w:rPr>
                <w:rFonts w:ascii="Times New Roman" w:cs="Times New Roman" w:eastAsia="Times New Roman" w:hAnsi="Times New Roman"/>
                <w:sz w:val="25"/>
                <w:szCs w:val="25"/>
                <w:color w:val="1E1E1E"/>
                <w:vertAlign w:val="superscript"/>
              </w:rPr>
              <w:t>(1)</w:t>
            </w:r>
          </w:p>
        </w:tc>
        <w:tc>
          <w:tcPr>
            <w:tcW w:w="240" w:type="dxa"/>
            <w:vAlign w:val="bottom"/>
            <w:tcBorders>
              <w:bottom w:val="single" w:sz="8" w:color="E4E4E4"/>
            </w:tcBorders>
          </w:tcPr>
          <w:p>
            <w:pPr>
              <w:spacing w:after="0"/>
              <w:rPr>
                <w:sz w:val="21"/>
                <w:szCs w:val="21"/>
                <w:color w:val="auto"/>
              </w:rPr>
            </w:pPr>
          </w:p>
        </w:tc>
        <w:tc>
          <w:tcPr>
            <w:tcW w:w="1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628,018</w:t>
            </w:r>
          </w:p>
        </w:tc>
        <w:tc>
          <w:tcPr>
            <w:tcW w:w="360" w:type="dxa"/>
            <w:vAlign w:val="bottom"/>
            <w:tcBorders>
              <w:bottom w:val="single" w:sz="8" w:color="E4E4E4"/>
            </w:tcBorders>
          </w:tcPr>
          <w:p>
            <w:pPr>
              <w:spacing w:after="0"/>
              <w:rPr>
                <w:sz w:val="21"/>
                <w:szCs w:val="21"/>
                <w:color w:val="auto"/>
              </w:rPr>
            </w:pPr>
          </w:p>
        </w:tc>
        <w:tc>
          <w:tcPr>
            <w:tcW w:w="1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146,527</w:t>
            </w:r>
          </w:p>
        </w:tc>
        <w:tc>
          <w:tcPr>
            <w:tcW w:w="360" w:type="dxa"/>
            <w:vAlign w:val="bottom"/>
            <w:tcBorders>
              <w:bottom w:val="single" w:sz="8" w:color="E4E4E4"/>
            </w:tcBorders>
          </w:tcPr>
          <w:p>
            <w:pPr>
              <w:spacing w:after="0"/>
              <w:rPr>
                <w:sz w:val="21"/>
                <w:szCs w:val="21"/>
                <w:color w:val="auto"/>
              </w:rPr>
            </w:pPr>
          </w:p>
        </w:tc>
        <w:tc>
          <w:tcPr>
            <w:tcW w:w="111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481,491</w:t>
            </w:r>
          </w:p>
        </w:tc>
        <w:tc>
          <w:tcPr>
            <w:tcW w:w="90" w:type="dxa"/>
            <w:vAlign w:val="bottom"/>
            <w:tcBorders>
              <w:bottom w:val="single" w:sz="8" w:color="E4E4E4"/>
            </w:tcBorders>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5880" w:type="dxa"/>
            <w:vAlign w:val="bottom"/>
            <w:tcBorders>
              <w:bottom w:val="single" w:sz="8" w:color="1E1E1E"/>
            </w:tcBorders>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Other Long-Term Liabilities</w:t>
            </w:r>
          </w:p>
        </w:tc>
        <w:tc>
          <w:tcPr>
            <w:tcW w:w="24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434</w:t>
            </w:r>
          </w:p>
        </w:tc>
        <w:tc>
          <w:tcPr>
            <w:tcW w:w="36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140</w:t>
            </w:r>
          </w:p>
        </w:tc>
        <w:tc>
          <w:tcPr>
            <w:tcW w:w="360" w:type="dxa"/>
            <w:vAlign w:val="bottom"/>
            <w:tcBorders>
              <w:bottom w:val="single" w:sz="8" w:color="1E1E1E"/>
            </w:tcBorders>
            <w:shd w:val="clear" w:color="auto" w:fill="E4E4E4"/>
          </w:tcPr>
          <w:p>
            <w:pPr>
              <w:spacing w:after="0"/>
              <w:rPr>
                <w:sz w:val="19"/>
                <w:szCs w:val="19"/>
                <w:color w:val="auto"/>
              </w:rPr>
            </w:pPr>
          </w:p>
        </w:tc>
        <w:tc>
          <w:tcPr>
            <w:tcW w:w="111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294</w:t>
            </w:r>
          </w:p>
        </w:tc>
        <w:tc>
          <w:tcPr>
            <w:tcW w:w="90" w:type="dxa"/>
            <w:vAlign w:val="bottom"/>
            <w:tcBorders>
              <w:bottom w:val="single" w:sz="8" w:color="1E1E1E"/>
            </w:tcBorders>
            <w:shd w:val="clear" w:color="auto" w:fill="E4E4E4"/>
          </w:tcPr>
          <w:p>
            <w:pPr>
              <w:spacing w:after="0"/>
              <w:rPr>
                <w:sz w:val="19"/>
                <w:szCs w:val="19"/>
                <w:color w:val="auto"/>
              </w:rPr>
            </w:pPr>
          </w:p>
        </w:tc>
      </w:tr>
      <w:tr>
        <w:trPr>
          <w:trHeight w:val="234"/>
        </w:trPr>
        <w:tc>
          <w:tcPr>
            <w:tcW w:w="20" w:type="dxa"/>
            <w:vAlign w:val="bottom"/>
            <w:tcBorders>
              <w:bottom w:val="single" w:sz="8" w:color="1E1E1E"/>
            </w:tcBorders>
          </w:tcPr>
          <w:p>
            <w:pPr>
              <w:spacing w:after="0"/>
              <w:rPr>
                <w:sz w:val="20"/>
                <w:szCs w:val="20"/>
                <w:color w:val="auto"/>
              </w:rPr>
            </w:pPr>
          </w:p>
        </w:tc>
        <w:tc>
          <w:tcPr>
            <w:tcW w:w="5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Total Contractual Obligations</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631,831</w:t>
            </w: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146,667</w:t>
            </w: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485,164</w:t>
            </w:r>
          </w:p>
        </w:tc>
        <w:tc>
          <w:tcPr>
            <w:tcW w:w="90" w:type="dxa"/>
            <w:vAlign w:val="bottom"/>
            <w:tcBorders>
              <w:bottom w:val="single" w:sz="8" w:color="1E1E1E"/>
            </w:tcBorders>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-156845</wp:posOffset>
                </wp:positionV>
                <wp:extent cx="651065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2.3499pt" to="513.3pt,-12.3499pt" o:allowincell="f" strokecolor="#FFFFFF" strokeweight="0.72pt"/>
            </w:pict>
          </mc:Fallback>
        </mc:AlternateContent>
      </w:r>
    </w:p>
    <w:p>
      <w:pPr>
        <w:spacing w:after="0" w:line="139" w:lineRule="exact"/>
        <w:rPr>
          <w:sz w:val="20"/>
          <w:szCs w:val="20"/>
          <w:color w:val="auto"/>
        </w:rPr>
      </w:pPr>
    </w:p>
    <w:p>
      <w:pPr>
        <w:ind w:left="200" w:hanging="186"/>
        <w:spacing w:after="0"/>
        <w:tabs>
          <w:tab w:leader="none" w:pos="200" w:val="left"/>
        </w:tabs>
        <w:numPr>
          <w:ilvl w:val="0"/>
          <w:numId w:val="18"/>
        </w:numPr>
        <w:rPr>
          <w:rFonts w:ascii="Times New Roman" w:cs="Times New Roman" w:eastAsia="Times New Roman" w:hAnsi="Times New Roman"/>
          <w:sz w:val="23"/>
          <w:szCs w:val="23"/>
          <w:color w:val="1E1E1E"/>
          <w:vertAlign w:val="superscript"/>
        </w:rPr>
      </w:pPr>
      <w:r>
        <w:rPr>
          <w:rFonts w:ascii="Times New Roman" w:cs="Times New Roman" w:eastAsia="Times New Roman" w:hAnsi="Times New Roman"/>
          <w:sz w:val="18"/>
          <w:szCs w:val="18"/>
          <w:color w:val="1E1E1E"/>
        </w:rPr>
        <w:t>Operating lease obligations excludes $55.8 million for leases signed but not yet commenced.</w:t>
      </w:r>
    </w:p>
    <w:p>
      <w:pPr>
        <w:spacing w:after="0" w:line="250" w:lineRule="exact"/>
        <w:rPr>
          <w:sz w:val="20"/>
          <w:szCs w:val="20"/>
          <w:color w:val="auto"/>
        </w:rPr>
      </w:pPr>
    </w:p>
    <w:p>
      <w:pPr>
        <w:jc w:val="both"/>
        <w:ind w:left="20"/>
        <w:spacing w:after="0" w:line="308" w:lineRule="auto"/>
        <w:rPr>
          <w:sz w:val="20"/>
          <w:szCs w:val="20"/>
          <w:color w:val="auto"/>
        </w:rPr>
      </w:pPr>
      <w:r>
        <w:rPr>
          <w:rFonts w:ascii="Times New Roman" w:cs="Times New Roman" w:eastAsia="Times New Roman" w:hAnsi="Times New Roman"/>
          <w:sz w:val="20"/>
          <w:szCs w:val="20"/>
          <w:color w:val="1E1E1E"/>
        </w:rPr>
        <w:t>We issue inventory purchase orders in the ordinary course of business, which represent authorizations to purchase that are cancelable by their terms. We do not consider purchase orders to be firm inventory commitments. If we choose to cancel a purchase order, we may be obligated to reimburse the vendor for unrecoverable outlays incurred prior to cancellation.</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1E1E1E"/>
        </w:rPr>
        <w:t>Capital Expenditures</w:t>
      </w:r>
    </w:p>
    <w:p>
      <w:pPr>
        <w:spacing w:after="0" w:line="241" w:lineRule="exact"/>
        <w:rPr>
          <w:sz w:val="20"/>
          <w:szCs w:val="20"/>
          <w:color w:val="auto"/>
        </w:rPr>
      </w:pPr>
    </w:p>
    <w:p>
      <w:pPr>
        <w:jc w:val="both"/>
        <w:ind w:left="20" w:right="20"/>
        <w:spacing w:after="0" w:line="326" w:lineRule="auto"/>
        <w:rPr>
          <w:sz w:val="20"/>
          <w:szCs w:val="20"/>
          <w:color w:val="auto"/>
        </w:rPr>
      </w:pPr>
      <w:r>
        <w:rPr>
          <w:rFonts w:ascii="Times New Roman" w:cs="Times New Roman" w:eastAsia="Times New Roman" w:hAnsi="Times New Roman"/>
          <w:sz w:val="20"/>
          <w:szCs w:val="20"/>
          <w:color w:val="1E1E1E"/>
        </w:rPr>
        <w:t>Capital expenditures were $62.1 million and $41.1 million for Fiscal 2026 and 2025, respectively. The $21.0 million increase in Fiscal 2026 capital expenditures as compared to Fiscal 2025 is primarily due to increased store renovations and new stores.</w:t>
      </w:r>
    </w:p>
    <w:p>
      <w:pPr>
        <w:spacing w:after="0" w:line="124" w:lineRule="exact"/>
        <w:rPr>
          <w:sz w:val="20"/>
          <w:szCs w:val="20"/>
          <w:color w:val="auto"/>
        </w:rPr>
      </w:pPr>
    </w:p>
    <w:p>
      <w:pPr>
        <w:jc w:val="both"/>
        <w:ind w:left="20" w:right="20"/>
        <w:spacing w:after="0" w:line="302" w:lineRule="auto"/>
        <w:rPr>
          <w:sz w:val="20"/>
          <w:szCs w:val="20"/>
          <w:color w:val="auto"/>
        </w:rPr>
      </w:pPr>
      <w:r>
        <w:rPr>
          <w:rFonts w:ascii="Times New Roman" w:cs="Times New Roman" w:eastAsia="Times New Roman" w:hAnsi="Times New Roman"/>
          <w:sz w:val="20"/>
          <w:szCs w:val="20"/>
          <w:color w:val="1E1E1E"/>
        </w:rPr>
        <w:t>We expect total capital expenditures for Fiscal 2027 to be approximately $65-$70 million of which approximately 90% is for new stores and renovations and 10% is for other initiatives. We do not currently have any longer-term capital expenditures or other cash requirements other than as set forth in the contractual obligations table. We also do not currently have any off-balance sheet arrangements.</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1E1E1E"/>
        </w:rPr>
        <w:t>Common Stock Repurchases</w:t>
      </w:r>
    </w:p>
    <w:p>
      <w:pPr>
        <w:spacing w:after="0" w:line="241" w:lineRule="exact"/>
        <w:rPr>
          <w:sz w:val="20"/>
          <w:szCs w:val="20"/>
          <w:color w:val="auto"/>
        </w:rPr>
      </w:pPr>
    </w:p>
    <w:p>
      <w:pPr>
        <w:jc w:val="both"/>
        <w:ind w:left="20"/>
        <w:spacing w:after="0" w:line="295" w:lineRule="auto"/>
        <w:rPr>
          <w:sz w:val="20"/>
          <w:szCs w:val="20"/>
          <w:color w:val="auto"/>
        </w:rPr>
      </w:pPr>
      <w:r>
        <w:rPr>
          <w:rFonts w:ascii="Times New Roman" w:cs="Times New Roman" w:eastAsia="Times New Roman" w:hAnsi="Times New Roman"/>
          <w:sz w:val="20"/>
          <w:szCs w:val="20"/>
          <w:color w:val="1E1E1E"/>
        </w:rPr>
        <w:t>We repurchased 604,531 shares during Fiscal 2026 at a cost of $12.6 million or an average of $20.79 per share. We were operating under a $100.0 million repurchase authorization from February 2022. In June 2023, we announced an additional $50.0 million share repurchase authorization. As of January 31, 2026, we have $29.8 million remaining under the expanded share repurchase authorization. We repurchased 399,633 shares during Fiscal 2025 at a cost of $9.8 million or an average of $24.49 per share. We repurchased 1,261,295 shares during Fiscal 2024 at a cost of $32.0 million or an average of $25.39 per share. During the first quarter of Fiscal 2027, through March 25, 2026, we did not repurchase any shares.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Environmental and Other Contingencies</w:t>
      </w:r>
    </w:p>
    <w:p>
      <w:pPr>
        <w:spacing w:after="0" w:line="247" w:lineRule="exact"/>
        <w:rPr>
          <w:sz w:val="20"/>
          <w:szCs w:val="20"/>
          <w:color w:val="auto"/>
        </w:rPr>
      </w:pPr>
    </w:p>
    <w:p>
      <w:pPr>
        <w:jc w:val="both"/>
        <w:ind w:left="20"/>
        <w:spacing w:after="0" w:line="308" w:lineRule="auto"/>
        <w:rPr>
          <w:sz w:val="20"/>
          <w:szCs w:val="20"/>
          <w:color w:val="auto"/>
        </w:rPr>
      </w:pPr>
      <w:r>
        <w:rPr>
          <w:rFonts w:ascii="Times New Roman" w:cs="Times New Roman" w:eastAsia="Times New Roman" w:hAnsi="Times New Roman"/>
          <w:sz w:val="20"/>
          <w:szCs w:val="20"/>
          <w:color w:val="1E1E1E"/>
        </w:rPr>
        <w:t>We are subject to certain loss contingencies related to environmental proceedings and other legal matters, including those disclosed in Item 8, Note 15, "Legal Proceedings", to our Consolidated Financial Statements included in this Annual Report on Form 10-K.</w:t>
      </w:r>
    </w:p>
    <w:p>
      <w:pPr>
        <w:sectPr>
          <w:pgSz w:w="12240" w:h="15840" w:orient="portrait"/>
          <w:cols w:equalWidth="0" w:num="1">
            <w:col w:w="10280"/>
          </w:cols>
          <w:pgMar w:left="98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38</w:t>
      </w:r>
    </w:p>
    <w:p>
      <w:pPr>
        <w:sectPr>
          <w:pgSz w:w="12240" w:h="15840" w:orient="portrait"/>
          <w:cols w:equalWidth="0" w:num="1">
            <w:col w:w="10280"/>
          </w:cols>
          <w:pgMar w:left="980" w:top="1440" w:right="980" w:bottom="178" w:gutter="0" w:footer="0" w:header="0"/>
          <w:type w:val="continuous"/>
        </w:sectPr>
      </w:pPr>
    </w:p>
    <w:bookmarkStart w:id="45" w:name="page46"/>
    <w:bookmarkEnd w:id="45"/>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Financial Market Risk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discusses our exposure to financial market risk.</w:t>
      </w:r>
    </w:p>
    <w:p>
      <w:pPr>
        <w:spacing w:after="0" w:line="25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Outstanding Debt – We have outstanding revolver borrowings of $3.4 million (CAD $4.6 million) related to GCO Canada ULC, at an average interest rate of 4.7% as of January 31, 2026. A 100 point basis point increase in interest rates would increase annual interest less than $0.1 million on the $3.4 million revolver borrowings.</w:t>
      </w:r>
    </w:p>
    <w:p>
      <w:pPr>
        <w:spacing w:after="0" w:line="14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Cash and Cash Equivalents – Our cash and cash equivalent balances are held in our bank accounts and are invested primarily in institutional money market funds. We did not have significant exposure to changing interest rates on invested cash at January 31, 2026. As a result, we consider the interest rate risk implicit in these investments at January 31, 2026 to be low. We had cash equivalents of $71.8 million at January 31, 2026.</w:t>
      </w:r>
    </w:p>
    <w:p>
      <w:pPr>
        <w:spacing w:after="0" w:line="151"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Summary – Based on our overall market interest rate exposure at January 31, 2026, we believe that the effect, if any, of reasonably possible near-term changes in interest rates on our consolidated financial position, results of operations or cash flows for Fiscal 2027 would not be material.</w:t>
      </w:r>
    </w:p>
    <w:p>
      <w:pPr>
        <w:spacing w:after="0" w:line="14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1E1E1E"/>
        </w:rPr>
        <w:t>Accounts Receivable – Our accounts receivable balance at January 31, 2026 is concentrated in our wholesale businesses, which sell primarily to department stores and independent retailers across the United States. In the wholesale businesses, one customer accounted for 22%, one customer accounted for 13% and two customers each accounted for 10% of our total trade receivables balance, while no other customer accounted for more than 8% of our total trade receivables balance as of January 31, 2026.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4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for Fiscal 2026 were positively impacted by $21.2 million and the operating loss for Fiscal 2026 was negatively impacted by $0.2 million due to the change in foreign exchange rates.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New Accounting Principles</w:t>
      </w:r>
    </w:p>
    <w:p>
      <w:pPr>
        <w:spacing w:after="0" w:line="24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Descriptions of recently issued accounting pronouncements, if any, and the accounting pronouncements adopted by us during Fiscal 2026 are included in Note 2, "New Accounting Pronouncements", to the Consolidated Financial Statements included in Item 8, "Financial Statements and Supplementary Data".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Accounting Estimates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Inventory Valuation</w:t>
      </w:r>
    </w:p>
    <w:p>
      <w:pPr>
        <w:spacing w:after="0" w:line="241"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9"/>
          <w:szCs w:val="19"/>
          <w:color w:val="1E1E1E"/>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39</w:t>
      </w:r>
    </w:p>
    <w:p>
      <w:pPr>
        <w:sectPr>
          <w:pgSz w:w="12240" w:h="15840" w:orient="portrait"/>
          <w:cols w:equalWidth="0" w:num="1">
            <w:col w:w="10260"/>
          </w:cols>
          <w:pgMar w:left="1000" w:top="1440" w:right="980" w:bottom="178" w:gutter="0" w:footer="0" w:header="0"/>
          <w:type w:val="continuous"/>
        </w:sectPr>
      </w:pPr>
    </w:p>
    <w:bookmarkStart w:id="46" w:name="page47"/>
    <w:bookmarkEnd w:id="46"/>
    <w:p>
      <w:pPr>
        <w:spacing w:after="0" w:line="16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4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1E1E1E"/>
        </w:rPr>
        <w:t>Inherent in the retail inventory method are subjective judgments and estimates about the recoverability of the inventory and its market value,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We analyze markdown requirements at the stock number level based on factors such as inventory turn, average selling price and inventory age and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4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Inherent in the analysis of both wholesale and retail inventory valuation are subjective judgments about current market conditions, fashion trends and overall economic conditions as well as expectations surrounding future sales. Failure to make appropriate conclusions regarding these factors may result in an overstatement or understatement of inventory value. A change of 10% from the recorded amounts for markdowns, shrinkage and damaged goods would have changed inventory by $0.9 million at January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Impairment of Long-Lived Assets</w:t>
      </w:r>
    </w:p>
    <w:p>
      <w:pPr>
        <w:spacing w:after="0" w:line="24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1E1E1E"/>
        </w:rPr>
        <w:t>We periodically assess the recoverability of our long-lived assets, other than goodwill, and evaluate such assets for impairment whenever events or changes in circumstances indicate that the carrying amount of an asset may not be recoverable. Asset impairment is determined to exist if an asset's fair value is less than the carrying amount. Fair value of our long-lived assets is determined by estimated future cash flows, undiscounted and without interest charges, and comparable market rents. Inherent in the analysis of impairment are subjective judgments about future cash flows. Failure to make appropriate conclusions regarding these judgments may result in an overstatement or understatement of the value of long-lived assets.</w:t>
      </w:r>
    </w:p>
    <w:p>
      <w:pPr>
        <w:spacing w:after="0" w:line="15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We annually assess our goodwill and indefinite lived trademarks for impairment and on an interim basis if indicators of impairment are present. Our annual assessment date of goodwill and indefinite lived trade names is the first day of the fourth quarter.</w:t>
      </w:r>
    </w:p>
    <w:p>
      <w:pPr>
        <w:spacing w:after="0" w:line="14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1E1E1E"/>
        </w:rPr>
        <w:t>In accordance with ASC ("Accounting Standards Codification") 350, "Intangibles - Goodwill and Other"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 Item 8, Note 3, "Goodwill and Other</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40</w:t>
      </w:r>
    </w:p>
    <w:p>
      <w:pPr>
        <w:sectPr>
          <w:pgSz w:w="12240" w:h="15840" w:orient="portrait"/>
          <w:cols w:equalWidth="0" w:num="1">
            <w:col w:w="10260"/>
          </w:cols>
          <w:pgMar w:left="1000" w:top="1440" w:right="980" w:bottom="178" w:gutter="0" w:footer="0" w:header="0"/>
          <w:type w:val="continuous"/>
        </w:sectPr>
      </w:pPr>
    </w:p>
    <w:bookmarkStart w:id="47" w:name="page48"/>
    <w:bookmarkEnd w:id="47"/>
    <w:p>
      <w:pPr>
        <w:spacing w:after="0" w:line="16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Intangible Assets" and Note 4,"Asset Impairments and Other Charges" to our Consolidated Financial Statements included in this Annual Report on Form 10-K.</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The quantitative impairment test for indefinite lived trademarks compares the fair value of the trademark with the carrying value of the related trademark. If the fair value of the trademark is less than the carrying value of the trademark, an impairment charge would be recorded for the amount, if any, in which the carrying value exceeds the trademark’s fair value. We estimate fair value using the best information available, and compute the fair value using an income approach that estimates the savings that the trademark owner would realize from owning that asset instead of having to pay rent or a royalty for the use of it. Key assumptions in our fair value estimate are the selected royalty rate and discount rate. Other significant estimates and assumptions include terminal value growth rates and future profitability expectations.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Revenue Recognition</w:t>
      </w:r>
    </w:p>
    <w:p>
      <w:pPr>
        <w:spacing w:after="0" w:line="2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In accordance with Accounting Standards Update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62"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Taxes</w:t>
      </w:r>
    </w:p>
    <w:p>
      <w:pPr>
        <w:spacing w:after="0" w:line="2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1E1E1E"/>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it is more likely than not that some portion or all of a deferred asset will not be realized,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negative evidence that may exist at such time. In the event the deferred tax valuation allowance is released, we would record an income tax benefit for a portion or all of the deferred tax valuation allowance released. At January 31, 2026, we had a deferred tax valuation allowance of $71.2 million.</w:t>
      </w:r>
    </w:p>
    <w:p>
      <w:pPr>
        <w:sectPr>
          <w:pgSz w:w="12240" w:h="15840" w:orient="portrait"/>
          <w:cols w:equalWidth="0" w:num="1">
            <w:col w:w="10260"/>
          </w:cols>
          <w:pgMar w:left="1000" w:top="1440" w:right="980" w:bottom="178" w:gutter="0" w:footer="0" w:header="0"/>
        </w:sectPr>
      </w:pP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41</w:t>
      </w:r>
    </w:p>
    <w:p>
      <w:pPr>
        <w:sectPr>
          <w:pgSz w:w="12240" w:h="15840" w:orient="portrait"/>
          <w:cols w:equalWidth="0" w:num="1">
            <w:col w:w="10260"/>
          </w:cols>
          <w:pgMar w:left="1000" w:top="1440" w:right="980" w:bottom="178" w:gutter="0" w:footer="0" w:header="0"/>
          <w:type w:val="continuous"/>
        </w:sectPr>
      </w:pPr>
    </w:p>
    <w:bookmarkStart w:id="48" w:name="page49"/>
    <w:bookmarkEnd w:id="48"/>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Income tax reserves for uncertain tax positions are determined using the methodology required by the ASC Income Tax Topic, ("ASC 740"). This methodology requires companies to assess each income tax position taken using a two-step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11, "Income Taxes", to our Consolidated Financial Statements included in this Annual Report on Form 10-K for additional information related to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7A. QUANTITATIVE AND QUALITATIVE DISCLOSURES ABOUT MARKET RISK</w:t>
      </w:r>
    </w:p>
    <w:p>
      <w:pPr>
        <w:spacing w:after="0" w:line="247" w:lineRule="exact"/>
        <w:rPr>
          <w:sz w:val="20"/>
          <w:szCs w:val="20"/>
          <w:color w:val="auto"/>
        </w:rPr>
      </w:pPr>
    </w:p>
    <w:p>
      <w:pPr>
        <w:ind w:right="380"/>
        <w:spacing w:after="0" w:line="326" w:lineRule="auto"/>
        <w:rPr>
          <w:sz w:val="20"/>
          <w:szCs w:val="20"/>
          <w:color w:val="auto"/>
        </w:rPr>
      </w:pPr>
      <w:r>
        <w:rPr>
          <w:rFonts w:ascii="Times New Roman" w:cs="Times New Roman" w:eastAsia="Times New Roman" w:hAnsi="Times New Roman"/>
          <w:sz w:val="20"/>
          <w:szCs w:val="20"/>
          <w:color w:val="1E1E1E"/>
        </w:rPr>
        <w:t>We incorporate by reference the information regarding market risk appearing under the heading “Financial Market Risk” in Item 7, "Management’s Discussion and Analysis of Financial Condition and Results of Operations."</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42</w:t>
      </w:r>
    </w:p>
    <w:p>
      <w:pPr>
        <w:sectPr>
          <w:pgSz w:w="12240" w:h="15840" w:orient="portrait"/>
          <w:cols w:equalWidth="0" w:num="1">
            <w:col w:w="10260"/>
          </w:cols>
          <w:pgMar w:left="1000" w:top="1440" w:right="980" w:bottom="178" w:gutter="0" w:footer="0" w:header="0"/>
          <w:type w:val="continuous"/>
        </w:sectPr>
      </w:pPr>
    </w:p>
    <w:bookmarkStart w:id="49" w:name="page50"/>
    <w:bookmarkEnd w:id="49"/>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8. FINANCIAL STATEMENTS AND SUPPLEMENTARY DATA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INDEX TO FINANCIAL STATEMENTS</w:t>
      </w: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88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 on Internal Control over Financial Reporting</w:t>
            </w:r>
          </w:p>
        </w:tc>
        <w:tc>
          <w:tcPr>
            <w:tcW w:w="1300" w:type="dxa"/>
            <w:vAlign w:val="bottom"/>
            <w:tcBorders>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i w:val="1"/>
                <w:iCs w:val="1"/>
                <w:color w:val="1E1E1E"/>
              </w:rPr>
              <w:t>Page</w:t>
            </w:r>
          </w:p>
        </w:tc>
        <w:tc>
          <w:tcPr>
            <w:tcW w:w="0" w:type="dxa"/>
            <w:vAlign w:val="bottom"/>
          </w:tcPr>
          <w:p>
            <w:pPr>
              <w:spacing w:after="0"/>
              <w:rPr>
                <w:sz w:val="1"/>
                <w:szCs w:val="1"/>
                <w:color w:val="auto"/>
              </w:rPr>
            </w:pPr>
          </w:p>
        </w:tc>
      </w:tr>
      <w:tr>
        <w:trPr>
          <w:trHeight w:val="207"/>
        </w:trPr>
        <w:tc>
          <w:tcPr>
            <w:tcW w:w="8880" w:type="dxa"/>
            <w:vAlign w:val="bottom"/>
            <w:vMerge w:val="continue"/>
          </w:tcPr>
          <w:p>
            <w:pPr>
              <w:spacing w:after="0"/>
              <w:rPr>
                <w:sz w:val="18"/>
                <w:szCs w:val="18"/>
                <w:color w:val="auto"/>
              </w:rPr>
            </w:pPr>
          </w:p>
        </w:tc>
        <w:tc>
          <w:tcPr>
            <w:tcW w:w="13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1E1E1E"/>
              </w:rPr>
              <w:t>44</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 on the Financial Statements (PCAOB IDs: 34 and</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42)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Balance Sheets, January 31, 2026 and February 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Operations, each of the three fiscal years ended 2026, 2025 and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w:t>
            </w:r>
          </w:p>
        </w:tc>
        <w:tc>
          <w:tcPr>
            <w:tcW w:w="0" w:type="dxa"/>
            <w:vAlign w:val="bottom"/>
          </w:tcPr>
          <w:p>
            <w:pPr>
              <w:spacing w:after="0"/>
              <w:rPr>
                <w:sz w:val="1"/>
                <w:szCs w:val="1"/>
                <w:color w:val="auto"/>
              </w:rPr>
            </w:pPr>
          </w:p>
        </w:tc>
      </w:tr>
      <w:tr>
        <w:trPr>
          <w:trHeight w:val="226"/>
        </w:trPr>
        <w:tc>
          <w:tcPr>
            <w:tcW w:w="88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Consolidated Statements of Comprehensive Income (Loss), each of the three fiscal years ended 2026, 2025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and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Cash Flows, each of the three fiscal years ended 2026, 2025 and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Equity, each of the three fiscal years ended 2026, 2025 and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0" w:type="dxa"/>
            <w:vAlign w:val="bottom"/>
          </w:tcPr>
          <w:p>
            <w:pPr>
              <w:spacing w:after="0"/>
              <w:rPr>
                <w:sz w:val="1"/>
                <w:szCs w:val="1"/>
                <w:color w:val="auto"/>
              </w:rPr>
            </w:pPr>
          </w:p>
        </w:tc>
      </w:tr>
      <w:tr>
        <w:trPr>
          <w:trHeight w:val="27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1440"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43</w:t>
      </w:r>
    </w:p>
    <w:p>
      <w:pPr>
        <w:sectPr>
          <w:pgSz w:w="12240" w:h="15840" w:orient="portrait"/>
          <w:cols w:equalWidth="0" w:num="1">
            <w:col w:w="10240"/>
          </w:cols>
          <w:pgMar w:left="1000" w:top="1440" w:right="1000" w:bottom="178" w:gutter="0" w:footer="0" w:header="0"/>
          <w:type w:val="continuous"/>
        </w:sectPr>
      </w:pPr>
    </w:p>
    <w:bookmarkStart w:id="50" w:name="page51"/>
    <w:bookmarkEnd w:id="50"/>
    <w:p>
      <w:pPr>
        <w:spacing w:after="0" w:line="163" w:lineRule="exact"/>
        <w:rPr>
          <w:sz w:val="20"/>
          <w:szCs w:val="20"/>
          <w:color w:val="auto"/>
        </w:rPr>
      </w:pPr>
    </w:p>
    <w:p>
      <w:pPr>
        <w:ind w:left="2626"/>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2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To the Shareholders and the Board of Directors of Genesco Inc.</w:t>
      </w:r>
    </w:p>
    <w:p>
      <w:pPr>
        <w:spacing w:after="0" w:line="22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Opinion on Internal Control over Financial Reporting</w:t>
      </w:r>
    </w:p>
    <w:p>
      <w:pPr>
        <w:spacing w:after="0" w:line="238"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20"/>
          <w:szCs w:val="20"/>
          <w:color w:val="1E1E1E"/>
        </w:rPr>
        <w:t>We have audited the internal control over financial reporting of Genesco Inc. and Subsidiaries’ (the "Company") as of January 31, 2026,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January 31, 2026, based on criteria established in Internal Control - Integrated Framework (2013) issued by COSO.</w:t>
      </w:r>
    </w:p>
    <w:p>
      <w:pPr>
        <w:spacing w:after="0" w:line="18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20"/>
          <w:szCs w:val="20"/>
          <w:color w:val="1E1E1E"/>
        </w:rPr>
        <w:t>We have also audited, in accordance with the standards of the Public Company Accounting Oversight Board (United States) (PCAOB), the consolidated financial statements as of and for the year ended January 31, 2026, of the Company and our report dated March 25, 2026, expressed an unqualified opinion on those financial statements.</w:t>
      </w:r>
    </w:p>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228" w:lineRule="exact"/>
        <w:rPr>
          <w:sz w:val="20"/>
          <w:szCs w:val="20"/>
          <w:color w:val="auto"/>
        </w:rPr>
      </w:pPr>
    </w:p>
    <w:p>
      <w:pPr>
        <w:jc w:val="both"/>
        <w:ind w:left="6"/>
        <w:spacing w:after="0" w:line="248" w:lineRule="auto"/>
        <w:rPr>
          <w:sz w:val="20"/>
          <w:szCs w:val="20"/>
          <w:color w:val="auto"/>
        </w:rPr>
      </w:pPr>
      <w:r>
        <w:rPr>
          <w:rFonts w:ascii="Times New Roman" w:cs="Times New Roman" w:eastAsia="Times New Roman" w:hAnsi="Times New Roman"/>
          <w:sz w:val="20"/>
          <w:szCs w:val="20"/>
          <w:color w:val="1E1E1E"/>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
        <w:spacing w:after="0" w:line="247" w:lineRule="auto"/>
        <w:rPr>
          <w:sz w:val="20"/>
          <w:szCs w:val="20"/>
          <w:color w:val="auto"/>
        </w:rPr>
      </w:pPr>
      <w:r>
        <w:rPr>
          <w:rFonts w:ascii="Times New Roman" w:cs="Times New Roman" w:eastAsia="Times New Roman" w:hAnsi="Times New Roman"/>
          <w:sz w:val="20"/>
          <w:szCs w:val="20"/>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1E1E1E"/>
        </w:rPr>
        <w:t>Definition and Limitations of Internal Control over Financial Reporting</w:t>
      </w:r>
    </w:p>
    <w:p>
      <w:pPr>
        <w:spacing w:after="0" w:line="233"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9"/>
          <w:szCs w:val="19"/>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left="6" w:hanging="6"/>
        <w:spacing w:after="0" w:line="241" w:lineRule="auto"/>
        <w:tabs>
          <w:tab w:leader="none" w:pos="292" w:val="left"/>
        </w:tabs>
        <w:numPr>
          <w:ilvl w:val="0"/>
          <w:numId w:val="1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/s/ Deloitte &amp; Touche LLP</w:t>
      </w:r>
    </w:p>
    <w:p>
      <w:pPr>
        <w:spacing w:after="0" w:line="200" w:lineRule="exact"/>
        <w:rPr>
          <w:sz w:val="20"/>
          <w:szCs w:val="20"/>
          <w:color w:val="auto"/>
        </w:rPr>
      </w:pPr>
    </w:p>
    <w:p>
      <w:pPr>
        <w:spacing w:after="0" w:line="2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Nashville, Tennessee</w:t>
      </w:r>
    </w:p>
    <w:p>
      <w:pPr>
        <w:spacing w:after="0" w:line="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March 25, 2026</w:t>
      </w:r>
    </w:p>
    <w:p>
      <w:pPr>
        <w:sectPr>
          <w:pgSz w:w="12240" w:h="15840" w:orient="portrait"/>
          <w:cols w:equalWidth="0" w:num="1">
            <w:col w:w="10266"/>
          </w:cols>
          <w:pgMar w:left="994"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1E1E1E"/>
        </w:rPr>
        <w:t>44</w:t>
      </w:r>
    </w:p>
    <w:p>
      <w:pPr>
        <w:sectPr>
          <w:pgSz w:w="12240" w:h="15840" w:orient="portrait"/>
          <w:cols w:equalWidth="0" w:num="1">
            <w:col w:w="10266"/>
          </w:cols>
          <w:pgMar w:left="994" w:top="1440" w:right="980" w:bottom="178" w:gutter="0" w:footer="0" w:header="0"/>
          <w:type w:val="continuous"/>
        </w:sectPr>
      </w:pPr>
    </w:p>
    <w:bookmarkStart w:id="51" w:name="page52"/>
    <w:bookmarkEnd w:id="51"/>
    <w:p>
      <w:pPr>
        <w:spacing w:after="0" w:line="163" w:lineRule="exact"/>
        <w:rPr>
          <w:sz w:val="20"/>
          <w:szCs w:val="20"/>
          <w:color w:val="auto"/>
        </w:rPr>
      </w:pPr>
    </w:p>
    <w:p>
      <w:pPr>
        <w:ind w:right="2640" w:firstLine="2621"/>
        <w:spacing w:after="0" w:line="390" w:lineRule="auto"/>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 To the Shareholders and the Board of Directors of Genesco Inc. Opinion on the Financial Statements</w:t>
      </w:r>
    </w:p>
    <w:p>
      <w:pPr>
        <w:jc w:val="both"/>
        <w:ind w:right="20"/>
        <w:spacing w:after="0" w:line="242" w:lineRule="auto"/>
        <w:rPr>
          <w:sz w:val="20"/>
          <w:szCs w:val="20"/>
          <w:color w:val="auto"/>
        </w:rPr>
      </w:pPr>
      <w:r>
        <w:rPr>
          <w:rFonts w:ascii="Times New Roman" w:cs="Times New Roman" w:eastAsia="Times New Roman" w:hAnsi="Times New Roman"/>
          <w:sz w:val="20"/>
          <w:szCs w:val="20"/>
          <w:color w:val="1E1E1E"/>
        </w:rPr>
        <w:t xml:space="preserve">We have audited the accompanying consolidated balance sheet of Genesco Inc. and subsidiaries (the "Company") </w:t>
      </w:r>
      <w:r>
        <w:rPr>
          <w:rFonts w:ascii="Times New Roman" w:cs="Times New Roman" w:eastAsia="Times New Roman" w:hAnsi="Times New Roman"/>
          <w:sz w:val="20"/>
          <w:szCs w:val="20"/>
          <w:color w:val="2B2B2B"/>
        </w:rPr>
        <w:t>as of January</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color w:val="2B2B2B"/>
        </w:rPr>
        <w:t xml:space="preserve">31, 2026, the related </w:t>
      </w:r>
      <w:r>
        <w:rPr>
          <w:rFonts w:ascii="Times New Roman" w:cs="Times New Roman" w:eastAsia="Times New Roman" w:hAnsi="Times New Roman"/>
          <w:sz w:val="20"/>
          <w:szCs w:val="20"/>
          <w:color w:val="1E1E1E"/>
        </w:rPr>
        <w:t>consolidated</w:t>
      </w:r>
      <w:r>
        <w:rPr>
          <w:rFonts w:ascii="Times New Roman" w:cs="Times New Roman" w:eastAsia="Times New Roman" w:hAnsi="Times New Roman"/>
          <w:sz w:val="20"/>
          <w:szCs w:val="20"/>
          <w:color w:val="2B2B2B"/>
        </w:rPr>
        <w:t xml:space="preserve"> statements of operations, comprehensive income (loss), cash flows, and equity for the year ended </w:t>
      </w:r>
      <w:r>
        <w:rPr>
          <w:rFonts w:ascii="Times New Roman" w:cs="Times New Roman" w:eastAsia="Times New Roman" w:hAnsi="Times New Roman"/>
          <w:sz w:val="20"/>
          <w:szCs w:val="20"/>
          <w:color w:val="1E1E1E"/>
        </w:rPr>
        <w:t>January 31, 2026</w:t>
      </w:r>
      <w:r>
        <w:rPr>
          <w:rFonts w:ascii="Times New Roman" w:cs="Times New Roman" w:eastAsia="Times New Roman" w:hAnsi="Times New Roman"/>
          <w:sz w:val="20"/>
          <w:szCs w:val="20"/>
          <w:color w:val="2B2B2B"/>
        </w:rPr>
        <w:t xml:space="preserve">, and the related notes and the financial statement schedule 2 - Valuation and Qualifying Accounts (collectively referred to as the "financial statements"). In our opinion, the financial statements present fairly, in all material respects, the financial position of the Company as of </w:t>
      </w:r>
      <w:r>
        <w:rPr>
          <w:rFonts w:ascii="Times New Roman" w:cs="Times New Roman" w:eastAsia="Times New Roman" w:hAnsi="Times New Roman"/>
          <w:sz w:val="20"/>
          <w:szCs w:val="20"/>
          <w:color w:val="1E1E1E"/>
        </w:rPr>
        <w:t>January 31, 2026</w:t>
      </w:r>
      <w:r>
        <w:rPr>
          <w:rFonts w:ascii="Times New Roman" w:cs="Times New Roman" w:eastAsia="Times New Roman" w:hAnsi="Times New Roman"/>
          <w:sz w:val="20"/>
          <w:szCs w:val="20"/>
          <w:color w:val="2B2B2B"/>
        </w:rPr>
        <w:t xml:space="preserve">, and the results of its operations and its cash flows for the year ended </w:t>
      </w:r>
      <w:r>
        <w:rPr>
          <w:rFonts w:ascii="Times New Roman" w:cs="Times New Roman" w:eastAsia="Times New Roman" w:hAnsi="Times New Roman"/>
          <w:sz w:val="20"/>
          <w:szCs w:val="20"/>
          <w:color w:val="1E1E1E"/>
        </w:rPr>
        <w:t>January 31, 2026</w:t>
      </w:r>
      <w:r>
        <w:rPr>
          <w:rFonts w:ascii="Times New Roman" w:cs="Times New Roman" w:eastAsia="Times New Roman" w:hAnsi="Times New Roman"/>
          <w:sz w:val="20"/>
          <w:szCs w:val="20"/>
          <w:color w:val="2B2B2B"/>
        </w:rPr>
        <w:t>, in conformity with accounting principles generally accepted in the United States of America.</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1E1E1E"/>
        </w:rPr>
        <w:t>We have also audited, in accordance with the standards of the Public Company Accounting Oversight Board (United States) (PCAOB), the Company's internal control over financial reporting as of January 31, 2026, based on criteria established in Internal Control-Integrated Framework (2013) issued by the Committee of Sponsoring Organizations of the Treadway Commission and our report dated March 25, 2026,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1E1E1E"/>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1E1E1E"/>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Audit Matter</w:t>
      </w:r>
    </w:p>
    <w:p>
      <w:pPr>
        <w:spacing w:after="0" w:line="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1E1E1E"/>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Inventory Valuation – Journeys Group - Refer to Note 1 to the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Critical Audit Matter Description</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1E1E1E"/>
        </w:rPr>
        <w:t>The Company’s Journeys Group follows the retail inventory method in accounting for its retail operations inventory. Under the retail inventory method, valuing inventory at the lower of cost or market is achieved as markdowns are taken or accrued as a reduction of the retail value of inventories. The valuation of retail inventory within the Journeys Group requires management to make judgments and estimates about the recoverability of the inventory and its market value. The Company establishes an inventory valuation allowance for expected markdowns for the Journeys Group, which includes estimates of inventory turn, average selling price, inventory age, vendor agreements, current market conditions, fashion trends and overall economic conditions.</w:t>
      </w:r>
    </w:p>
    <w:p>
      <w:pPr>
        <w:spacing w:after="0" w:line="1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1E1E1E"/>
        </w:rPr>
        <w:t>We identified the inventory markdown allowance for the Journeys Group as a critical audit matter because of the significant judgments made by management in estimating the recoverability of the inventory and its market value. Auditing the inventory markdown allowance required a high degree of auditor judgment and an increased extent of effort.</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45</w:t>
      </w:r>
    </w:p>
    <w:p>
      <w:pPr>
        <w:sectPr>
          <w:pgSz w:w="12240" w:h="15840" w:orient="portrait"/>
          <w:cols w:equalWidth="0" w:num="1">
            <w:col w:w="10260"/>
          </w:cols>
          <w:pgMar w:left="1000" w:top="1440" w:right="980" w:bottom="178" w:gutter="0" w:footer="0" w:header="0"/>
          <w:type w:val="continuous"/>
        </w:sectPr>
      </w:pPr>
    </w:p>
    <w:bookmarkStart w:id="52" w:name="page53"/>
    <w:bookmarkEnd w:id="52"/>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i w:val="1"/>
          <w:iCs w:val="1"/>
          <w:color w:val="1E1E1E"/>
        </w:rPr>
        <w:t>How the Critical Audit Matter Was Addressed in the Audit</w:t>
      </w:r>
    </w:p>
    <w:p>
      <w:pPr>
        <w:spacing w:after="0" w:line="2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Our audit procedures related to the valuation of the inventory markdown allowance included the following, among others:</w:t>
      </w:r>
    </w:p>
    <w:p>
      <w:pPr>
        <w:spacing w:after="0" w:line="231" w:lineRule="exact"/>
        <w:rPr>
          <w:sz w:val="20"/>
          <w:szCs w:val="20"/>
          <w:color w:val="auto"/>
        </w:rPr>
      </w:pPr>
    </w:p>
    <w:p>
      <w:pPr>
        <w:ind w:left="366" w:hanging="366"/>
        <w:spacing w:after="0" w:line="276" w:lineRule="auto"/>
        <w:tabs>
          <w:tab w:leader="none" w:pos="366"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tested the operating effectiveness of the Company’s internal controls over the development and review of estimates included in determining the inventory markdown allowance.</w:t>
      </w:r>
    </w:p>
    <w:p>
      <w:pPr>
        <w:spacing w:after="0" w:line="157" w:lineRule="exact"/>
        <w:rPr>
          <w:rFonts w:ascii="Times New Roman" w:cs="Times New Roman" w:eastAsia="Times New Roman" w:hAnsi="Times New Roman"/>
          <w:sz w:val="20"/>
          <w:szCs w:val="20"/>
          <w:color w:val="1E1E1E"/>
        </w:rPr>
      </w:pPr>
    </w:p>
    <w:p>
      <w:pPr>
        <w:ind w:left="366" w:hanging="366"/>
        <w:spacing w:after="0"/>
        <w:tabs>
          <w:tab w:leader="none" w:pos="366"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tested the calculation of the inventory markdown allowance by:</w:t>
      </w:r>
    </w:p>
    <w:p>
      <w:pPr>
        <w:spacing w:after="0" w:line="230" w:lineRule="exact"/>
        <w:rPr>
          <w:rFonts w:ascii="Times New Roman" w:cs="Times New Roman" w:eastAsia="Times New Roman" w:hAnsi="Times New Roman"/>
          <w:sz w:val="20"/>
          <w:szCs w:val="20"/>
          <w:color w:val="1E1E1E"/>
        </w:rPr>
      </w:pPr>
    </w:p>
    <w:p>
      <w:pPr>
        <w:jc w:val="both"/>
        <w:ind w:left="366"/>
        <w:spacing w:after="0" w:line="256"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 On a sample basis, recalculated the projected loss for inventory on hand based on the source data used in the calculation. o Performed a retrospective review to evaluate management's ability to accurately forecast future sales trends and</w:t>
      </w:r>
    </w:p>
    <w:p>
      <w:pPr>
        <w:ind w:left="726"/>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inventory losses by comparing actual results to management's historical forecasts.</w:t>
      </w:r>
    </w:p>
    <w:p>
      <w:pPr>
        <w:spacing w:after="0" w:line="200" w:lineRule="exact"/>
        <w:rPr>
          <w:rFonts w:ascii="Times New Roman" w:cs="Times New Roman" w:eastAsia="Times New Roman" w:hAnsi="Times New Roman"/>
          <w:sz w:val="20"/>
          <w:szCs w:val="20"/>
          <w:color w:val="1E1E1E"/>
        </w:rPr>
      </w:pPr>
    </w:p>
    <w:p>
      <w:pPr>
        <w:ind w:left="366" w:right="20" w:hanging="366"/>
        <w:spacing w:after="0" w:line="281" w:lineRule="auto"/>
        <w:tabs>
          <w:tab w:leader="none" w:pos="379" w:val="left"/>
        </w:tabs>
        <w:numPr>
          <w:ilvl w:val="0"/>
          <w:numId w:val="2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developed an independent expectation for estimated inventory markdowns based on historical inventory balances and compared our expectation to the amount recorded.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/s/ Deloitte &amp; Touche LLP</w:t>
      </w:r>
    </w:p>
    <w:p>
      <w:pPr>
        <w:spacing w:after="0" w:line="2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Nashville, Tennessee</w:t>
      </w:r>
    </w:p>
    <w:p>
      <w:pPr>
        <w:spacing w:after="0" w:line="3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March 25, 2026</w:t>
      </w: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We have served as the Company's auditor since 2025.</w:t>
      </w:r>
    </w:p>
    <w:p>
      <w:pPr>
        <w:sectPr>
          <w:pgSz w:w="12240" w:h="15840" w:orient="portrait"/>
          <w:cols w:equalWidth="0" w:num="1">
            <w:col w:w="10266"/>
          </w:cols>
          <w:pgMar w:left="994"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1E1E1E"/>
        </w:rPr>
        <w:t>46</w:t>
      </w:r>
    </w:p>
    <w:p>
      <w:pPr>
        <w:sectPr>
          <w:pgSz w:w="12240" w:h="15840" w:orient="portrait"/>
          <w:cols w:equalWidth="0" w:num="1">
            <w:col w:w="10266"/>
          </w:cols>
          <w:pgMar w:left="994" w:top="1440" w:right="980" w:bottom="178" w:gutter="0" w:footer="0" w:header="0"/>
          <w:type w:val="continuous"/>
        </w:sectPr>
      </w:pPr>
    </w:p>
    <w:bookmarkStart w:id="53" w:name="page54"/>
    <w:bookmarkEnd w:id="53"/>
    <w:p>
      <w:pPr>
        <w:spacing w:after="0" w:line="163" w:lineRule="exact"/>
        <w:rPr>
          <w:sz w:val="20"/>
          <w:szCs w:val="20"/>
          <w:color w:val="auto"/>
        </w:rPr>
      </w:pPr>
    </w:p>
    <w:p>
      <w:pPr>
        <w:ind w:right="2640" w:firstLine="2621"/>
        <w:spacing w:after="0" w:line="390" w:lineRule="auto"/>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 To the Shareholders and the Board of Directors of Genesco Inc. Opinion on the Financial Statements</w:t>
      </w:r>
    </w:p>
    <w:p>
      <w:pPr>
        <w:jc w:val="both"/>
        <w:ind w:right="20"/>
        <w:spacing w:after="0" w:line="257" w:lineRule="auto"/>
        <w:rPr>
          <w:sz w:val="20"/>
          <w:szCs w:val="20"/>
          <w:color w:val="auto"/>
        </w:rPr>
      </w:pPr>
      <w:r>
        <w:rPr>
          <w:rFonts w:ascii="Times New Roman" w:cs="Times New Roman" w:eastAsia="Times New Roman" w:hAnsi="Times New Roman"/>
          <w:sz w:val="19"/>
          <w:szCs w:val="19"/>
          <w:color w:val="1E1E1E"/>
        </w:rPr>
        <w:t xml:space="preserve">We have audited the accompanying consolidated balance sheet of Genesco Inc. (the "Company") </w:t>
      </w:r>
      <w:r>
        <w:rPr>
          <w:rFonts w:ascii="Times New Roman" w:cs="Times New Roman" w:eastAsia="Times New Roman" w:hAnsi="Times New Roman"/>
          <w:sz w:val="19"/>
          <w:szCs w:val="19"/>
          <w:color w:val="2B2B2B"/>
        </w:rPr>
        <w:t>as of February 1, 2025, the</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color w:val="2B2B2B"/>
        </w:rPr>
        <w:t xml:space="preserve">related </w:t>
      </w:r>
      <w:r>
        <w:rPr>
          <w:rFonts w:ascii="Times New Roman" w:cs="Times New Roman" w:eastAsia="Times New Roman" w:hAnsi="Times New Roman"/>
          <w:sz w:val="19"/>
          <w:szCs w:val="19"/>
          <w:color w:val="1E1E1E"/>
        </w:rPr>
        <w:t>consolidated</w:t>
      </w:r>
      <w:r>
        <w:rPr>
          <w:rFonts w:ascii="Times New Roman" w:cs="Times New Roman" w:eastAsia="Times New Roman" w:hAnsi="Times New Roman"/>
          <w:sz w:val="19"/>
          <w:szCs w:val="19"/>
          <w:color w:val="2B2B2B"/>
        </w:rPr>
        <w:t xml:space="preserve"> statements of operations, comprehensive income (loss), cash flows, and equity for the two fiscal years in the period ended February 1, 2025,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February 1, 2025, and the results of its operations and its cash flows for each of the two years in the period ended February 1, 2025, in conformity with U.S. generally accepted accounting principles.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1E1E1E"/>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 Ernst &amp; Young LLP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served as the Company's auditor from 2001 to 2025.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Nashville, Tennessee</w:t>
      </w:r>
    </w:p>
    <w:p>
      <w:pPr>
        <w:spacing w:after="0"/>
        <w:rPr>
          <w:sz w:val="20"/>
          <w:szCs w:val="20"/>
          <w:color w:val="auto"/>
        </w:rPr>
      </w:pPr>
      <w:r>
        <w:rPr>
          <w:rFonts w:ascii="Times New Roman" w:cs="Times New Roman" w:eastAsia="Times New Roman" w:hAnsi="Times New Roman"/>
          <w:sz w:val="20"/>
          <w:szCs w:val="20"/>
          <w:color w:val="1E1E1E"/>
        </w:rPr>
        <w:t>March 26, 2025</w:t>
      </w:r>
    </w:p>
    <w:p>
      <w:pPr>
        <w:sectPr>
          <w:pgSz w:w="12240" w:h="15840" w:orient="portrait"/>
          <w:cols w:equalWidth="0" w:num="1">
            <w:col w:w="10260"/>
          </w:cols>
          <w:pgMar w:left="1000" w:top="1440"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47</w:t>
      </w:r>
    </w:p>
    <w:p>
      <w:pPr>
        <w:sectPr>
          <w:pgSz w:w="12240" w:h="15840" w:orient="portrait"/>
          <w:cols w:equalWidth="0" w:num="1">
            <w:col w:w="10260"/>
          </w:cols>
          <w:pgMar w:left="1000" w:top="1440" w:right="980" w:bottom="178" w:gutter="0" w:footer="0" w:header="0"/>
          <w:type w:val="continuous"/>
        </w:sectPr>
      </w:pPr>
    </w:p>
    <w:bookmarkStart w:id="54" w:name="page55"/>
    <w:bookmarkEnd w:id="54"/>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jc w:val="center"/>
        <w:ind w:right="-19"/>
        <w:spacing w:after="0"/>
        <w:rPr>
          <w:sz w:val="20"/>
          <w:szCs w:val="20"/>
          <w:color w:val="auto"/>
        </w:rPr>
      </w:pPr>
      <w:r>
        <w:rPr>
          <w:rFonts w:ascii="Times New Roman" w:cs="Times New Roman" w:eastAsia="Times New Roman" w:hAnsi="Times New Roman"/>
          <w:sz w:val="20"/>
          <w:szCs w:val="20"/>
          <w:color w:val="1E1E1E"/>
        </w:rPr>
        <w:t>Consolidated Balance Sheets</w:t>
      </w:r>
    </w:p>
    <w:p>
      <w:pPr>
        <w:jc w:val="center"/>
        <w:ind w:right="-19"/>
        <w:spacing w:after="0"/>
        <w:rPr>
          <w:sz w:val="20"/>
          <w:szCs w:val="20"/>
          <w:color w:val="auto"/>
        </w:rPr>
      </w:pPr>
      <w:r>
        <w:rPr>
          <w:rFonts w:ascii="Times New Roman" w:cs="Times New Roman" w:eastAsia="Times New Roman" w:hAnsi="Times New Roman"/>
          <w:sz w:val="20"/>
          <w:szCs w:val="20"/>
          <w:color w:val="1E1E1E"/>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6220" w:type="dxa"/>
            <w:vAlign w:val="bottom"/>
            <w:tcBorders>
              <w:top w:val="single" w:sz="8" w:color="1E1E1E"/>
              <w:bottom w:val="single" w:sz="8" w:color="1E1E1E"/>
            </w:tcBorders>
          </w:tcPr>
          <w:p>
            <w:pPr>
              <w:spacing w:after="0"/>
              <w:rPr>
                <w:sz w:val="21"/>
                <w:szCs w:val="21"/>
                <w:color w:val="auto"/>
              </w:rPr>
            </w:pPr>
          </w:p>
        </w:tc>
        <w:tc>
          <w:tcPr>
            <w:tcW w:w="120" w:type="dxa"/>
            <w:vAlign w:val="bottom"/>
            <w:tcBorders>
              <w:top w:val="single" w:sz="8" w:color="1E1E1E"/>
              <w:bottom w:val="single" w:sz="8" w:color="1E1E1E"/>
            </w:tcBorders>
          </w:tcPr>
          <w:p>
            <w:pPr>
              <w:spacing w:after="0"/>
              <w:rPr>
                <w:sz w:val="21"/>
                <w:szCs w:val="21"/>
                <w:color w:val="auto"/>
              </w:rPr>
            </w:pPr>
          </w:p>
        </w:tc>
        <w:tc>
          <w:tcPr>
            <w:tcW w:w="3920" w:type="dxa"/>
            <w:vAlign w:val="bottom"/>
            <w:tcBorders>
              <w:top w:val="single" w:sz="8" w:color="1E1E1E"/>
              <w:bottom w:val="single" w:sz="8" w:color="1E1E1E"/>
            </w:tcBorders>
            <w:gridSpan w:val="6"/>
          </w:tcPr>
          <w:p>
            <w:pPr>
              <w:ind w:left="920"/>
              <w:spacing w:after="0"/>
              <w:rPr>
                <w:sz w:val="20"/>
                <w:szCs w:val="20"/>
                <w:color w:val="auto"/>
              </w:rPr>
            </w:pPr>
            <w:r>
              <w:rPr>
                <w:rFonts w:ascii="Times New Roman" w:cs="Times New Roman" w:eastAsia="Times New Roman" w:hAnsi="Times New Roman"/>
                <w:sz w:val="20"/>
                <w:szCs w:val="20"/>
                <w:b w:val="1"/>
                <w:bCs w:val="1"/>
                <w:color w:val="1E1E1E"/>
              </w:rPr>
              <w:t>As of Fiscal Year End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Assets</w:t>
            </w:r>
          </w:p>
        </w:tc>
        <w:tc>
          <w:tcPr>
            <w:tcW w:w="120" w:type="dxa"/>
            <w:vAlign w:val="bottom"/>
            <w:tcBorders>
              <w:bottom w:val="single" w:sz="8" w:color="1E1E1E"/>
            </w:tcBorders>
          </w:tcPr>
          <w:p>
            <w:pPr>
              <w:spacing w:after="0"/>
              <w:rPr>
                <w:sz w:val="20"/>
                <w:szCs w:val="20"/>
                <w:color w:val="auto"/>
              </w:rPr>
            </w:pPr>
          </w:p>
        </w:tc>
        <w:tc>
          <w:tcPr>
            <w:tcW w:w="1860" w:type="dxa"/>
            <w:vAlign w:val="bottom"/>
            <w:tcBorders>
              <w:bottom w:val="single" w:sz="8" w:color="1E1E1E"/>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320" w:type="dxa"/>
            <w:vAlign w:val="bottom"/>
            <w:tcBorders>
              <w:bottom w:val="single" w:sz="8" w:color="1E1E1E"/>
            </w:tcBorders>
          </w:tcPr>
          <w:p>
            <w:pPr>
              <w:spacing w:after="0"/>
              <w:rPr>
                <w:sz w:val="20"/>
                <w:szCs w:val="20"/>
                <w:color w:val="auto"/>
              </w:rPr>
            </w:pPr>
          </w:p>
        </w:tc>
        <w:tc>
          <w:tcPr>
            <w:tcW w:w="1740" w:type="dxa"/>
            <w:vAlign w:val="bottom"/>
            <w:tcBorders>
              <w:bottom w:val="single" w:sz="8" w:color="1E1E1E"/>
            </w:tcBorders>
            <w:gridSpan w:val="3"/>
          </w:tcPr>
          <w:p>
            <w:pPr>
              <w:ind w:left="240"/>
              <w:spacing w:after="0"/>
              <w:rPr>
                <w:sz w:val="20"/>
                <w:szCs w:val="20"/>
                <w:color w:val="auto"/>
              </w:rPr>
            </w:pPr>
            <w:r>
              <w:rPr>
                <w:rFonts w:ascii="Times New Roman" w:cs="Times New Roman" w:eastAsia="Times New Roman" w:hAnsi="Times New Roman"/>
                <w:sz w:val="20"/>
                <w:szCs w:val="20"/>
                <w:color w:val="1E1E1E"/>
              </w:rPr>
              <w:t>February 1, 2025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i w:val="1"/>
                <w:iCs w:val="1"/>
                <w:color w:val="1E1E1E"/>
              </w:rPr>
              <w:t>Current Assets:</w:t>
            </w:r>
          </w:p>
        </w:tc>
        <w:tc>
          <w:tcPr>
            <w:tcW w:w="120" w:type="dxa"/>
            <w:vAlign w:val="bottom"/>
            <w:shd w:val="clear" w:color="auto" w:fill="E4E4E4"/>
          </w:tcPr>
          <w:p>
            <w:pPr>
              <w:spacing w:after="0"/>
              <w:rPr>
                <w:sz w:val="20"/>
                <w:szCs w:val="20"/>
                <w:color w:val="auto"/>
              </w:rPr>
            </w:pPr>
          </w:p>
        </w:tc>
        <w:tc>
          <w:tcPr>
            <w:tcW w:w="1770" w:type="dxa"/>
            <w:vAlign w:val="bottom"/>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6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105,405</w:t>
            </w:r>
          </w:p>
        </w:tc>
        <w:tc>
          <w:tcPr>
            <w:tcW w:w="9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34,007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Accounts receivable, net of allowances of $2,377 at January 31, 2026 and</w:t>
            </w:r>
          </w:p>
        </w:tc>
        <w:tc>
          <w:tcPr>
            <w:tcW w:w="120" w:type="dxa"/>
            <w:vAlign w:val="bottom"/>
            <w:shd w:val="clear" w:color="auto" w:fill="E4E4E4"/>
          </w:tcPr>
          <w:p>
            <w:pPr>
              <w:spacing w:after="0"/>
              <w:rPr>
                <w:sz w:val="21"/>
                <w:szCs w:val="21"/>
                <w:color w:val="auto"/>
              </w:rPr>
            </w:pPr>
          </w:p>
        </w:tc>
        <w:tc>
          <w:tcPr>
            <w:tcW w:w="177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39,825</w:t>
            </w: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$2,522 at February 1, 2025</w:t>
            </w:r>
          </w:p>
        </w:tc>
        <w:tc>
          <w:tcPr>
            <w:tcW w:w="120" w:type="dxa"/>
            <w:vAlign w:val="bottom"/>
            <w:shd w:val="clear" w:color="auto" w:fill="E4E4E4"/>
          </w:tcPr>
          <w:p>
            <w:pPr>
              <w:spacing w:after="0"/>
              <w:rPr>
                <w:sz w:val="20"/>
                <w:szCs w:val="20"/>
                <w:color w:val="auto"/>
              </w:rPr>
            </w:pPr>
          </w:p>
        </w:tc>
        <w:tc>
          <w:tcPr>
            <w:tcW w:w="1770" w:type="dxa"/>
            <w:vAlign w:val="bottom"/>
            <w:vMerge w:val="continue"/>
            <w:shd w:val="clear" w:color="auto" w:fill="E4E4E4"/>
          </w:tcPr>
          <w:p>
            <w:pPr>
              <w:spacing w:after="0"/>
              <w:rPr>
                <w:sz w:val="20"/>
                <w:szCs w:val="20"/>
                <w:color w:val="auto"/>
              </w:rPr>
            </w:pPr>
          </w:p>
        </w:tc>
        <w:tc>
          <w:tcPr>
            <w:tcW w:w="9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48,865</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1E1E1E"/>
              </w:rPr>
              <w:t>Inventories</w:t>
            </w:r>
          </w:p>
        </w:tc>
        <w:tc>
          <w:tcPr>
            <w:tcW w:w="120" w:type="dxa"/>
            <w:vAlign w:val="bottom"/>
          </w:tcPr>
          <w:p>
            <w:pPr>
              <w:spacing w:after="0"/>
              <w:rPr>
                <w:sz w:val="21"/>
                <w:szCs w:val="21"/>
                <w:color w:val="auto"/>
              </w:rPr>
            </w:pP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433,878</w:t>
            </w:r>
          </w:p>
        </w:tc>
        <w:tc>
          <w:tcPr>
            <w:tcW w:w="9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425,224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Prepaids and other current assets</w:t>
            </w:r>
          </w:p>
        </w:tc>
        <w:tc>
          <w:tcPr>
            <w:tcW w:w="120" w:type="dxa"/>
            <w:vAlign w:val="bottom"/>
            <w:tcBorders>
              <w:bottom w:val="single" w:sz="8" w:color="1E1E1E"/>
            </w:tcBorders>
            <w:shd w:val="clear" w:color="auto" w:fill="E4E4E4"/>
          </w:tcPr>
          <w:p>
            <w:pPr>
              <w:spacing w:after="0"/>
              <w:rPr>
                <w:sz w:val="20"/>
                <w:szCs w:val="20"/>
                <w:color w:val="auto"/>
              </w:rPr>
            </w:pPr>
          </w:p>
        </w:tc>
        <w:tc>
          <w:tcPr>
            <w:tcW w:w="177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39,408</w:t>
            </w:r>
          </w:p>
        </w:tc>
        <w:tc>
          <w:tcPr>
            <w:tcW w:w="90" w:type="dxa"/>
            <w:vAlign w:val="bottom"/>
            <w:tcBorders>
              <w:bottom w:val="single" w:sz="8" w:color="1E1E1E"/>
            </w:tcBorders>
            <w:shd w:val="clear" w:color="auto" w:fill="E4E4E4"/>
          </w:tcPr>
          <w:p>
            <w:pPr>
              <w:spacing w:after="0"/>
              <w:rPr>
                <w:sz w:val="20"/>
                <w:szCs w:val="20"/>
                <w:color w:val="auto"/>
              </w:rPr>
            </w:pPr>
          </w:p>
        </w:tc>
        <w:tc>
          <w:tcPr>
            <w:tcW w:w="320" w:type="dxa"/>
            <w:vAlign w:val="bottom"/>
            <w:tcBorders>
              <w:bottom w:val="single" w:sz="8" w:color="1E1E1E"/>
            </w:tcBorders>
            <w:shd w:val="clear" w:color="auto" w:fill="E4E4E4"/>
          </w:tcPr>
          <w:p>
            <w:pPr>
              <w:spacing w:after="0"/>
              <w:rPr>
                <w:sz w:val="20"/>
                <w:szCs w:val="20"/>
                <w:color w:val="auto"/>
              </w:rPr>
            </w:pPr>
          </w:p>
        </w:tc>
        <w:tc>
          <w:tcPr>
            <w:tcW w:w="16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100,660</w:t>
            </w:r>
          </w:p>
        </w:tc>
        <w:tc>
          <w:tcPr>
            <w:tcW w:w="100" w:type="dxa"/>
            <w:vAlign w:val="bottom"/>
            <w:tcBorders>
              <w:bottom w:val="single" w:sz="8" w:color="1E1E1E"/>
            </w:tcBorders>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Total current assets</w:t>
            </w:r>
          </w:p>
        </w:tc>
        <w:tc>
          <w:tcPr>
            <w:tcW w:w="120" w:type="dxa"/>
            <w:vAlign w:val="bottom"/>
            <w:tcBorders>
              <w:bottom w:val="single" w:sz="8" w:color="1E1E1E"/>
            </w:tcBorders>
          </w:tcPr>
          <w:p>
            <w:pPr>
              <w:spacing w:after="0"/>
              <w:rPr>
                <w:sz w:val="20"/>
                <w:szCs w:val="20"/>
                <w:color w:val="auto"/>
              </w:rPr>
            </w:pPr>
          </w:p>
        </w:tc>
        <w:tc>
          <w:tcPr>
            <w:tcW w:w="177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618,516</w:t>
            </w:r>
          </w:p>
        </w:tc>
        <w:tc>
          <w:tcPr>
            <w:tcW w:w="90" w:type="dxa"/>
            <w:vAlign w:val="bottom"/>
            <w:tcBorders>
              <w:bottom w:val="single" w:sz="8" w:color="1E1E1E"/>
            </w:tcBorders>
          </w:tcPr>
          <w:p>
            <w:pPr>
              <w:spacing w:after="0"/>
              <w:rPr>
                <w:sz w:val="20"/>
                <w:szCs w:val="20"/>
                <w:color w:val="auto"/>
              </w:rPr>
            </w:pPr>
          </w:p>
        </w:tc>
        <w:tc>
          <w:tcPr>
            <w:tcW w:w="320" w:type="dxa"/>
            <w:vAlign w:val="bottom"/>
            <w:tcBorders>
              <w:bottom w:val="single" w:sz="8" w:color="1E1E1E"/>
            </w:tcBorders>
          </w:tcPr>
          <w:p>
            <w:pPr>
              <w:spacing w:after="0"/>
              <w:rPr>
                <w:sz w:val="20"/>
                <w:szCs w:val="20"/>
                <w:color w:val="auto"/>
              </w:rPr>
            </w:pPr>
          </w:p>
        </w:tc>
        <w:tc>
          <w:tcPr>
            <w:tcW w:w="1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608,756</w:t>
            </w:r>
          </w:p>
        </w:tc>
        <w:tc>
          <w:tcPr>
            <w:tcW w:w="100" w:type="dxa"/>
            <w:vAlign w:val="bottom"/>
            <w:tcBorders>
              <w:bottom w:val="single" w:sz="8" w:color="1E1E1E"/>
            </w:tcBorders>
          </w:tcPr>
          <w:p>
            <w:pPr>
              <w:spacing w:after="0"/>
              <w:rPr>
                <w:sz w:val="20"/>
                <w:szCs w:val="20"/>
                <w:color w:val="auto"/>
              </w:rPr>
            </w:pPr>
          </w:p>
        </w:tc>
        <w:tc>
          <w:tcPr>
            <w:tcW w:w="20" w:type="dxa"/>
            <w:vAlign w:val="bottom"/>
            <w:tcBorders>
              <w:bottom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Property and equipment, net</w:t>
            </w:r>
          </w:p>
        </w:tc>
        <w:tc>
          <w:tcPr>
            <w:tcW w:w="120" w:type="dxa"/>
            <w:vAlign w:val="bottom"/>
            <w:shd w:val="clear" w:color="auto" w:fill="E4E4E4"/>
          </w:tcPr>
          <w:p>
            <w:pPr>
              <w:spacing w:after="0"/>
              <w:rPr>
                <w:sz w:val="20"/>
                <w:szCs w:val="20"/>
                <w:color w:val="auto"/>
              </w:rPr>
            </w:pPr>
          </w:p>
        </w:tc>
        <w:tc>
          <w:tcPr>
            <w:tcW w:w="17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237,656</w:t>
            </w:r>
          </w:p>
        </w:tc>
        <w:tc>
          <w:tcPr>
            <w:tcW w:w="90" w:type="dxa"/>
            <w:vAlign w:val="bottom"/>
            <w:shd w:val="clear" w:color="auto" w:fill="E4E4E4"/>
          </w:tcPr>
          <w:p>
            <w:pPr>
              <w:spacing w:after="0"/>
              <w:rPr>
                <w:sz w:val="20"/>
                <w:szCs w:val="20"/>
                <w:color w:val="auto"/>
              </w:rPr>
            </w:pPr>
          </w:p>
        </w:tc>
        <w:tc>
          <w:tcPr>
            <w:tcW w:w="320" w:type="dxa"/>
            <w:vAlign w:val="bottom"/>
            <w:shd w:val="clear" w:color="auto" w:fill="E4E4E4"/>
          </w:tcPr>
          <w:p>
            <w:pPr>
              <w:spacing w:after="0"/>
              <w:rPr>
                <w:sz w:val="20"/>
                <w:szCs w:val="20"/>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228,022</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1E1E1E"/>
              </w:rPr>
              <w:t>Operating lease right of use asset</w:t>
            </w:r>
          </w:p>
        </w:tc>
        <w:tc>
          <w:tcPr>
            <w:tcW w:w="120" w:type="dxa"/>
            <w:vAlign w:val="bottom"/>
          </w:tcPr>
          <w:p>
            <w:pPr>
              <w:spacing w:after="0"/>
              <w:rPr>
                <w:sz w:val="21"/>
                <w:szCs w:val="21"/>
                <w:color w:val="auto"/>
              </w:rPr>
            </w:pP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472,815</w:t>
            </w:r>
          </w:p>
        </w:tc>
        <w:tc>
          <w:tcPr>
            <w:tcW w:w="9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438,273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Goodwill</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9,459</w:t>
            </w: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8,863</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1E1E1E"/>
              </w:rPr>
              <w:t>Other intangibles</w:t>
            </w:r>
          </w:p>
        </w:tc>
        <w:tc>
          <w:tcPr>
            <w:tcW w:w="120" w:type="dxa"/>
            <w:vAlign w:val="bottom"/>
          </w:tcPr>
          <w:p>
            <w:pPr>
              <w:spacing w:after="0"/>
              <w:rPr>
                <w:sz w:val="21"/>
                <w:szCs w:val="21"/>
                <w:color w:val="auto"/>
              </w:rPr>
            </w:pP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27,867</w:t>
            </w:r>
          </w:p>
        </w:tc>
        <w:tc>
          <w:tcPr>
            <w:tcW w:w="9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26,059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income taxes</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249</w:t>
            </w: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389</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Other noncurrent assets</w:t>
            </w:r>
          </w:p>
        </w:tc>
        <w:tc>
          <w:tcPr>
            <w:tcW w:w="120" w:type="dxa"/>
            <w:vAlign w:val="bottom"/>
            <w:tcBorders>
              <w:bottom w:val="single" w:sz="8" w:color="1E1E1E"/>
            </w:tcBorders>
          </w:tcPr>
          <w:p>
            <w:pPr>
              <w:spacing w:after="0"/>
              <w:rPr>
                <w:sz w:val="20"/>
                <w:szCs w:val="20"/>
                <w:color w:val="auto"/>
              </w:rPr>
            </w:pPr>
          </w:p>
        </w:tc>
        <w:tc>
          <w:tcPr>
            <w:tcW w:w="177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26,416</w:t>
            </w:r>
          </w:p>
        </w:tc>
        <w:tc>
          <w:tcPr>
            <w:tcW w:w="90" w:type="dxa"/>
            <w:vAlign w:val="bottom"/>
            <w:tcBorders>
              <w:bottom w:val="single" w:sz="8" w:color="1E1E1E"/>
            </w:tcBorders>
          </w:tcPr>
          <w:p>
            <w:pPr>
              <w:spacing w:after="0"/>
              <w:rPr>
                <w:sz w:val="20"/>
                <w:szCs w:val="20"/>
                <w:color w:val="auto"/>
              </w:rPr>
            </w:pPr>
          </w:p>
        </w:tc>
        <w:tc>
          <w:tcPr>
            <w:tcW w:w="320" w:type="dxa"/>
            <w:vAlign w:val="bottom"/>
            <w:tcBorders>
              <w:bottom w:val="single" w:sz="8" w:color="1E1E1E"/>
            </w:tcBorders>
          </w:tcPr>
          <w:p>
            <w:pPr>
              <w:spacing w:after="0"/>
              <w:rPr>
                <w:sz w:val="20"/>
                <w:szCs w:val="20"/>
                <w:color w:val="auto"/>
              </w:rPr>
            </w:pPr>
          </w:p>
        </w:tc>
        <w:tc>
          <w:tcPr>
            <w:tcW w:w="1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25,174</w:t>
            </w:r>
          </w:p>
        </w:tc>
        <w:tc>
          <w:tcPr>
            <w:tcW w:w="100" w:type="dxa"/>
            <w:vAlign w:val="bottom"/>
            <w:tcBorders>
              <w:bottom w:val="single" w:sz="8" w:color="1E1E1E"/>
            </w:tcBorders>
          </w:tcPr>
          <w:p>
            <w:pPr>
              <w:spacing w:after="0"/>
              <w:rPr>
                <w:sz w:val="20"/>
                <w:szCs w:val="20"/>
                <w:color w:val="auto"/>
              </w:rPr>
            </w:pPr>
          </w:p>
        </w:tc>
        <w:tc>
          <w:tcPr>
            <w:tcW w:w="20" w:type="dxa"/>
            <w:vAlign w:val="bottom"/>
            <w:tcBorders>
              <w:bottom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Total Assets</w:t>
            </w:r>
          </w:p>
        </w:tc>
        <w:tc>
          <w:tcPr>
            <w:tcW w:w="1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99"/>
                <w:shd w:val="clear" w:color="auto" w:fill="E4E4E4"/>
              </w:rPr>
              <w:t>$</w:t>
            </w:r>
          </w:p>
        </w:tc>
        <w:tc>
          <w:tcPr>
            <w:tcW w:w="177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1,392,978</w:t>
            </w:r>
          </w:p>
        </w:tc>
        <w:tc>
          <w:tcPr>
            <w:tcW w:w="90" w:type="dxa"/>
            <w:vAlign w:val="bottom"/>
            <w:tcBorders>
              <w:bottom w:val="single" w:sz="8" w:color="1E1E1E"/>
            </w:tcBorders>
            <w:shd w:val="clear" w:color="auto" w:fill="E4E4E4"/>
          </w:tcPr>
          <w:p>
            <w:pPr>
              <w:spacing w:after="0"/>
              <w:rPr>
                <w:sz w:val="20"/>
                <w:szCs w:val="20"/>
                <w:color w:val="auto"/>
              </w:rPr>
            </w:pPr>
          </w:p>
        </w:tc>
        <w:tc>
          <w:tcPr>
            <w:tcW w:w="3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6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1,335,536</w:t>
            </w:r>
          </w:p>
        </w:tc>
        <w:tc>
          <w:tcPr>
            <w:tcW w:w="100" w:type="dxa"/>
            <w:vAlign w:val="bottom"/>
            <w:tcBorders>
              <w:bottom w:val="single" w:sz="8" w:color="1E1E1E"/>
            </w:tcBorders>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Liabilities and Equity</w:t>
            </w:r>
          </w:p>
        </w:tc>
        <w:tc>
          <w:tcPr>
            <w:tcW w:w="120" w:type="dxa"/>
            <w:vAlign w:val="bottom"/>
          </w:tcPr>
          <w:p>
            <w:pPr>
              <w:spacing w:after="0"/>
              <w:rPr>
                <w:sz w:val="20"/>
                <w:szCs w:val="20"/>
                <w:color w:val="auto"/>
              </w:rPr>
            </w:pPr>
          </w:p>
        </w:tc>
        <w:tc>
          <w:tcPr>
            <w:tcW w:w="177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i w:val="1"/>
                <w:iCs w:val="1"/>
                <w:color w:val="1E1E1E"/>
              </w:rPr>
              <w:t>Current Liabilities:</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spacing w:after="0"/>
              <w:rPr>
                <w:sz w:val="21"/>
                <w:szCs w:val="21"/>
                <w:color w:val="auto"/>
              </w:rPr>
            </w:pP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1E1E1E"/>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156,735</w:t>
            </w:r>
          </w:p>
        </w:tc>
        <w:tc>
          <w:tcPr>
            <w:tcW w:w="9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168,077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Current portion operating lease liability</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119,216</w:t>
            </w: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124,010</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Other accrued liabilities</w:t>
            </w:r>
          </w:p>
        </w:tc>
        <w:tc>
          <w:tcPr>
            <w:tcW w:w="120" w:type="dxa"/>
            <w:vAlign w:val="bottom"/>
            <w:tcBorders>
              <w:bottom w:val="single" w:sz="8" w:color="1E1E1E"/>
            </w:tcBorders>
          </w:tcPr>
          <w:p>
            <w:pPr>
              <w:spacing w:after="0"/>
              <w:rPr>
                <w:sz w:val="21"/>
                <w:szCs w:val="21"/>
                <w:color w:val="auto"/>
              </w:rPr>
            </w:pPr>
          </w:p>
        </w:tc>
        <w:tc>
          <w:tcPr>
            <w:tcW w:w="177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100,391</w:t>
            </w:r>
          </w:p>
        </w:tc>
        <w:tc>
          <w:tcPr>
            <w:tcW w:w="90" w:type="dxa"/>
            <w:vAlign w:val="bottom"/>
            <w:tcBorders>
              <w:bottom w:val="single" w:sz="8" w:color="1E1E1E"/>
            </w:tcBorders>
          </w:tcPr>
          <w:p>
            <w:pPr>
              <w:spacing w:after="0"/>
              <w:rPr>
                <w:sz w:val="21"/>
                <w:szCs w:val="21"/>
                <w:color w:val="auto"/>
              </w:rPr>
            </w:pPr>
          </w:p>
        </w:tc>
        <w:tc>
          <w:tcPr>
            <w:tcW w:w="320" w:type="dxa"/>
            <w:vAlign w:val="bottom"/>
            <w:tcBorders>
              <w:bottom w:val="single" w:sz="8" w:color="1E1E1E"/>
            </w:tcBorders>
          </w:tcPr>
          <w:p>
            <w:pPr>
              <w:spacing w:after="0"/>
              <w:rPr>
                <w:sz w:val="21"/>
                <w:szCs w:val="21"/>
                <w:color w:val="auto"/>
              </w:rPr>
            </w:pPr>
          </w:p>
        </w:tc>
        <w:tc>
          <w:tcPr>
            <w:tcW w:w="1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87,695</w:t>
            </w:r>
          </w:p>
        </w:tc>
        <w:tc>
          <w:tcPr>
            <w:tcW w:w="100" w:type="dxa"/>
            <w:vAlign w:val="bottom"/>
            <w:tcBorders>
              <w:bottom w:val="single" w:sz="8" w:color="1E1E1E"/>
            </w:tcBorders>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current liabilities</w:t>
            </w:r>
          </w:p>
        </w:tc>
        <w:tc>
          <w:tcPr>
            <w:tcW w:w="120" w:type="dxa"/>
            <w:vAlign w:val="bottom"/>
            <w:tcBorders>
              <w:bottom w:val="single" w:sz="8" w:color="1E1E1E"/>
            </w:tcBorders>
            <w:shd w:val="clear" w:color="auto" w:fill="E4E4E4"/>
          </w:tcPr>
          <w:p>
            <w:pPr>
              <w:spacing w:after="0"/>
              <w:rPr>
                <w:sz w:val="20"/>
                <w:szCs w:val="20"/>
                <w:color w:val="auto"/>
              </w:rPr>
            </w:pPr>
          </w:p>
        </w:tc>
        <w:tc>
          <w:tcPr>
            <w:tcW w:w="177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376,342</w:t>
            </w:r>
          </w:p>
        </w:tc>
        <w:tc>
          <w:tcPr>
            <w:tcW w:w="90" w:type="dxa"/>
            <w:vAlign w:val="bottom"/>
            <w:tcBorders>
              <w:bottom w:val="single" w:sz="8" w:color="1E1E1E"/>
            </w:tcBorders>
            <w:shd w:val="clear" w:color="auto" w:fill="E4E4E4"/>
          </w:tcPr>
          <w:p>
            <w:pPr>
              <w:spacing w:after="0"/>
              <w:rPr>
                <w:sz w:val="20"/>
                <w:szCs w:val="20"/>
                <w:color w:val="auto"/>
              </w:rPr>
            </w:pPr>
          </w:p>
        </w:tc>
        <w:tc>
          <w:tcPr>
            <w:tcW w:w="320" w:type="dxa"/>
            <w:vAlign w:val="bottom"/>
            <w:tcBorders>
              <w:bottom w:val="single" w:sz="8" w:color="1E1E1E"/>
            </w:tcBorders>
            <w:shd w:val="clear" w:color="auto" w:fill="E4E4E4"/>
          </w:tcPr>
          <w:p>
            <w:pPr>
              <w:spacing w:after="0"/>
              <w:rPr>
                <w:sz w:val="20"/>
                <w:szCs w:val="20"/>
                <w:color w:val="auto"/>
              </w:rPr>
            </w:pPr>
          </w:p>
        </w:tc>
        <w:tc>
          <w:tcPr>
            <w:tcW w:w="16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379,782</w:t>
            </w:r>
          </w:p>
        </w:tc>
        <w:tc>
          <w:tcPr>
            <w:tcW w:w="100" w:type="dxa"/>
            <w:vAlign w:val="bottom"/>
            <w:tcBorders>
              <w:bottom w:val="single" w:sz="8" w:color="1E1E1E"/>
            </w:tcBorders>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1E1E1E"/>
              </w:rPr>
              <w:t>Long-term debt</w:t>
            </w:r>
          </w:p>
        </w:tc>
        <w:tc>
          <w:tcPr>
            <w:tcW w:w="120" w:type="dxa"/>
            <w:vAlign w:val="bottom"/>
          </w:tcPr>
          <w:p>
            <w:pPr>
              <w:spacing w:after="0"/>
              <w:rPr>
                <w:sz w:val="19"/>
                <w:szCs w:val="19"/>
                <w:color w:val="auto"/>
              </w:rPr>
            </w:pP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3,379</w:t>
            </w:r>
          </w:p>
        </w:tc>
        <w:tc>
          <w:tcPr>
            <w:tcW w:w="9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Long-term operating lease liability</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398,788</w:t>
            </w: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361,079</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120" w:type="dxa"/>
            <w:vAlign w:val="bottom"/>
            <w:tcBorders>
              <w:bottom w:val="single" w:sz="8" w:color="1E1E1E"/>
            </w:tcBorders>
          </w:tcPr>
          <w:p>
            <w:pPr>
              <w:spacing w:after="0"/>
              <w:rPr>
                <w:sz w:val="21"/>
                <w:szCs w:val="21"/>
                <w:color w:val="auto"/>
              </w:rPr>
            </w:pPr>
          </w:p>
        </w:tc>
        <w:tc>
          <w:tcPr>
            <w:tcW w:w="177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47,425</w:t>
            </w:r>
          </w:p>
        </w:tc>
        <w:tc>
          <w:tcPr>
            <w:tcW w:w="90" w:type="dxa"/>
            <w:vAlign w:val="bottom"/>
            <w:tcBorders>
              <w:bottom w:val="single" w:sz="8" w:color="1E1E1E"/>
            </w:tcBorders>
          </w:tcPr>
          <w:p>
            <w:pPr>
              <w:spacing w:after="0"/>
              <w:rPr>
                <w:sz w:val="21"/>
                <w:szCs w:val="21"/>
                <w:color w:val="auto"/>
              </w:rPr>
            </w:pPr>
          </w:p>
        </w:tc>
        <w:tc>
          <w:tcPr>
            <w:tcW w:w="320" w:type="dxa"/>
            <w:vAlign w:val="bottom"/>
            <w:tcBorders>
              <w:bottom w:val="single" w:sz="8" w:color="1E1E1E"/>
            </w:tcBorders>
          </w:tcPr>
          <w:p>
            <w:pPr>
              <w:spacing w:after="0"/>
              <w:rPr>
                <w:sz w:val="21"/>
                <w:szCs w:val="21"/>
                <w:color w:val="auto"/>
              </w:rPr>
            </w:pPr>
          </w:p>
        </w:tc>
        <w:tc>
          <w:tcPr>
            <w:tcW w:w="1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47,705</w:t>
            </w:r>
          </w:p>
        </w:tc>
        <w:tc>
          <w:tcPr>
            <w:tcW w:w="100" w:type="dxa"/>
            <w:vAlign w:val="bottom"/>
            <w:tcBorders>
              <w:bottom w:val="single" w:sz="8" w:color="1E1E1E"/>
            </w:tcBorders>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liabilities</w:t>
            </w:r>
          </w:p>
        </w:tc>
        <w:tc>
          <w:tcPr>
            <w:tcW w:w="120" w:type="dxa"/>
            <w:vAlign w:val="bottom"/>
            <w:tcBorders>
              <w:bottom w:val="single" w:sz="8" w:color="1E1E1E"/>
            </w:tcBorders>
            <w:shd w:val="clear" w:color="auto" w:fill="E4E4E4"/>
          </w:tcPr>
          <w:p>
            <w:pPr>
              <w:spacing w:after="0"/>
              <w:rPr>
                <w:sz w:val="20"/>
                <w:szCs w:val="20"/>
                <w:color w:val="auto"/>
              </w:rPr>
            </w:pPr>
          </w:p>
        </w:tc>
        <w:tc>
          <w:tcPr>
            <w:tcW w:w="177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825,934</w:t>
            </w:r>
          </w:p>
        </w:tc>
        <w:tc>
          <w:tcPr>
            <w:tcW w:w="90" w:type="dxa"/>
            <w:vAlign w:val="bottom"/>
            <w:tcBorders>
              <w:bottom w:val="single" w:sz="8" w:color="1E1E1E"/>
            </w:tcBorders>
            <w:shd w:val="clear" w:color="auto" w:fill="E4E4E4"/>
          </w:tcPr>
          <w:p>
            <w:pPr>
              <w:spacing w:after="0"/>
              <w:rPr>
                <w:sz w:val="20"/>
                <w:szCs w:val="20"/>
                <w:color w:val="auto"/>
              </w:rPr>
            </w:pPr>
          </w:p>
        </w:tc>
        <w:tc>
          <w:tcPr>
            <w:tcW w:w="320" w:type="dxa"/>
            <w:vAlign w:val="bottom"/>
            <w:tcBorders>
              <w:bottom w:val="single" w:sz="8" w:color="1E1E1E"/>
            </w:tcBorders>
            <w:shd w:val="clear" w:color="auto" w:fill="E4E4E4"/>
          </w:tcPr>
          <w:p>
            <w:pPr>
              <w:spacing w:after="0"/>
              <w:rPr>
                <w:sz w:val="20"/>
                <w:szCs w:val="20"/>
                <w:color w:val="auto"/>
              </w:rPr>
            </w:pPr>
          </w:p>
        </w:tc>
        <w:tc>
          <w:tcPr>
            <w:tcW w:w="16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788,566</w:t>
            </w:r>
          </w:p>
        </w:tc>
        <w:tc>
          <w:tcPr>
            <w:tcW w:w="100" w:type="dxa"/>
            <w:vAlign w:val="bottom"/>
            <w:tcBorders>
              <w:bottom w:val="single" w:sz="8" w:color="1E1E1E"/>
            </w:tcBorders>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0"/>
                <w:szCs w:val="20"/>
                <w:color w:val="1E1E1E"/>
              </w:rPr>
              <w:t>Commitments and contingent liabilities</w:t>
            </w:r>
          </w:p>
        </w:tc>
        <w:tc>
          <w:tcPr>
            <w:tcW w:w="120" w:type="dxa"/>
            <w:vAlign w:val="bottom"/>
          </w:tcPr>
          <w:p>
            <w:pPr>
              <w:spacing w:after="0"/>
              <w:rPr>
                <w:sz w:val="20"/>
                <w:szCs w:val="20"/>
                <w:color w:val="auto"/>
              </w:rPr>
            </w:pPr>
          </w:p>
        </w:tc>
        <w:tc>
          <w:tcPr>
            <w:tcW w:w="177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Equity</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spacing w:after="0"/>
              <w:rPr>
                <w:sz w:val="21"/>
                <w:szCs w:val="21"/>
                <w:color w:val="auto"/>
              </w:rPr>
            </w:pP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Non-redeemable preferred stock</w:t>
            </w:r>
          </w:p>
        </w:tc>
        <w:tc>
          <w:tcPr>
            <w:tcW w:w="120" w:type="dxa"/>
            <w:vAlign w:val="bottom"/>
          </w:tcPr>
          <w:p>
            <w:pPr>
              <w:spacing w:after="0"/>
              <w:rPr>
                <w:sz w:val="20"/>
                <w:szCs w:val="20"/>
                <w:color w:val="auto"/>
              </w:rPr>
            </w:pP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835</w:t>
            </w:r>
          </w:p>
        </w:tc>
        <w:tc>
          <w:tcPr>
            <w:tcW w:w="9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Common equity:</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spacing w:after="0"/>
              <w:rPr>
                <w:sz w:val="21"/>
                <w:szCs w:val="21"/>
                <w:color w:val="auto"/>
              </w:rPr>
            </w:pP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Common stock, $1 par value:</w:t>
            </w:r>
          </w:p>
        </w:tc>
        <w:tc>
          <w:tcPr>
            <w:tcW w:w="120" w:type="dxa"/>
            <w:vAlign w:val="bottom"/>
          </w:tcPr>
          <w:p>
            <w:pPr>
              <w:spacing w:after="0"/>
              <w:rPr>
                <w:sz w:val="21"/>
                <w:szCs w:val="21"/>
                <w:color w:val="auto"/>
              </w:rPr>
            </w:pPr>
          </w:p>
        </w:tc>
        <w:tc>
          <w:tcPr>
            <w:tcW w:w="177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ind w:left="600"/>
              <w:spacing w:after="0"/>
              <w:rPr>
                <w:sz w:val="20"/>
                <w:szCs w:val="20"/>
                <w:color w:val="auto"/>
              </w:rPr>
            </w:pPr>
            <w:r>
              <w:rPr>
                <w:rFonts w:ascii="Times New Roman" w:cs="Times New Roman" w:eastAsia="Times New Roman" w:hAnsi="Times New Roman"/>
                <w:sz w:val="20"/>
                <w:szCs w:val="20"/>
                <w:color w:val="1E1E1E"/>
              </w:rPr>
              <w:t>Authorized: 80,000,000 shares</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spacing w:after="0"/>
              <w:rPr>
                <w:sz w:val="21"/>
                <w:szCs w:val="21"/>
                <w:color w:val="auto"/>
              </w:rPr>
            </w:pP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Issued common stock</w:t>
            </w:r>
          </w:p>
        </w:tc>
        <w:tc>
          <w:tcPr>
            <w:tcW w:w="120" w:type="dxa"/>
            <w:vAlign w:val="bottom"/>
          </w:tcPr>
          <w:p>
            <w:pPr>
              <w:spacing w:after="0"/>
              <w:rPr>
                <w:sz w:val="21"/>
                <w:szCs w:val="21"/>
                <w:color w:val="auto"/>
              </w:rPr>
            </w:pP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11,277</w:t>
            </w:r>
          </w:p>
        </w:tc>
        <w:tc>
          <w:tcPr>
            <w:tcW w:w="9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11,773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Additional paid-in capital</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343,889</w:t>
            </w: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331,756</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Retained earnings</w:t>
            </w:r>
          </w:p>
        </w:tc>
        <w:tc>
          <w:tcPr>
            <w:tcW w:w="120" w:type="dxa"/>
            <w:vAlign w:val="bottom"/>
          </w:tcPr>
          <w:p>
            <w:pPr>
              <w:spacing w:after="0"/>
              <w:rPr>
                <w:sz w:val="20"/>
                <w:szCs w:val="20"/>
                <w:color w:val="auto"/>
              </w:rPr>
            </w:pPr>
          </w:p>
        </w:tc>
        <w:tc>
          <w:tcPr>
            <w:tcW w:w="177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265,790</w:t>
            </w:r>
          </w:p>
        </w:tc>
        <w:tc>
          <w:tcPr>
            <w:tcW w:w="9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265,887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Accumulated other comprehensive loss</w:t>
            </w:r>
          </w:p>
        </w:tc>
        <w:tc>
          <w:tcPr>
            <w:tcW w:w="120" w:type="dxa"/>
            <w:vAlign w:val="bottom"/>
            <w:shd w:val="clear" w:color="auto" w:fill="E4E4E4"/>
          </w:tcPr>
          <w:p>
            <w:pPr>
              <w:spacing w:after="0"/>
              <w:rPr>
                <w:sz w:val="21"/>
                <w:szCs w:val="21"/>
                <w:color w:val="auto"/>
              </w:rPr>
            </w:pPr>
          </w:p>
        </w:tc>
        <w:tc>
          <w:tcPr>
            <w:tcW w:w="17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(36,890)</w:t>
            </w:r>
          </w:p>
        </w:tc>
        <w:tc>
          <w:tcPr>
            <w:tcW w:w="90" w:type="dxa"/>
            <w:vAlign w:val="bottom"/>
            <w:shd w:val="clear" w:color="auto" w:fill="E4E4E4"/>
          </w:tcPr>
          <w:p>
            <w:pPr>
              <w:spacing w:after="0"/>
              <w:rPr>
                <w:sz w:val="21"/>
                <w:szCs w:val="21"/>
                <w:color w:val="auto"/>
              </w:rPr>
            </w:pPr>
          </w:p>
        </w:tc>
        <w:tc>
          <w:tcPr>
            <w:tcW w:w="320" w:type="dxa"/>
            <w:vAlign w:val="bottom"/>
            <w:shd w:val="clear" w:color="auto" w:fill="E4E4E4"/>
          </w:tcPr>
          <w:p>
            <w:pPr>
              <w:spacing w:after="0"/>
              <w:rPr>
                <w:sz w:val="21"/>
                <w:szCs w:val="21"/>
                <w:color w:val="auto"/>
              </w:rPr>
            </w:pPr>
          </w:p>
        </w:tc>
        <w:tc>
          <w:tcPr>
            <w:tcW w:w="1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(45,424)</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tcBorders>
              <w:bottom w:val="single" w:sz="8" w:color="1E1E1E"/>
            </w:tcBorders>
          </w:tcPr>
          <w:p>
            <w:pPr>
              <w:ind w:left="400"/>
              <w:spacing w:after="0"/>
              <w:rPr>
                <w:sz w:val="20"/>
                <w:szCs w:val="20"/>
                <w:color w:val="auto"/>
              </w:rPr>
            </w:pPr>
            <w:r>
              <w:rPr>
                <w:rFonts w:ascii="Times New Roman" w:cs="Times New Roman" w:eastAsia="Times New Roman" w:hAnsi="Times New Roman"/>
                <w:sz w:val="20"/>
                <w:szCs w:val="20"/>
                <w:color w:val="1E1E1E"/>
              </w:rPr>
              <w:t>Treasury shares, at cost (488,464 shares)</w:t>
            </w:r>
          </w:p>
        </w:tc>
        <w:tc>
          <w:tcPr>
            <w:tcW w:w="120" w:type="dxa"/>
            <w:vAlign w:val="bottom"/>
            <w:tcBorders>
              <w:bottom w:val="single" w:sz="8" w:color="1E1E1E"/>
            </w:tcBorders>
          </w:tcPr>
          <w:p>
            <w:pPr>
              <w:spacing w:after="0"/>
              <w:rPr>
                <w:sz w:val="23"/>
                <w:szCs w:val="23"/>
                <w:color w:val="auto"/>
              </w:rPr>
            </w:pPr>
          </w:p>
        </w:tc>
        <w:tc>
          <w:tcPr>
            <w:tcW w:w="186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(17,857)</w:t>
            </w:r>
          </w:p>
        </w:tc>
        <w:tc>
          <w:tcPr>
            <w:tcW w:w="320" w:type="dxa"/>
            <w:vAlign w:val="bottom"/>
            <w:tcBorders>
              <w:bottom w:val="single" w:sz="8" w:color="1E1E1E"/>
            </w:tcBorders>
          </w:tcPr>
          <w:p>
            <w:pPr>
              <w:spacing w:after="0"/>
              <w:rPr>
                <w:sz w:val="23"/>
                <w:szCs w:val="23"/>
                <w:color w:val="auto"/>
              </w:rPr>
            </w:pPr>
          </w:p>
        </w:tc>
        <w:tc>
          <w:tcPr>
            <w:tcW w:w="172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(17,857)</w:t>
            </w:r>
          </w:p>
        </w:tc>
        <w:tc>
          <w:tcPr>
            <w:tcW w:w="20" w:type="dxa"/>
            <w:vAlign w:val="bottom"/>
            <w:tcBorders>
              <w:bottom w:val="single" w:sz="8" w:color="1E1E1E"/>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20" w:type="dxa"/>
            <w:vAlign w:val="bottom"/>
            <w:tcBorders>
              <w:top w:val="single" w:sz="8" w:color="E4E4E4"/>
              <w:bottom w:val="single" w:sz="8" w:color="1E1E1E"/>
            </w:tcBorders>
            <w:shd w:val="clear" w:color="auto" w:fill="E4E4E4"/>
          </w:tcPr>
          <w:p>
            <w:pPr>
              <w:spacing w:after="0" w:line="214" w:lineRule="exact"/>
              <w:rPr>
                <w:sz w:val="20"/>
                <w:szCs w:val="20"/>
                <w:color w:val="auto"/>
              </w:rPr>
            </w:pPr>
            <w:r>
              <w:rPr>
                <w:rFonts w:ascii="Times New Roman" w:cs="Times New Roman" w:eastAsia="Times New Roman" w:hAnsi="Times New Roman"/>
                <w:sz w:val="20"/>
                <w:szCs w:val="20"/>
                <w:color w:val="1E1E1E"/>
              </w:rPr>
              <w:t>Total equity</w:t>
            </w:r>
          </w:p>
        </w:tc>
        <w:tc>
          <w:tcPr>
            <w:tcW w:w="120" w:type="dxa"/>
            <w:vAlign w:val="bottom"/>
            <w:tcBorders>
              <w:top w:val="single" w:sz="8" w:color="E4E4E4"/>
              <w:bottom w:val="single" w:sz="8" w:color="1E1E1E"/>
            </w:tcBorders>
            <w:shd w:val="clear" w:color="auto" w:fill="E4E4E4"/>
          </w:tcPr>
          <w:p>
            <w:pPr>
              <w:spacing w:after="0"/>
              <w:rPr>
                <w:sz w:val="18"/>
                <w:szCs w:val="18"/>
                <w:color w:val="auto"/>
              </w:rPr>
            </w:pPr>
          </w:p>
        </w:tc>
        <w:tc>
          <w:tcPr>
            <w:tcW w:w="1770" w:type="dxa"/>
            <w:vAlign w:val="bottom"/>
            <w:tcBorders>
              <w:top w:val="single" w:sz="8" w:color="E4E4E4"/>
              <w:bottom w:val="single" w:sz="8" w:color="1E1E1E"/>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rPr>
              <w:t>567,044</w:t>
            </w:r>
          </w:p>
        </w:tc>
        <w:tc>
          <w:tcPr>
            <w:tcW w:w="90" w:type="dxa"/>
            <w:vAlign w:val="bottom"/>
            <w:tcBorders>
              <w:top w:val="single" w:sz="8" w:color="E4E4E4"/>
              <w:bottom w:val="single" w:sz="8" w:color="1E1E1E"/>
            </w:tcBorders>
            <w:shd w:val="clear" w:color="auto" w:fill="E4E4E4"/>
          </w:tcPr>
          <w:p>
            <w:pPr>
              <w:spacing w:after="0"/>
              <w:rPr>
                <w:sz w:val="18"/>
                <w:szCs w:val="18"/>
                <w:color w:val="auto"/>
              </w:rPr>
            </w:pPr>
          </w:p>
        </w:tc>
        <w:tc>
          <w:tcPr>
            <w:tcW w:w="320" w:type="dxa"/>
            <w:vAlign w:val="bottom"/>
            <w:tcBorders>
              <w:top w:val="single" w:sz="8" w:color="E4E4E4"/>
              <w:bottom w:val="single" w:sz="8" w:color="1E1E1E"/>
            </w:tcBorders>
            <w:shd w:val="clear" w:color="auto" w:fill="E4E4E4"/>
          </w:tcPr>
          <w:p>
            <w:pPr>
              <w:spacing w:after="0"/>
              <w:rPr>
                <w:sz w:val="18"/>
                <w:szCs w:val="18"/>
                <w:color w:val="auto"/>
              </w:rPr>
            </w:pPr>
          </w:p>
        </w:tc>
        <w:tc>
          <w:tcPr>
            <w:tcW w:w="1620" w:type="dxa"/>
            <w:vAlign w:val="bottom"/>
            <w:tcBorders>
              <w:top w:val="single" w:sz="8" w:color="E4E4E4"/>
              <w:bottom w:val="single" w:sz="8" w:color="1E1E1E"/>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color w:val="1E1E1E"/>
              </w:rPr>
              <w:t>546,970</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c>
          <w:tcPr>
            <w:tcW w:w="20" w:type="dxa"/>
            <w:vAlign w:val="bottom"/>
            <w:tcBorders>
              <w:top w:val="single" w:sz="8" w:color="1E1E1E"/>
              <w:bottom w:val="single" w:sz="8" w:color="1E1E1E"/>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1E1E1E"/>
            </w:tcBorders>
          </w:tcPr>
          <w:p>
            <w:pPr>
              <w:spacing w:after="0"/>
              <w:rPr>
                <w:sz w:val="20"/>
                <w:szCs w:val="20"/>
                <w:color w:val="auto"/>
              </w:rPr>
            </w:pPr>
          </w:p>
        </w:tc>
        <w:tc>
          <w:tcPr>
            <w:tcW w:w="6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Total Liabilities and Equity</w:t>
            </w: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177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1,392,978</w:t>
            </w:r>
          </w:p>
        </w:tc>
        <w:tc>
          <w:tcPr>
            <w:tcW w:w="90" w:type="dxa"/>
            <w:vAlign w:val="bottom"/>
            <w:tcBorders>
              <w:bottom w:val="single" w:sz="8" w:color="1E1E1E"/>
            </w:tcBorders>
          </w:tcPr>
          <w:p>
            <w:pPr>
              <w:spacing w:after="0"/>
              <w:rPr>
                <w:sz w:val="20"/>
                <w:szCs w:val="20"/>
                <w:color w:val="auto"/>
              </w:rPr>
            </w:pPr>
          </w:p>
        </w:tc>
        <w:tc>
          <w:tcPr>
            <w:tcW w:w="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1,335,536</w:t>
            </w:r>
          </w:p>
        </w:tc>
        <w:tc>
          <w:tcPr>
            <w:tcW w:w="100" w:type="dxa"/>
            <w:vAlign w:val="bottom"/>
            <w:tcBorders>
              <w:bottom w:val="single" w:sz="8" w:color="1E1E1E"/>
            </w:tcBorders>
          </w:tcPr>
          <w:p>
            <w:pPr>
              <w:spacing w:after="0"/>
              <w:rPr>
                <w:sz w:val="20"/>
                <w:szCs w:val="20"/>
                <w:color w:val="auto"/>
              </w:rPr>
            </w:pPr>
          </w:p>
        </w:tc>
        <w:tc>
          <w:tcPr>
            <w:tcW w:w="20" w:type="dxa"/>
            <w:vAlign w:val="bottom"/>
            <w:tcBorders>
              <w:bottom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622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77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6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2240" w:h="15840" w:orient="portrait"/>
          <w:cols w:equalWidth="0" w:num="1">
            <w:col w:w="10260"/>
          </w:cols>
          <w:pgMar w:left="980" w:top="1440"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48</w:t>
      </w:r>
    </w:p>
    <w:p>
      <w:pPr>
        <w:sectPr>
          <w:pgSz w:w="12240" w:h="15840" w:orient="portrait"/>
          <w:cols w:equalWidth="0" w:num="1">
            <w:col w:w="10260"/>
          </w:cols>
          <w:pgMar w:left="980" w:top="1440" w:right="1000" w:bottom="178" w:gutter="0" w:footer="0" w:header="0"/>
          <w:type w:val="continuous"/>
        </w:sectPr>
      </w:pPr>
    </w:p>
    <w:bookmarkStart w:id="55" w:name="page56"/>
    <w:bookmarkEnd w:id="55"/>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jc w:val="center"/>
        <w:spacing w:after="0"/>
        <w:rPr>
          <w:sz w:val="20"/>
          <w:szCs w:val="20"/>
          <w:color w:val="auto"/>
        </w:rPr>
      </w:pPr>
      <w:r>
        <w:rPr>
          <w:rFonts w:ascii="Times New Roman" w:cs="Times New Roman" w:eastAsia="Times New Roman" w:hAnsi="Times New Roman"/>
          <w:sz w:val="20"/>
          <w:szCs w:val="20"/>
          <w:color w:val="1E1E1E"/>
        </w:rPr>
        <w:t>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1E1E1E"/>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80" w:type="dxa"/>
            <w:vAlign w:val="bottom"/>
            <w:tcBorders>
              <w:top w:val="single" w:sz="8" w:color="1E1E1E"/>
              <w:bottom w:val="single" w:sz="8" w:color="1E1E1E"/>
            </w:tcBorders>
          </w:tcPr>
          <w:p>
            <w:pPr>
              <w:spacing w:after="0"/>
              <w:rPr>
                <w:sz w:val="20"/>
                <w:szCs w:val="20"/>
                <w:color w:val="auto"/>
              </w:rPr>
            </w:pPr>
          </w:p>
        </w:tc>
        <w:tc>
          <w:tcPr>
            <w:tcW w:w="160" w:type="dxa"/>
            <w:vAlign w:val="bottom"/>
            <w:tcBorders>
              <w:top w:val="single" w:sz="8" w:color="1E1E1E"/>
              <w:bottom w:val="single" w:sz="8" w:color="1E1E1E"/>
            </w:tcBorders>
          </w:tcPr>
          <w:p>
            <w:pPr>
              <w:spacing w:after="0"/>
              <w:rPr>
                <w:sz w:val="20"/>
                <w:szCs w:val="20"/>
                <w:color w:val="auto"/>
              </w:rPr>
            </w:pPr>
          </w:p>
        </w:tc>
        <w:tc>
          <w:tcPr>
            <w:tcW w:w="100" w:type="dxa"/>
            <w:vAlign w:val="bottom"/>
            <w:tcBorders>
              <w:top w:val="single" w:sz="8" w:color="1E1E1E"/>
              <w:bottom w:val="single" w:sz="8" w:color="1E1E1E"/>
            </w:tcBorders>
          </w:tcPr>
          <w:p>
            <w:pPr>
              <w:spacing w:after="0"/>
              <w:rPr>
                <w:sz w:val="20"/>
                <w:szCs w:val="20"/>
                <w:color w:val="auto"/>
              </w:rPr>
            </w:pPr>
          </w:p>
        </w:tc>
        <w:tc>
          <w:tcPr>
            <w:tcW w:w="1260" w:type="dxa"/>
            <w:vAlign w:val="bottom"/>
            <w:tcBorders>
              <w:top w:val="single" w:sz="8" w:color="1E1E1E"/>
              <w:bottom w:val="single" w:sz="8" w:color="1E1E1E"/>
            </w:tcBorders>
          </w:tcPr>
          <w:p>
            <w:pPr>
              <w:spacing w:after="0"/>
              <w:rPr>
                <w:sz w:val="20"/>
                <w:szCs w:val="20"/>
                <w:color w:val="auto"/>
              </w:rPr>
            </w:pPr>
          </w:p>
        </w:tc>
        <w:tc>
          <w:tcPr>
            <w:tcW w:w="200" w:type="dxa"/>
            <w:vAlign w:val="bottom"/>
            <w:tcBorders>
              <w:top w:val="single" w:sz="8" w:color="1E1E1E"/>
              <w:bottom w:val="single" w:sz="8" w:color="1E1E1E"/>
            </w:tcBorders>
          </w:tcPr>
          <w:p>
            <w:pPr>
              <w:spacing w:after="0"/>
              <w:rPr>
                <w:sz w:val="20"/>
                <w:szCs w:val="20"/>
                <w:color w:val="auto"/>
              </w:rPr>
            </w:pPr>
          </w:p>
        </w:tc>
        <w:tc>
          <w:tcPr>
            <w:tcW w:w="1240" w:type="dxa"/>
            <w:vAlign w:val="bottom"/>
            <w:tcBorders>
              <w:top w:val="single" w:sz="8" w:color="1E1E1E"/>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b w:val="1"/>
                <w:bCs w:val="1"/>
                <w:color w:val="1E1E1E"/>
                <w:w w:val="98"/>
              </w:rPr>
              <w:t>Fiscal Year</w:t>
            </w:r>
          </w:p>
        </w:tc>
        <w:tc>
          <w:tcPr>
            <w:tcW w:w="220" w:type="dxa"/>
            <w:vAlign w:val="bottom"/>
            <w:tcBorders>
              <w:top w:val="single" w:sz="8" w:color="1E1E1E"/>
              <w:bottom w:val="single" w:sz="8" w:color="1E1E1E"/>
            </w:tcBorders>
          </w:tcPr>
          <w:p>
            <w:pPr>
              <w:spacing w:after="0"/>
              <w:rPr>
                <w:sz w:val="20"/>
                <w:szCs w:val="20"/>
                <w:color w:val="auto"/>
              </w:rPr>
            </w:pPr>
          </w:p>
        </w:tc>
        <w:tc>
          <w:tcPr>
            <w:tcW w:w="1180" w:type="dxa"/>
            <w:vAlign w:val="bottom"/>
            <w:tcBorders>
              <w:top w:val="single" w:sz="8" w:color="1E1E1E"/>
              <w:bottom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80" w:type="dxa"/>
            <w:vAlign w:val="bottom"/>
            <w:tcBorders>
              <w:bottom w:val="single" w:sz="8" w:color="1E1E1E"/>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2026</w:t>
            </w:r>
          </w:p>
        </w:tc>
        <w:tc>
          <w:tcPr>
            <w:tcW w:w="2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2025</w:t>
            </w:r>
          </w:p>
        </w:tc>
        <w:tc>
          <w:tcPr>
            <w:tcW w:w="220" w:type="dxa"/>
            <w:vAlign w:val="bottom"/>
            <w:tcBorders>
              <w:bottom w:val="single" w:sz="8" w:color="1E1E1E"/>
            </w:tcBorders>
          </w:tcPr>
          <w:p>
            <w:pPr>
              <w:spacing w:after="0"/>
              <w:rPr>
                <w:sz w:val="19"/>
                <w:szCs w:val="19"/>
                <w:color w:val="auto"/>
              </w:rPr>
            </w:pPr>
          </w:p>
        </w:tc>
        <w:tc>
          <w:tcPr>
            <w:tcW w:w="11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2024</w:t>
            </w:r>
          </w:p>
        </w:tc>
        <w:tc>
          <w:tcPr>
            <w:tcW w:w="0" w:type="dxa"/>
            <w:vAlign w:val="bottom"/>
          </w:tcPr>
          <w:p>
            <w:pPr>
              <w:spacing w:after="0"/>
              <w:rPr>
                <w:sz w:val="1"/>
                <w:szCs w:val="1"/>
                <w:color w:val="auto"/>
              </w:rPr>
            </w:pPr>
          </w:p>
        </w:tc>
      </w:tr>
      <w:tr>
        <w:trPr>
          <w:trHeight w:val="220"/>
        </w:trPr>
        <w:tc>
          <w:tcPr>
            <w:tcW w:w="58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Net sales</w:t>
            </w:r>
          </w:p>
        </w:tc>
        <w:tc>
          <w:tcPr>
            <w:tcW w:w="260" w:type="dxa"/>
            <w:vAlign w:val="bottom"/>
            <w:gridSpan w:val="2"/>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260" w:type="dxa"/>
            <w:vAlign w:val="bottom"/>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2,436,096</w:t>
            </w:r>
          </w:p>
        </w:tc>
        <w:tc>
          <w:tcPr>
            <w:tcW w:w="2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4E4E4"/>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2,325,062</w:t>
            </w:r>
          </w:p>
        </w:tc>
        <w:tc>
          <w:tcPr>
            <w:tcW w:w="2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2,324,624</w:t>
            </w:r>
          </w:p>
        </w:tc>
        <w:tc>
          <w:tcPr>
            <w:tcW w:w="0" w:type="dxa"/>
            <w:vAlign w:val="bottom"/>
          </w:tcPr>
          <w:p>
            <w:pPr>
              <w:spacing w:after="0"/>
              <w:rPr>
                <w:sz w:val="1"/>
                <w:szCs w:val="1"/>
                <w:color w:val="auto"/>
              </w:rPr>
            </w:pPr>
          </w:p>
        </w:tc>
      </w:tr>
      <w:tr>
        <w:trPr>
          <w:trHeight w:val="226"/>
        </w:trPr>
        <w:tc>
          <w:tcPr>
            <w:tcW w:w="5880" w:type="dxa"/>
            <w:vAlign w:val="bottom"/>
            <w:tcBorders>
              <w:bottom w:val="single" w:sz="8" w:color="1E1E1E"/>
            </w:tcBorders>
          </w:tcPr>
          <w:p>
            <w:pPr>
              <w:spacing w:after="0" w:line="226" w:lineRule="exact"/>
              <w:rPr>
                <w:sz w:val="20"/>
                <w:szCs w:val="20"/>
                <w:color w:val="auto"/>
              </w:rPr>
            </w:pPr>
            <w:r>
              <w:rPr>
                <w:rFonts w:ascii="Times New Roman" w:cs="Times New Roman" w:eastAsia="Times New Roman" w:hAnsi="Times New Roman"/>
                <w:sz w:val="20"/>
                <w:szCs w:val="20"/>
                <w:color w:val="1E1E1E"/>
              </w:rPr>
              <w:t>Cost of sales</w:t>
            </w:r>
          </w:p>
        </w:tc>
        <w:tc>
          <w:tcPr>
            <w:tcW w:w="16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ind w:right="59"/>
              <w:spacing w:after="0" w:line="226" w:lineRule="exact"/>
              <w:rPr>
                <w:sz w:val="20"/>
                <w:szCs w:val="20"/>
                <w:color w:val="auto"/>
              </w:rPr>
            </w:pPr>
            <w:r>
              <w:rPr>
                <w:rFonts w:ascii="Times New Roman" w:cs="Times New Roman" w:eastAsia="Times New Roman" w:hAnsi="Times New Roman"/>
                <w:sz w:val="20"/>
                <w:szCs w:val="20"/>
                <w:b w:val="1"/>
                <w:bCs w:val="1"/>
                <w:color w:val="1E1E1E"/>
              </w:rPr>
              <w:t>1,309,246</w:t>
            </w:r>
          </w:p>
        </w:tc>
        <w:tc>
          <w:tcPr>
            <w:tcW w:w="2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ind w:right="39"/>
              <w:spacing w:after="0" w:line="226" w:lineRule="exact"/>
              <w:rPr>
                <w:sz w:val="20"/>
                <w:szCs w:val="20"/>
                <w:color w:val="auto"/>
              </w:rPr>
            </w:pPr>
            <w:r>
              <w:rPr>
                <w:rFonts w:ascii="Times New Roman" w:cs="Times New Roman" w:eastAsia="Times New Roman" w:hAnsi="Times New Roman"/>
                <w:sz w:val="20"/>
                <w:szCs w:val="20"/>
                <w:color w:val="1E1E1E"/>
              </w:rPr>
              <w:t>1,228,249</w:t>
            </w:r>
          </w:p>
        </w:tc>
        <w:tc>
          <w:tcPr>
            <w:tcW w:w="220" w:type="dxa"/>
            <w:vAlign w:val="bottom"/>
            <w:tcBorders>
              <w:bottom w:val="single" w:sz="8" w:color="1E1E1E"/>
            </w:tcBorders>
          </w:tcPr>
          <w:p>
            <w:pPr>
              <w:spacing w:after="0"/>
              <w:rPr>
                <w:sz w:val="19"/>
                <w:szCs w:val="19"/>
                <w:color w:val="auto"/>
              </w:rPr>
            </w:pPr>
          </w:p>
        </w:tc>
        <w:tc>
          <w:tcPr>
            <w:tcW w:w="118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1,225,804</w:t>
            </w:r>
          </w:p>
        </w:tc>
        <w:tc>
          <w:tcPr>
            <w:tcW w:w="0" w:type="dxa"/>
            <w:vAlign w:val="bottom"/>
          </w:tcPr>
          <w:p>
            <w:pPr>
              <w:spacing w:after="0"/>
              <w:rPr>
                <w:sz w:val="1"/>
                <w:szCs w:val="1"/>
                <w:color w:val="auto"/>
              </w:rPr>
            </w:pPr>
          </w:p>
        </w:tc>
      </w:tr>
      <w:tr>
        <w:trPr>
          <w:trHeight w:val="220"/>
        </w:trPr>
        <w:tc>
          <w:tcPr>
            <w:tcW w:w="58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Gross margin</w:t>
            </w:r>
          </w:p>
        </w:tc>
        <w:tc>
          <w:tcPr>
            <w:tcW w:w="1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60" w:type="dxa"/>
            <w:vAlign w:val="bottom"/>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1,126,850</w:t>
            </w:r>
          </w:p>
        </w:tc>
        <w:tc>
          <w:tcPr>
            <w:tcW w:w="200" w:type="dxa"/>
            <w:vAlign w:val="bottom"/>
            <w:shd w:val="clear" w:color="auto" w:fill="E4E4E4"/>
          </w:tcPr>
          <w:p>
            <w:pPr>
              <w:spacing w:after="0"/>
              <w:rPr>
                <w:sz w:val="19"/>
                <w:szCs w:val="19"/>
                <w:color w:val="auto"/>
              </w:rPr>
            </w:pPr>
          </w:p>
        </w:tc>
        <w:tc>
          <w:tcPr>
            <w:tcW w:w="1240" w:type="dxa"/>
            <w:vAlign w:val="bottom"/>
            <w:shd w:val="clear" w:color="auto" w:fill="E4E4E4"/>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1,096,813</w:t>
            </w:r>
          </w:p>
        </w:tc>
        <w:tc>
          <w:tcPr>
            <w:tcW w:w="220" w:type="dxa"/>
            <w:vAlign w:val="bottom"/>
            <w:shd w:val="clear" w:color="auto" w:fill="E4E4E4"/>
          </w:tcPr>
          <w:p>
            <w:pPr>
              <w:spacing w:after="0"/>
              <w:rPr>
                <w:sz w:val="19"/>
                <w:szCs w:val="19"/>
                <w:color w:val="auto"/>
              </w:rPr>
            </w:pPr>
          </w:p>
        </w:tc>
        <w:tc>
          <w:tcPr>
            <w:tcW w:w="1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1,098,820</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Selling and administrative expenses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1,101,468</w:t>
            </w:r>
          </w:p>
        </w:tc>
        <w:tc>
          <w:tcPr>
            <w:tcW w:w="2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1E1E1E"/>
              </w:rPr>
              <w:t>1,079,653</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1,082,040</w:t>
            </w:r>
          </w:p>
        </w:tc>
        <w:tc>
          <w:tcPr>
            <w:tcW w:w="0" w:type="dxa"/>
            <w:vAlign w:val="bottom"/>
          </w:tcPr>
          <w:p>
            <w:pPr>
              <w:spacing w:after="0"/>
              <w:rPr>
                <w:sz w:val="1"/>
                <w:szCs w:val="1"/>
                <w:color w:val="auto"/>
              </w:rPr>
            </w:pPr>
          </w:p>
        </w:tc>
      </w:tr>
      <w:tr>
        <w:trPr>
          <w:trHeight w:val="230"/>
        </w:trPr>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Goodwill impairment</w:t>
            </w:r>
          </w:p>
        </w:tc>
        <w:tc>
          <w:tcPr>
            <w:tcW w:w="16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260" w:type="dxa"/>
            <w:vAlign w:val="bottom"/>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w:t>
            </w:r>
          </w:p>
        </w:tc>
        <w:tc>
          <w:tcPr>
            <w:tcW w:w="200" w:type="dxa"/>
            <w:vAlign w:val="bottom"/>
            <w:shd w:val="clear" w:color="auto" w:fill="E4E4E4"/>
          </w:tcPr>
          <w:p>
            <w:pPr>
              <w:spacing w:after="0"/>
              <w:rPr>
                <w:sz w:val="20"/>
                <w:szCs w:val="20"/>
                <w:color w:val="auto"/>
              </w:rPr>
            </w:pPr>
          </w:p>
        </w:tc>
        <w:tc>
          <w:tcPr>
            <w:tcW w:w="1240" w:type="dxa"/>
            <w:vAlign w:val="bottom"/>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20"/>
                <w:szCs w:val="20"/>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28,453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Asset impairments and other, net</w:t>
            </w:r>
          </w:p>
        </w:tc>
        <w:tc>
          <w:tcPr>
            <w:tcW w:w="16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260" w:type="dxa"/>
            <w:vAlign w:val="bottom"/>
            <w:tcBorders>
              <w:bottom w:val="single" w:sz="8" w:color="1E1E1E"/>
            </w:tcBorders>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8,068</w:t>
            </w:r>
          </w:p>
        </w:tc>
        <w:tc>
          <w:tcPr>
            <w:tcW w:w="200" w:type="dxa"/>
            <w:vAlign w:val="bottom"/>
            <w:tcBorders>
              <w:bottom w:val="single" w:sz="8" w:color="1E1E1E"/>
            </w:tcBorders>
          </w:tcPr>
          <w:p>
            <w:pPr>
              <w:spacing w:after="0"/>
              <w:rPr>
                <w:sz w:val="20"/>
                <w:szCs w:val="20"/>
                <w:color w:val="auto"/>
              </w:rPr>
            </w:pPr>
          </w:p>
        </w:tc>
        <w:tc>
          <w:tcPr>
            <w:tcW w:w="124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3,235</w:t>
            </w:r>
          </w:p>
        </w:tc>
        <w:tc>
          <w:tcPr>
            <w:tcW w:w="220" w:type="dxa"/>
            <w:vAlign w:val="bottom"/>
            <w:tcBorders>
              <w:bottom w:val="single" w:sz="8" w:color="1E1E1E"/>
            </w:tcBorders>
          </w:tcPr>
          <w:p>
            <w:pPr>
              <w:spacing w:after="0"/>
              <w:rPr>
                <w:sz w:val="20"/>
                <w:szCs w:val="20"/>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1,787</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Operating income (loss)</w:t>
            </w:r>
          </w:p>
        </w:tc>
        <w:tc>
          <w:tcPr>
            <w:tcW w:w="160" w:type="dxa"/>
            <w:vAlign w:val="bottom"/>
            <w:tcBorders>
              <w:bottom w:val="single" w:sz="8" w:color="1E1E1E"/>
            </w:tcBorders>
            <w:shd w:val="clear" w:color="auto" w:fill="E4E4E4"/>
          </w:tcPr>
          <w:p>
            <w:pPr>
              <w:spacing w:after="0"/>
              <w:rPr>
                <w:sz w:val="19"/>
                <w:szCs w:val="19"/>
                <w:color w:val="auto"/>
              </w:rPr>
            </w:pPr>
          </w:p>
        </w:tc>
        <w:tc>
          <w:tcPr>
            <w:tcW w:w="100" w:type="dxa"/>
            <w:vAlign w:val="bottom"/>
            <w:tcBorders>
              <w:bottom w:val="single" w:sz="8" w:color="1E1E1E"/>
            </w:tcBorders>
            <w:shd w:val="clear" w:color="auto" w:fill="E4E4E4"/>
          </w:tcPr>
          <w:p>
            <w:pPr>
              <w:spacing w:after="0"/>
              <w:rPr>
                <w:sz w:val="19"/>
                <w:szCs w:val="19"/>
                <w:color w:val="auto"/>
              </w:rPr>
            </w:pPr>
          </w:p>
        </w:tc>
        <w:tc>
          <w:tcPr>
            <w:tcW w:w="1260" w:type="dxa"/>
            <w:vAlign w:val="bottom"/>
            <w:tcBorders>
              <w:bottom w:val="single" w:sz="8" w:color="1E1E1E"/>
            </w:tcBorders>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17,314</w:t>
            </w:r>
          </w:p>
        </w:tc>
        <w:tc>
          <w:tcPr>
            <w:tcW w:w="200" w:type="dxa"/>
            <w:vAlign w:val="bottom"/>
            <w:tcBorders>
              <w:bottom w:val="single" w:sz="8" w:color="1E1E1E"/>
            </w:tcBorders>
            <w:shd w:val="clear" w:color="auto" w:fill="E4E4E4"/>
          </w:tcPr>
          <w:p>
            <w:pPr>
              <w:spacing w:after="0"/>
              <w:rPr>
                <w:sz w:val="19"/>
                <w:szCs w:val="19"/>
                <w:color w:val="auto"/>
              </w:rPr>
            </w:pPr>
          </w:p>
        </w:tc>
        <w:tc>
          <w:tcPr>
            <w:tcW w:w="1240" w:type="dxa"/>
            <w:vAlign w:val="bottom"/>
            <w:tcBorders>
              <w:bottom w:val="single" w:sz="8" w:color="1E1E1E"/>
            </w:tcBorders>
            <w:shd w:val="clear" w:color="auto" w:fill="E4E4E4"/>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13,925</w:t>
            </w:r>
          </w:p>
        </w:tc>
        <w:tc>
          <w:tcPr>
            <w:tcW w:w="220" w:type="dxa"/>
            <w:vAlign w:val="bottom"/>
            <w:tcBorders>
              <w:bottom w:val="single" w:sz="8" w:color="1E1E1E"/>
            </w:tcBorders>
            <w:shd w:val="clear" w:color="auto" w:fill="E4E4E4"/>
          </w:tcPr>
          <w:p>
            <w:pPr>
              <w:spacing w:after="0"/>
              <w:rPr>
                <w:sz w:val="19"/>
                <w:szCs w:val="19"/>
                <w:color w:val="auto"/>
              </w:rPr>
            </w:pPr>
          </w:p>
        </w:tc>
        <w:tc>
          <w:tcPr>
            <w:tcW w:w="11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(13,460)</w:t>
            </w:r>
          </w:p>
        </w:tc>
        <w:tc>
          <w:tcPr>
            <w:tcW w:w="0" w:type="dxa"/>
            <w:vAlign w:val="bottom"/>
          </w:tcPr>
          <w:p>
            <w:pPr>
              <w:spacing w:after="0"/>
              <w:rPr>
                <w:sz w:val="1"/>
                <w:szCs w:val="1"/>
                <w:color w:val="auto"/>
              </w:rPr>
            </w:pPr>
          </w:p>
        </w:tc>
      </w:tr>
      <w:tr>
        <w:trPr>
          <w:trHeight w:val="220"/>
        </w:trPr>
        <w:tc>
          <w:tcPr>
            <w:tcW w:w="5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Other components of net periodic benefit cost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625</w:t>
            </w:r>
          </w:p>
        </w:tc>
        <w:tc>
          <w:tcPr>
            <w:tcW w:w="200" w:type="dxa"/>
            <w:vAlign w:val="bottom"/>
          </w:tcPr>
          <w:p>
            <w:pPr>
              <w:spacing w:after="0"/>
              <w:rPr>
                <w:sz w:val="19"/>
                <w:szCs w:val="19"/>
                <w:color w:val="auto"/>
              </w:rPr>
            </w:pPr>
          </w:p>
        </w:tc>
        <w:tc>
          <w:tcPr>
            <w:tcW w:w="1240" w:type="dxa"/>
            <w:vAlign w:val="bottom"/>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367</w:t>
            </w:r>
          </w:p>
        </w:tc>
        <w:tc>
          <w:tcPr>
            <w:tcW w:w="220" w:type="dxa"/>
            <w:vAlign w:val="bottom"/>
          </w:tcPr>
          <w:p>
            <w:pPr>
              <w:spacing w:after="0"/>
              <w:rPr>
                <w:sz w:val="19"/>
                <w:szCs w:val="19"/>
                <w:color w:val="auto"/>
              </w:rPr>
            </w:pPr>
          </w:p>
        </w:tc>
        <w:tc>
          <w:tcPr>
            <w:tcW w:w="11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537</w:t>
            </w:r>
          </w:p>
        </w:tc>
        <w:tc>
          <w:tcPr>
            <w:tcW w:w="0" w:type="dxa"/>
            <w:vAlign w:val="bottom"/>
          </w:tcPr>
          <w:p>
            <w:pPr>
              <w:spacing w:after="0"/>
              <w:rPr>
                <w:sz w:val="1"/>
                <w:szCs w:val="1"/>
                <w:color w:val="auto"/>
              </w:rPr>
            </w:pPr>
          </w:p>
        </w:tc>
      </w:tr>
      <w:tr>
        <w:trPr>
          <w:trHeight w:val="230"/>
        </w:trPr>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Interest expense (net of interest income of $0.7 million, $0.7 million and</w:t>
            </w:r>
          </w:p>
        </w:tc>
        <w:tc>
          <w:tcPr>
            <w:tcW w:w="16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260" w:type="dxa"/>
            <w:vAlign w:val="bottom"/>
            <w:vMerge w:val="restart"/>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4,098</w:t>
            </w:r>
          </w:p>
        </w:tc>
        <w:tc>
          <w:tcPr>
            <w:tcW w:w="200" w:type="dxa"/>
            <w:vAlign w:val="bottom"/>
            <w:shd w:val="clear" w:color="auto" w:fill="E4E4E4"/>
          </w:tcPr>
          <w:p>
            <w:pPr>
              <w:spacing w:after="0"/>
              <w:rPr>
                <w:sz w:val="20"/>
                <w:szCs w:val="20"/>
                <w:color w:val="auto"/>
              </w:rPr>
            </w:pPr>
          </w:p>
        </w:tc>
        <w:tc>
          <w:tcPr>
            <w:tcW w:w="124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1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$0.4 million for Fiscal 2026, 2025 and 2024, respectively)</w:t>
            </w:r>
          </w:p>
        </w:tc>
        <w:tc>
          <w:tcPr>
            <w:tcW w:w="16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260" w:type="dxa"/>
            <w:vAlign w:val="bottom"/>
            <w:tcBorders>
              <w:bottom w:val="single" w:sz="8" w:color="1E1E1E"/>
            </w:tcBorders>
            <w:vMerge w:val="continue"/>
            <w:shd w:val="clear" w:color="auto" w:fill="E4E4E4"/>
          </w:tcPr>
          <w:p>
            <w:pPr>
              <w:spacing w:after="0"/>
              <w:rPr>
                <w:sz w:val="20"/>
                <w:szCs w:val="20"/>
                <w:color w:val="auto"/>
              </w:rPr>
            </w:pPr>
          </w:p>
        </w:tc>
        <w:tc>
          <w:tcPr>
            <w:tcW w:w="200" w:type="dxa"/>
            <w:vAlign w:val="bottom"/>
            <w:tcBorders>
              <w:bottom w:val="single" w:sz="8" w:color="1E1E1E"/>
            </w:tcBorders>
            <w:shd w:val="clear" w:color="auto" w:fill="E4E4E4"/>
          </w:tcPr>
          <w:p>
            <w:pPr>
              <w:spacing w:after="0"/>
              <w:rPr>
                <w:sz w:val="20"/>
                <w:szCs w:val="20"/>
                <w:color w:val="auto"/>
              </w:rPr>
            </w:pPr>
          </w:p>
        </w:tc>
        <w:tc>
          <w:tcPr>
            <w:tcW w:w="1240" w:type="dxa"/>
            <w:vAlign w:val="bottom"/>
            <w:tcBorders>
              <w:bottom w:val="single" w:sz="8" w:color="1E1E1E"/>
            </w:tcBorders>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4,250</w:t>
            </w:r>
          </w:p>
        </w:tc>
        <w:tc>
          <w:tcPr>
            <w:tcW w:w="220" w:type="dxa"/>
            <w:vAlign w:val="bottom"/>
            <w:tcBorders>
              <w:bottom w:val="single" w:sz="8" w:color="1E1E1E"/>
            </w:tcBorders>
            <w:shd w:val="clear" w:color="auto" w:fill="E4E4E4"/>
          </w:tcPr>
          <w:p>
            <w:pPr>
              <w:spacing w:after="0"/>
              <w:rPr>
                <w:sz w:val="20"/>
                <w:szCs w:val="20"/>
                <w:color w:val="auto"/>
              </w:rPr>
            </w:pPr>
          </w:p>
        </w:tc>
        <w:tc>
          <w:tcPr>
            <w:tcW w:w="1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7,777</w:t>
            </w:r>
          </w:p>
        </w:tc>
        <w:tc>
          <w:tcPr>
            <w:tcW w:w="0" w:type="dxa"/>
            <w:vAlign w:val="bottom"/>
          </w:tcPr>
          <w:p>
            <w:pPr>
              <w:spacing w:after="0"/>
              <w:rPr>
                <w:sz w:val="1"/>
                <w:szCs w:val="1"/>
                <w:color w:val="auto"/>
              </w:rPr>
            </w:pPr>
          </w:p>
        </w:tc>
      </w:tr>
      <w:tr>
        <w:trPr>
          <w:trHeight w:val="220"/>
        </w:trPr>
        <w:tc>
          <w:tcPr>
            <w:tcW w:w="5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Earnings (loss) from continuing operations before income taxes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12,591</w:t>
            </w:r>
          </w:p>
        </w:tc>
        <w:tc>
          <w:tcPr>
            <w:tcW w:w="200" w:type="dxa"/>
            <w:vAlign w:val="bottom"/>
          </w:tcPr>
          <w:p>
            <w:pPr>
              <w:spacing w:after="0"/>
              <w:rPr>
                <w:sz w:val="19"/>
                <w:szCs w:val="19"/>
                <w:color w:val="auto"/>
              </w:rPr>
            </w:pPr>
          </w:p>
        </w:tc>
        <w:tc>
          <w:tcPr>
            <w:tcW w:w="1240" w:type="dxa"/>
            <w:vAlign w:val="bottom"/>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9,308</w:t>
            </w:r>
          </w:p>
        </w:tc>
        <w:tc>
          <w:tcPr>
            <w:tcW w:w="220" w:type="dxa"/>
            <w:vAlign w:val="bottom"/>
          </w:tcPr>
          <w:p>
            <w:pPr>
              <w:spacing w:after="0"/>
              <w:rPr>
                <w:sz w:val="19"/>
                <w:szCs w:val="19"/>
                <w:color w:val="auto"/>
              </w:rPr>
            </w:pPr>
          </w:p>
        </w:tc>
        <w:tc>
          <w:tcPr>
            <w:tcW w:w="11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(21,774)</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Income tax expense (benefit)</w:t>
            </w:r>
          </w:p>
        </w:tc>
        <w:tc>
          <w:tcPr>
            <w:tcW w:w="16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2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(685)</w:t>
            </w:r>
          </w:p>
        </w:tc>
        <w:tc>
          <w:tcPr>
            <w:tcW w:w="200" w:type="dxa"/>
            <w:vAlign w:val="bottom"/>
            <w:tcBorders>
              <w:bottom w:val="single" w:sz="8" w:color="1E1E1E"/>
            </w:tcBorders>
            <w:shd w:val="clear" w:color="auto" w:fill="E4E4E4"/>
          </w:tcPr>
          <w:p>
            <w:pPr>
              <w:spacing w:after="0"/>
              <w:rPr>
                <w:sz w:val="20"/>
                <w:szCs w:val="20"/>
                <w:color w:val="auto"/>
              </w:rPr>
            </w:pPr>
          </w:p>
        </w:tc>
        <w:tc>
          <w:tcPr>
            <w:tcW w:w="1240" w:type="dxa"/>
            <w:vAlign w:val="bottom"/>
            <w:tcBorders>
              <w:bottom w:val="single" w:sz="8" w:color="1E1E1E"/>
            </w:tcBorders>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28,820</w:t>
            </w:r>
          </w:p>
        </w:tc>
        <w:tc>
          <w:tcPr>
            <w:tcW w:w="220" w:type="dxa"/>
            <w:vAlign w:val="bottom"/>
            <w:tcBorders>
              <w:bottom w:val="single" w:sz="8" w:color="1E1E1E"/>
            </w:tcBorders>
            <w:shd w:val="clear" w:color="auto" w:fill="E4E4E4"/>
          </w:tcPr>
          <w:p>
            <w:pPr>
              <w:spacing w:after="0"/>
              <w:rPr>
                <w:sz w:val="20"/>
                <w:szCs w:val="20"/>
                <w:color w:val="auto"/>
              </w:rPr>
            </w:pPr>
          </w:p>
        </w:tc>
        <w:tc>
          <w:tcPr>
            <w:tcW w:w="1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1,854</w:t>
            </w:r>
          </w:p>
        </w:tc>
        <w:tc>
          <w:tcPr>
            <w:tcW w:w="0" w:type="dxa"/>
            <w:vAlign w:val="bottom"/>
          </w:tcPr>
          <w:p>
            <w:pPr>
              <w:spacing w:after="0"/>
              <w:rPr>
                <w:sz w:val="1"/>
                <w:szCs w:val="1"/>
                <w:color w:val="auto"/>
              </w:rPr>
            </w:pPr>
          </w:p>
        </w:tc>
      </w:tr>
      <w:tr>
        <w:trPr>
          <w:trHeight w:val="220"/>
        </w:trPr>
        <w:tc>
          <w:tcPr>
            <w:tcW w:w="5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Earnings (loss) from continuing operations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13,276</w:t>
            </w:r>
          </w:p>
        </w:tc>
        <w:tc>
          <w:tcPr>
            <w:tcW w:w="200" w:type="dxa"/>
            <w:vAlign w:val="bottom"/>
          </w:tcPr>
          <w:p>
            <w:pPr>
              <w:spacing w:after="0"/>
              <w:rPr>
                <w:sz w:val="19"/>
                <w:szCs w:val="19"/>
                <w:color w:val="auto"/>
              </w:rPr>
            </w:pPr>
          </w:p>
        </w:tc>
        <w:tc>
          <w:tcPr>
            <w:tcW w:w="12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(19,512)</w:t>
            </w:r>
          </w:p>
        </w:tc>
        <w:tc>
          <w:tcPr>
            <w:tcW w:w="220" w:type="dxa"/>
            <w:vAlign w:val="bottom"/>
          </w:tcPr>
          <w:p>
            <w:pPr>
              <w:spacing w:after="0"/>
              <w:rPr>
                <w:sz w:val="19"/>
                <w:szCs w:val="19"/>
                <w:color w:val="auto"/>
              </w:rPr>
            </w:pPr>
          </w:p>
        </w:tc>
        <w:tc>
          <w:tcPr>
            <w:tcW w:w="11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(23,628)</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Gain (loss) from discontinued operations, net of tax</w:t>
            </w:r>
          </w:p>
        </w:tc>
        <w:tc>
          <w:tcPr>
            <w:tcW w:w="16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2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(7)</w:t>
            </w:r>
          </w:p>
        </w:tc>
        <w:tc>
          <w:tcPr>
            <w:tcW w:w="200" w:type="dxa"/>
            <w:vAlign w:val="bottom"/>
            <w:tcBorders>
              <w:bottom w:val="single" w:sz="8" w:color="1E1E1E"/>
            </w:tcBorders>
            <w:shd w:val="clear" w:color="auto" w:fill="E4E4E4"/>
          </w:tcPr>
          <w:p>
            <w:pPr>
              <w:spacing w:after="0"/>
              <w:rPr>
                <w:sz w:val="20"/>
                <w:szCs w:val="20"/>
                <w:color w:val="auto"/>
              </w:rPr>
            </w:pPr>
          </w:p>
        </w:tc>
        <w:tc>
          <w:tcPr>
            <w:tcW w:w="1240" w:type="dxa"/>
            <w:vAlign w:val="bottom"/>
            <w:tcBorders>
              <w:bottom w:val="single" w:sz="8" w:color="1E1E1E"/>
            </w:tcBorders>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622</w:t>
            </w:r>
          </w:p>
        </w:tc>
        <w:tc>
          <w:tcPr>
            <w:tcW w:w="220" w:type="dxa"/>
            <w:vAlign w:val="bottom"/>
            <w:tcBorders>
              <w:bottom w:val="single" w:sz="8" w:color="1E1E1E"/>
            </w:tcBorders>
            <w:shd w:val="clear" w:color="auto" w:fill="E4E4E4"/>
          </w:tcPr>
          <w:p>
            <w:pPr>
              <w:spacing w:after="0"/>
              <w:rPr>
                <w:sz w:val="20"/>
                <w:szCs w:val="20"/>
                <w:color w:val="auto"/>
              </w:rPr>
            </w:pPr>
          </w:p>
        </w:tc>
        <w:tc>
          <w:tcPr>
            <w:tcW w:w="1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6,801</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Net Earnings (Loss)</w:t>
            </w:r>
          </w:p>
        </w:tc>
        <w:tc>
          <w:tcPr>
            <w:tcW w:w="260" w:type="dxa"/>
            <w:vAlign w:val="bottom"/>
            <w:tcBorders>
              <w:bottom w:val="single" w:sz="8" w:color="1E1E1E"/>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260" w:type="dxa"/>
            <w:vAlign w:val="bottom"/>
            <w:tcBorders>
              <w:bottom w:val="single" w:sz="8" w:color="1E1E1E"/>
            </w:tcBorders>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13,269</w:t>
            </w:r>
          </w:p>
        </w:tc>
        <w:tc>
          <w:tcPr>
            <w:tcW w:w="2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(18,890)</w:t>
            </w:r>
          </w:p>
        </w:tc>
        <w:tc>
          <w:tcPr>
            <w:tcW w:w="22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(16,827)</w:t>
            </w:r>
          </w:p>
        </w:tc>
        <w:tc>
          <w:tcPr>
            <w:tcW w:w="0" w:type="dxa"/>
            <w:vAlign w:val="bottom"/>
          </w:tcPr>
          <w:p>
            <w:pPr>
              <w:spacing w:after="0"/>
              <w:rPr>
                <w:sz w:val="1"/>
                <w:szCs w:val="1"/>
                <w:color w:val="auto"/>
              </w:rPr>
            </w:pPr>
          </w:p>
        </w:tc>
      </w:tr>
      <w:tr>
        <w:trPr>
          <w:trHeight w:val="20"/>
        </w:trPr>
        <w:tc>
          <w:tcPr>
            <w:tcW w:w="588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26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12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Basic earnings (loss) per common share: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Continuing operations</w:t>
            </w:r>
          </w:p>
        </w:tc>
        <w:tc>
          <w:tcPr>
            <w:tcW w:w="2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260" w:type="dxa"/>
            <w:vAlign w:val="bottom"/>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1.28</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(1.80)</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Discontinued operations</w:t>
            </w:r>
          </w:p>
        </w:tc>
        <w:tc>
          <w:tcPr>
            <w:tcW w:w="16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260" w:type="dxa"/>
            <w:vAlign w:val="bottom"/>
            <w:tcBorders>
              <w:bottom w:val="single" w:sz="8" w:color="1E1E1E"/>
            </w:tcBorders>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0.00</w:t>
            </w:r>
          </w:p>
        </w:tc>
        <w:tc>
          <w:tcPr>
            <w:tcW w:w="200" w:type="dxa"/>
            <w:vAlign w:val="bottom"/>
            <w:tcBorders>
              <w:bottom w:val="single" w:sz="8" w:color="1E1E1E"/>
            </w:tcBorders>
          </w:tcPr>
          <w:p>
            <w:pPr>
              <w:spacing w:after="0"/>
              <w:rPr>
                <w:sz w:val="20"/>
                <w:szCs w:val="20"/>
                <w:color w:val="auto"/>
              </w:rPr>
            </w:pPr>
          </w:p>
        </w:tc>
        <w:tc>
          <w:tcPr>
            <w:tcW w:w="124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0.06</w:t>
            </w:r>
          </w:p>
        </w:tc>
        <w:tc>
          <w:tcPr>
            <w:tcW w:w="220" w:type="dxa"/>
            <w:vAlign w:val="bottom"/>
            <w:tcBorders>
              <w:bottom w:val="single" w:sz="8" w:color="1E1E1E"/>
            </w:tcBorders>
          </w:tcPr>
          <w:p>
            <w:pPr>
              <w:spacing w:after="0"/>
              <w:rPr>
                <w:sz w:val="20"/>
                <w:szCs w:val="20"/>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0.60</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1E1E1E"/>
            </w:tcBorders>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1E1E1E"/>
              </w:rPr>
              <w:t>Net earnings (loss)</w:t>
            </w:r>
          </w:p>
        </w:tc>
        <w:tc>
          <w:tcPr>
            <w:tcW w:w="260" w:type="dxa"/>
            <w:vAlign w:val="bottom"/>
            <w:tcBorders>
              <w:bottom w:val="single" w:sz="8" w:color="1E1E1E"/>
            </w:tcBorders>
            <w:gridSpan w:val="2"/>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260" w:type="dxa"/>
            <w:vAlign w:val="bottom"/>
            <w:tcBorders>
              <w:bottom w:val="single" w:sz="8" w:color="1E1E1E"/>
            </w:tcBorders>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1.28</w:t>
            </w:r>
          </w:p>
        </w:tc>
        <w:tc>
          <w:tcPr>
            <w:tcW w:w="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(1.74)</w:t>
            </w:r>
          </w:p>
        </w:tc>
        <w:tc>
          <w:tcPr>
            <w:tcW w:w="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(1.50)</w:t>
            </w:r>
          </w:p>
        </w:tc>
        <w:tc>
          <w:tcPr>
            <w:tcW w:w="0" w:type="dxa"/>
            <w:vAlign w:val="bottom"/>
          </w:tcPr>
          <w:p>
            <w:pPr>
              <w:spacing w:after="0"/>
              <w:rPr>
                <w:sz w:val="1"/>
                <w:szCs w:val="1"/>
                <w:color w:val="auto"/>
              </w:rPr>
            </w:pPr>
          </w:p>
        </w:tc>
      </w:tr>
      <w:tr>
        <w:trPr>
          <w:trHeight w:val="20"/>
        </w:trPr>
        <w:tc>
          <w:tcPr>
            <w:tcW w:w="588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Diluted earnings (loss) per common share: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Continuing operations</w:t>
            </w:r>
          </w:p>
        </w:tc>
        <w:tc>
          <w:tcPr>
            <w:tcW w:w="2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260" w:type="dxa"/>
            <w:vAlign w:val="bottom"/>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1.25</w:t>
            </w:r>
          </w:p>
        </w:tc>
        <w:tc>
          <w:tcPr>
            <w:tcW w:w="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(1.80)</w:t>
            </w:r>
          </w:p>
        </w:tc>
        <w:tc>
          <w:tcPr>
            <w:tcW w:w="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Discontinued operations</w:t>
            </w:r>
          </w:p>
        </w:tc>
        <w:tc>
          <w:tcPr>
            <w:tcW w:w="16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260" w:type="dxa"/>
            <w:vAlign w:val="bottom"/>
            <w:tcBorders>
              <w:bottom w:val="single" w:sz="8" w:color="1E1E1E"/>
            </w:tcBorders>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0.00</w:t>
            </w:r>
          </w:p>
        </w:tc>
        <w:tc>
          <w:tcPr>
            <w:tcW w:w="200" w:type="dxa"/>
            <w:vAlign w:val="bottom"/>
            <w:tcBorders>
              <w:bottom w:val="single" w:sz="8" w:color="1E1E1E"/>
            </w:tcBorders>
          </w:tcPr>
          <w:p>
            <w:pPr>
              <w:spacing w:after="0"/>
              <w:rPr>
                <w:sz w:val="20"/>
                <w:szCs w:val="20"/>
                <w:color w:val="auto"/>
              </w:rPr>
            </w:pPr>
          </w:p>
        </w:tc>
        <w:tc>
          <w:tcPr>
            <w:tcW w:w="124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0.06</w:t>
            </w:r>
          </w:p>
        </w:tc>
        <w:tc>
          <w:tcPr>
            <w:tcW w:w="220" w:type="dxa"/>
            <w:vAlign w:val="bottom"/>
            <w:tcBorders>
              <w:bottom w:val="single" w:sz="8" w:color="1E1E1E"/>
            </w:tcBorders>
          </w:tcPr>
          <w:p>
            <w:pPr>
              <w:spacing w:after="0"/>
              <w:rPr>
                <w:sz w:val="20"/>
                <w:szCs w:val="20"/>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0.60</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1E1E1E"/>
            </w:tcBorders>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1E1E1E"/>
              </w:rPr>
              <w:t>Net earnings (loss)</w:t>
            </w:r>
          </w:p>
        </w:tc>
        <w:tc>
          <w:tcPr>
            <w:tcW w:w="260" w:type="dxa"/>
            <w:vAlign w:val="bottom"/>
            <w:tcBorders>
              <w:bottom w:val="single" w:sz="8" w:color="1E1E1E"/>
            </w:tcBorders>
            <w:gridSpan w:val="2"/>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260" w:type="dxa"/>
            <w:vAlign w:val="bottom"/>
            <w:tcBorders>
              <w:bottom w:val="single" w:sz="8" w:color="1E1E1E"/>
            </w:tcBorders>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1.25</w:t>
            </w:r>
          </w:p>
        </w:tc>
        <w:tc>
          <w:tcPr>
            <w:tcW w:w="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(1.74)</w:t>
            </w:r>
          </w:p>
        </w:tc>
        <w:tc>
          <w:tcPr>
            <w:tcW w:w="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(1.50)</w:t>
            </w:r>
          </w:p>
        </w:tc>
        <w:tc>
          <w:tcPr>
            <w:tcW w:w="0" w:type="dxa"/>
            <w:vAlign w:val="bottom"/>
          </w:tcPr>
          <w:p>
            <w:pPr>
              <w:spacing w:after="0"/>
              <w:rPr>
                <w:sz w:val="1"/>
                <w:szCs w:val="1"/>
                <w:color w:val="auto"/>
              </w:rPr>
            </w:pPr>
          </w:p>
        </w:tc>
      </w:tr>
      <w:tr>
        <w:trPr>
          <w:trHeight w:val="20"/>
        </w:trPr>
        <w:tc>
          <w:tcPr>
            <w:tcW w:w="588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Weighted average shares outstanding: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Basic</w:t>
            </w:r>
          </w:p>
        </w:tc>
        <w:tc>
          <w:tcPr>
            <w:tcW w:w="160" w:type="dxa"/>
            <w:vAlign w:val="bottom"/>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260" w:type="dxa"/>
            <w:vAlign w:val="bottom"/>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10,366</w:t>
            </w:r>
          </w:p>
        </w:tc>
        <w:tc>
          <w:tcPr>
            <w:tcW w:w="200" w:type="dxa"/>
            <w:vAlign w:val="bottom"/>
            <w:shd w:val="clear" w:color="auto" w:fill="E4E4E4"/>
          </w:tcPr>
          <w:p>
            <w:pPr>
              <w:spacing w:after="0"/>
              <w:rPr>
                <w:sz w:val="21"/>
                <w:szCs w:val="21"/>
                <w:color w:val="auto"/>
              </w:rPr>
            </w:pPr>
          </w:p>
        </w:tc>
        <w:tc>
          <w:tcPr>
            <w:tcW w:w="1240" w:type="dxa"/>
            <w:vAlign w:val="bottom"/>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10,836</w:t>
            </w:r>
          </w:p>
        </w:tc>
        <w:tc>
          <w:tcPr>
            <w:tcW w:w="220" w:type="dxa"/>
            <w:vAlign w:val="bottom"/>
            <w:shd w:val="clear" w:color="auto" w:fill="E4E4E4"/>
          </w:tcPr>
          <w:p>
            <w:pPr>
              <w:spacing w:after="0"/>
              <w:rPr>
                <w:sz w:val="21"/>
                <w:szCs w:val="21"/>
                <w:color w:val="auto"/>
              </w:rPr>
            </w:pPr>
          </w:p>
        </w:tc>
        <w:tc>
          <w:tcPr>
            <w:tcW w:w="1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11,243</w:t>
            </w:r>
          </w:p>
        </w:tc>
        <w:tc>
          <w:tcPr>
            <w:tcW w:w="0" w:type="dxa"/>
            <w:vAlign w:val="bottom"/>
          </w:tcPr>
          <w:p>
            <w:pPr>
              <w:spacing w:after="0"/>
              <w:rPr>
                <w:sz w:val="1"/>
                <w:szCs w:val="1"/>
                <w:color w:val="auto"/>
              </w:rPr>
            </w:pPr>
          </w:p>
        </w:tc>
      </w:tr>
      <w:tr>
        <w:trPr>
          <w:trHeight w:val="278"/>
        </w:trPr>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Diluted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10,624</w:t>
            </w:r>
          </w:p>
        </w:tc>
        <w:tc>
          <w:tcPr>
            <w:tcW w:w="20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1E1E1E"/>
              </w:rPr>
              <w:t>10,836</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11,243</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2240" w:h="15840" w:orient="portrait"/>
          <w:cols w:equalWidth="0" w:num="1">
            <w:col w:w="10240"/>
          </w:cols>
          <w:pgMar w:left="1000" w:top="1440"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49</w:t>
      </w:r>
    </w:p>
    <w:p>
      <w:pPr>
        <w:sectPr>
          <w:pgSz w:w="12240" w:h="15840" w:orient="portrait"/>
          <w:cols w:equalWidth="0" w:num="1">
            <w:col w:w="10240"/>
          </w:cols>
          <w:pgMar w:left="1000" w:top="1440" w:right="1000" w:bottom="178" w:gutter="0" w:footer="0" w:header="0"/>
          <w:type w:val="continuous"/>
        </w:sectPr>
      </w:pPr>
    </w:p>
    <w:bookmarkStart w:id="56" w:name="page57"/>
    <w:bookmarkEnd w:id="56"/>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jc w:val="center"/>
        <w:ind w:right="-19"/>
        <w:spacing w:after="0"/>
        <w:rPr>
          <w:sz w:val="20"/>
          <w:szCs w:val="20"/>
          <w:color w:val="auto"/>
        </w:rPr>
      </w:pPr>
      <w:r>
        <w:rPr>
          <w:rFonts w:ascii="Times New Roman" w:cs="Times New Roman" w:eastAsia="Times New Roman" w:hAnsi="Times New Roman"/>
          <w:sz w:val="20"/>
          <w:szCs w:val="20"/>
          <w:color w:val="1E1E1E"/>
        </w:rPr>
        <w:t>Consolidated Statements of Comprehensive Income (Loss)</w:t>
      </w:r>
    </w:p>
    <w:p>
      <w:pPr>
        <w:jc w:val="center"/>
        <w:ind w:right="-19"/>
        <w:spacing w:after="0"/>
        <w:rPr>
          <w:sz w:val="20"/>
          <w:szCs w:val="20"/>
          <w:color w:val="auto"/>
        </w:rPr>
      </w:pPr>
      <w:r>
        <w:rPr>
          <w:rFonts w:ascii="Times New Roman" w:cs="Times New Roman" w:eastAsia="Times New Roman" w:hAnsi="Times New Roman"/>
          <w:sz w:val="20"/>
          <w:szCs w:val="20"/>
          <w:color w:val="1E1E1E"/>
        </w:rPr>
        <w:t>In Thousands, except as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880" w:type="dxa"/>
            <w:vAlign w:val="bottom"/>
            <w:tcBorders>
              <w:top w:val="single" w:sz="8" w:color="1E1E1E"/>
            </w:tcBorders>
          </w:tcPr>
          <w:p>
            <w:pPr>
              <w:spacing w:after="0"/>
              <w:rPr>
                <w:sz w:val="21"/>
                <w:szCs w:val="21"/>
                <w:color w:val="auto"/>
              </w:rPr>
            </w:pPr>
          </w:p>
        </w:tc>
        <w:tc>
          <w:tcPr>
            <w:tcW w:w="140" w:type="dxa"/>
            <w:vAlign w:val="bottom"/>
            <w:tcBorders>
              <w:top w:val="single" w:sz="8" w:color="1E1E1E"/>
            </w:tcBorders>
          </w:tcPr>
          <w:p>
            <w:pPr>
              <w:spacing w:after="0"/>
              <w:rPr>
                <w:sz w:val="21"/>
                <w:szCs w:val="21"/>
                <w:color w:val="auto"/>
              </w:rPr>
            </w:pPr>
          </w:p>
        </w:tc>
        <w:tc>
          <w:tcPr>
            <w:tcW w:w="100" w:type="dxa"/>
            <w:vAlign w:val="bottom"/>
            <w:tcBorders>
              <w:top w:val="single" w:sz="8" w:color="1E1E1E"/>
              <w:bottom w:val="single" w:sz="8" w:color="1E1E1E"/>
            </w:tcBorders>
          </w:tcPr>
          <w:p>
            <w:pPr>
              <w:spacing w:after="0"/>
              <w:rPr>
                <w:sz w:val="21"/>
                <w:szCs w:val="21"/>
                <w:color w:val="auto"/>
              </w:rPr>
            </w:pPr>
          </w:p>
        </w:tc>
        <w:tc>
          <w:tcPr>
            <w:tcW w:w="1110" w:type="dxa"/>
            <w:vAlign w:val="bottom"/>
            <w:tcBorders>
              <w:top w:val="single" w:sz="8" w:color="1E1E1E"/>
              <w:bottom w:val="single" w:sz="8" w:color="1E1E1E"/>
            </w:tcBorders>
          </w:tcPr>
          <w:p>
            <w:pPr>
              <w:spacing w:after="0"/>
              <w:rPr>
                <w:sz w:val="21"/>
                <w:szCs w:val="21"/>
                <w:color w:val="auto"/>
              </w:rPr>
            </w:pPr>
          </w:p>
        </w:tc>
        <w:tc>
          <w:tcPr>
            <w:tcW w:w="350" w:type="dxa"/>
            <w:vAlign w:val="bottom"/>
            <w:tcBorders>
              <w:top w:val="single" w:sz="8" w:color="1E1E1E"/>
              <w:bottom w:val="single" w:sz="8" w:color="1E1E1E"/>
            </w:tcBorders>
          </w:tcPr>
          <w:p>
            <w:pPr>
              <w:spacing w:after="0"/>
              <w:rPr>
                <w:sz w:val="21"/>
                <w:szCs w:val="21"/>
                <w:color w:val="auto"/>
              </w:rPr>
            </w:pPr>
          </w:p>
        </w:tc>
        <w:tc>
          <w:tcPr>
            <w:tcW w:w="1200" w:type="dxa"/>
            <w:vAlign w:val="bottom"/>
            <w:tcBorders>
              <w:top w:val="single" w:sz="8" w:color="1E1E1E"/>
              <w:bottom w:val="single" w:sz="8" w:color="1E1E1E"/>
            </w:tcBorders>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1E1E1E"/>
                <w:w w:val="98"/>
              </w:rPr>
              <w:t>Fiscal Year</w:t>
            </w:r>
          </w:p>
        </w:tc>
        <w:tc>
          <w:tcPr>
            <w:tcW w:w="260" w:type="dxa"/>
            <w:vAlign w:val="bottom"/>
            <w:tcBorders>
              <w:top w:val="single" w:sz="8" w:color="1E1E1E"/>
              <w:bottom w:val="single" w:sz="8" w:color="1E1E1E"/>
            </w:tcBorders>
          </w:tcPr>
          <w:p>
            <w:pPr>
              <w:spacing w:after="0"/>
              <w:rPr>
                <w:sz w:val="21"/>
                <w:szCs w:val="21"/>
                <w:color w:val="auto"/>
              </w:rPr>
            </w:pPr>
          </w:p>
        </w:tc>
        <w:tc>
          <w:tcPr>
            <w:tcW w:w="1110" w:type="dxa"/>
            <w:vAlign w:val="bottom"/>
            <w:tcBorders>
              <w:top w:val="single" w:sz="8" w:color="1E1E1E"/>
              <w:bottom w:val="single" w:sz="8" w:color="1E1E1E"/>
            </w:tcBorders>
          </w:tcPr>
          <w:p>
            <w:pPr>
              <w:spacing w:after="0"/>
              <w:rPr>
                <w:sz w:val="21"/>
                <w:szCs w:val="21"/>
                <w:color w:val="auto"/>
              </w:rPr>
            </w:pPr>
          </w:p>
        </w:tc>
        <w:tc>
          <w:tcPr>
            <w:tcW w:w="90" w:type="dxa"/>
            <w:vAlign w:val="bottom"/>
            <w:tcBorders>
              <w:top w:val="single" w:sz="8" w:color="1E1E1E"/>
              <w:bottom w:val="single" w:sz="8" w:color="1E1E1E"/>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880" w:type="dxa"/>
            <w:vAlign w:val="bottom"/>
            <w:tcBorders>
              <w:bottom w:val="single" w:sz="8" w:color="1E1E1E"/>
            </w:tcBorders>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350" w:type="dxa"/>
            <w:vAlign w:val="bottom"/>
            <w:tcBorders>
              <w:bottom w:val="single" w:sz="8" w:color="1E1E1E"/>
            </w:tcBorders>
          </w:tcPr>
          <w:p>
            <w:pPr>
              <w:spacing w:after="0"/>
              <w:rPr>
                <w:sz w:val="20"/>
                <w:szCs w:val="20"/>
                <w:color w:val="auto"/>
              </w:rPr>
            </w:pP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90" w:type="dxa"/>
            <w:vAlign w:val="bottom"/>
            <w:tcBorders>
              <w:bottom w:val="single" w:sz="8" w:color="1E1E1E"/>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90" w:type="dxa"/>
            <w:vAlign w:val="bottom"/>
            <w:tcBorders>
              <w:bottom w:val="single" w:sz="8" w:color="1E1E1E"/>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Net earnings (loss)</w:t>
            </w:r>
          </w:p>
        </w:tc>
        <w:tc>
          <w:tcPr>
            <w:tcW w:w="14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1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13,269</w:t>
            </w:r>
          </w:p>
        </w:tc>
        <w:tc>
          <w:tcPr>
            <w:tcW w:w="35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1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(18,890)</w:t>
            </w:r>
          </w:p>
        </w:tc>
        <w:tc>
          <w:tcPr>
            <w:tcW w:w="90" w:type="dxa"/>
            <w:vAlign w:val="bottom"/>
            <w:shd w:val="clear" w:color="auto" w:fill="E4E4E4"/>
          </w:tcPr>
          <w:p>
            <w:pPr>
              <w:spacing w:after="0"/>
              <w:rPr>
                <w:sz w:val="20"/>
                <w:szCs w:val="20"/>
                <w:color w:val="auto"/>
              </w:rPr>
            </w:pPr>
          </w:p>
        </w:tc>
        <w:tc>
          <w:tcPr>
            <w:tcW w:w="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1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(16,827)</w:t>
            </w:r>
          </w:p>
        </w:tc>
        <w:tc>
          <w:tcPr>
            <w:tcW w:w="90" w:type="dxa"/>
            <w:vAlign w:val="bottom"/>
            <w:shd w:val="clear" w:color="auto" w:fill="E4E4E4"/>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5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Other comprehensive income (loss):</w:t>
            </w:r>
          </w:p>
        </w:tc>
        <w:tc>
          <w:tcPr>
            <w:tcW w:w="14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110" w:type="dxa"/>
            <w:vAlign w:val="bottom"/>
            <w:tcBorders>
              <w:bottom w:val="single" w:sz="8" w:color="E4E4E4"/>
            </w:tcBorders>
          </w:tcPr>
          <w:p>
            <w:pPr>
              <w:spacing w:after="0"/>
              <w:rPr>
                <w:sz w:val="21"/>
                <w:szCs w:val="21"/>
                <w:color w:val="auto"/>
              </w:rPr>
            </w:pPr>
          </w:p>
        </w:tc>
        <w:tc>
          <w:tcPr>
            <w:tcW w:w="350" w:type="dxa"/>
            <w:vAlign w:val="bottom"/>
            <w:tcBorders>
              <w:bottom w:val="single" w:sz="8" w:color="E4E4E4"/>
            </w:tcBorders>
          </w:tcPr>
          <w:p>
            <w:pPr>
              <w:spacing w:after="0"/>
              <w:rPr>
                <w:sz w:val="21"/>
                <w:szCs w:val="21"/>
                <w:color w:val="auto"/>
              </w:rPr>
            </w:pPr>
          </w:p>
        </w:tc>
        <w:tc>
          <w:tcPr>
            <w:tcW w:w="1110" w:type="dxa"/>
            <w:vAlign w:val="bottom"/>
            <w:tcBorders>
              <w:bottom w:val="single" w:sz="8" w:color="E4E4E4"/>
            </w:tcBorders>
          </w:tcPr>
          <w:p>
            <w:pPr>
              <w:spacing w:after="0"/>
              <w:rPr>
                <w:sz w:val="21"/>
                <w:szCs w:val="21"/>
                <w:color w:val="auto"/>
              </w:rPr>
            </w:pPr>
          </w:p>
        </w:tc>
        <w:tc>
          <w:tcPr>
            <w:tcW w:w="90" w:type="dxa"/>
            <w:vAlign w:val="bottom"/>
            <w:tcBorders>
              <w:bottom w:val="single" w:sz="8" w:color="E4E4E4"/>
            </w:tcBorders>
          </w:tcPr>
          <w:p>
            <w:pPr>
              <w:spacing w:after="0"/>
              <w:rPr>
                <w:sz w:val="21"/>
                <w:szCs w:val="21"/>
                <w:color w:val="auto"/>
              </w:rPr>
            </w:pPr>
          </w:p>
        </w:tc>
        <w:tc>
          <w:tcPr>
            <w:tcW w:w="260" w:type="dxa"/>
            <w:vAlign w:val="bottom"/>
            <w:tcBorders>
              <w:bottom w:val="single" w:sz="8" w:color="E4E4E4"/>
            </w:tcBorders>
          </w:tcPr>
          <w:p>
            <w:pPr>
              <w:spacing w:after="0"/>
              <w:rPr>
                <w:sz w:val="21"/>
                <w:szCs w:val="21"/>
                <w:color w:val="auto"/>
              </w:rPr>
            </w:pPr>
          </w:p>
        </w:tc>
        <w:tc>
          <w:tcPr>
            <w:tcW w:w="1110" w:type="dxa"/>
            <w:vAlign w:val="bottom"/>
            <w:tcBorders>
              <w:bottom w:val="single" w:sz="8" w:color="E4E4E4"/>
            </w:tcBorders>
          </w:tcPr>
          <w:p>
            <w:pPr>
              <w:spacing w:after="0"/>
              <w:rPr>
                <w:sz w:val="21"/>
                <w:szCs w:val="21"/>
                <w:color w:val="auto"/>
              </w:rPr>
            </w:pPr>
          </w:p>
        </w:tc>
        <w:tc>
          <w:tcPr>
            <w:tcW w:w="90" w:type="dxa"/>
            <w:vAlign w:val="bottom"/>
            <w:tcBorders>
              <w:bottom w:val="single" w:sz="8" w:color="E4E4E4"/>
            </w:tcBorders>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5880" w:type="dxa"/>
            <w:vAlign w:val="bottom"/>
            <w:shd w:val="clear" w:color="auto" w:fill="E4E4E4"/>
          </w:tcPr>
          <w:p>
            <w:pPr>
              <w:ind w:left="200"/>
              <w:spacing w:after="0" w:line="225" w:lineRule="exact"/>
              <w:rPr>
                <w:sz w:val="20"/>
                <w:szCs w:val="20"/>
                <w:color w:val="auto"/>
              </w:rPr>
            </w:pPr>
            <w:r>
              <w:rPr>
                <w:rFonts w:ascii="Times New Roman" w:cs="Times New Roman" w:eastAsia="Times New Roman" w:hAnsi="Times New Roman"/>
                <w:sz w:val="20"/>
                <w:szCs w:val="20"/>
                <w:color w:val="1E1E1E"/>
              </w:rPr>
              <w:t>Postretirement liability adjustment</w:t>
            </w:r>
          </w:p>
        </w:tc>
        <w:tc>
          <w:tcPr>
            <w:tcW w:w="1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1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(1,161)</w:t>
            </w:r>
          </w:p>
        </w:tc>
        <w:tc>
          <w:tcPr>
            <w:tcW w:w="350" w:type="dxa"/>
            <w:vAlign w:val="bottom"/>
            <w:shd w:val="clear" w:color="auto" w:fill="E4E4E4"/>
          </w:tcPr>
          <w:p>
            <w:pPr>
              <w:spacing w:after="0"/>
              <w:rPr>
                <w:sz w:val="19"/>
                <w:szCs w:val="19"/>
                <w:color w:val="auto"/>
              </w:rPr>
            </w:pPr>
          </w:p>
        </w:tc>
        <w:tc>
          <w:tcPr>
            <w:tcW w:w="111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(1,557)</w:t>
            </w:r>
          </w:p>
        </w:tc>
        <w:tc>
          <w:tcPr>
            <w:tcW w:w="9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1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99</w:t>
            </w:r>
          </w:p>
        </w:tc>
        <w:tc>
          <w:tcPr>
            <w:tcW w:w="90" w:type="dxa"/>
            <w:vAlign w:val="bottom"/>
            <w:shd w:val="clear" w:color="auto" w:fill="E4E4E4"/>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5880" w:type="dxa"/>
            <w:vAlign w:val="bottom"/>
            <w:tcBorders>
              <w:bottom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Foreign currency translation adjustment</w:t>
            </w:r>
          </w:p>
        </w:tc>
        <w:tc>
          <w:tcPr>
            <w:tcW w:w="14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9,695</w:t>
            </w:r>
          </w:p>
        </w:tc>
        <w:tc>
          <w:tcPr>
            <w:tcW w:w="35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(4,243)</w:t>
            </w:r>
          </w:p>
        </w:tc>
        <w:tc>
          <w:tcPr>
            <w:tcW w:w="260" w:type="dxa"/>
            <w:vAlign w:val="bottom"/>
            <w:tcBorders>
              <w:bottom w:val="single" w:sz="8" w:color="1E1E1E"/>
            </w:tcBorders>
          </w:tcPr>
          <w:p>
            <w:pPr>
              <w:spacing w:after="0"/>
              <w:rPr>
                <w:sz w:val="21"/>
                <w:szCs w:val="21"/>
                <w:color w:val="auto"/>
              </w:rPr>
            </w:pP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1,488</w:t>
            </w:r>
          </w:p>
        </w:tc>
        <w:tc>
          <w:tcPr>
            <w:tcW w:w="90" w:type="dxa"/>
            <w:vAlign w:val="bottom"/>
            <w:tcBorders>
              <w:bottom w:val="single" w:sz="8" w:color="1E1E1E"/>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880" w:type="dxa"/>
            <w:vAlign w:val="bottom"/>
            <w:tcBorders>
              <w:bottom w:val="single" w:sz="8" w:color="1E1E1E"/>
            </w:tcBorders>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Total other comprehensive income (loss)</w:t>
            </w:r>
          </w:p>
        </w:tc>
        <w:tc>
          <w:tcPr>
            <w:tcW w:w="14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11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8,534</w:t>
            </w:r>
          </w:p>
        </w:tc>
        <w:tc>
          <w:tcPr>
            <w:tcW w:w="350" w:type="dxa"/>
            <w:vAlign w:val="bottom"/>
            <w:tcBorders>
              <w:bottom w:val="single" w:sz="8" w:color="1E1E1E"/>
            </w:tcBorders>
            <w:shd w:val="clear" w:color="auto" w:fill="E4E4E4"/>
          </w:tcPr>
          <w:p>
            <w:pPr>
              <w:spacing w:after="0"/>
              <w:rPr>
                <w:sz w:val="20"/>
                <w:szCs w:val="20"/>
                <w:color w:val="auto"/>
              </w:rPr>
            </w:pPr>
          </w:p>
        </w:tc>
        <w:tc>
          <w:tcPr>
            <w:tcW w:w="111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(5,800)</w:t>
            </w:r>
          </w:p>
        </w:tc>
        <w:tc>
          <w:tcPr>
            <w:tcW w:w="90" w:type="dxa"/>
            <w:vAlign w:val="bottom"/>
            <w:tcBorders>
              <w:bottom w:val="single" w:sz="8" w:color="1E1E1E"/>
            </w:tcBorders>
            <w:shd w:val="clear" w:color="auto" w:fill="E4E4E4"/>
          </w:tcPr>
          <w:p>
            <w:pPr>
              <w:spacing w:after="0"/>
              <w:rPr>
                <w:sz w:val="20"/>
                <w:szCs w:val="20"/>
                <w:color w:val="auto"/>
              </w:rPr>
            </w:pPr>
          </w:p>
        </w:tc>
        <w:tc>
          <w:tcPr>
            <w:tcW w:w="260" w:type="dxa"/>
            <w:vAlign w:val="bottom"/>
            <w:tcBorders>
              <w:bottom w:val="single" w:sz="8" w:color="1E1E1E"/>
            </w:tcBorders>
            <w:shd w:val="clear" w:color="auto" w:fill="E4E4E4"/>
          </w:tcPr>
          <w:p>
            <w:pPr>
              <w:spacing w:after="0"/>
              <w:rPr>
                <w:sz w:val="20"/>
                <w:szCs w:val="20"/>
                <w:color w:val="auto"/>
              </w:rPr>
            </w:pPr>
          </w:p>
        </w:tc>
        <w:tc>
          <w:tcPr>
            <w:tcW w:w="111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1,587</w:t>
            </w:r>
          </w:p>
        </w:tc>
        <w:tc>
          <w:tcPr>
            <w:tcW w:w="90" w:type="dxa"/>
            <w:vAlign w:val="bottom"/>
            <w:tcBorders>
              <w:bottom w:val="single" w:sz="8" w:color="1E1E1E"/>
            </w:tcBorders>
            <w:shd w:val="clear" w:color="auto" w:fill="E4E4E4"/>
          </w:tcPr>
          <w:p>
            <w:pPr>
              <w:spacing w:after="0"/>
              <w:rPr>
                <w:sz w:val="20"/>
                <w:szCs w:val="20"/>
                <w:color w:val="auto"/>
              </w:rPr>
            </w:pPr>
          </w:p>
        </w:tc>
      </w:tr>
      <w:tr>
        <w:trPr>
          <w:trHeight w:val="234"/>
        </w:trPr>
        <w:tc>
          <w:tcPr>
            <w:tcW w:w="20" w:type="dxa"/>
            <w:vAlign w:val="bottom"/>
            <w:tcBorders>
              <w:bottom w:val="single" w:sz="8" w:color="1E1E1E"/>
            </w:tcBorders>
          </w:tcPr>
          <w:p>
            <w:pPr>
              <w:spacing w:after="0"/>
              <w:rPr>
                <w:sz w:val="20"/>
                <w:szCs w:val="20"/>
                <w:color w:val="auto"/>
              </w:rPr>
            </w:pPr>
          </w:p>
        </w:tc>
        <w:tc>
          <w:tcPr>
            <w:tcW w:w="5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Comprehensive Income (Loss)</w:t>
            </w:r>
          </w:p>
        </w:tc>
        <w:tc>
          <w:tcPr>
            <w:tcW w:w="24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21,803</w:t>
            </w:r>
          </w:p>
        </w:tc>
        <w:tc>
          <w:tcPr>
            <w:tcW w:w="35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(24,690)</w:t>
            </w:r>
          </w:p>
        </w:tc>
        <w:tc>
          <w:tcPr>
            <w:tcW w:w="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(15,240)</w:t>
            </w: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588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10" w:type="dxa"/>
            <w:vAlign w:val="bottom"/>
            <w:tcBorders>
              <w:bottom w:val="single" w:sz="8" w:color="1E1E1E"/>
            </w:tcBorders>
          </w:tcPr>
          <w:p>
            <w:pPr>
              <w:spacing w:after="0" w:line="20" w:lineRule="exact"/>
              <w:rPr>
                <w:sz w:val="1"/>
                <w:szCs w:val="1"/>
                <w:color w:val="auto"/>
              </w:rPr>
            </w:pPr>
          </w:p>
        </w:tc>
        <w:tc>
          <w:tcPr>
            <w:tcW w:w="350" w:type="dxa"/>
            <w:vAlign w:val="bottom"/>
            <w:tcBorders>
              <w:bottom w:val="single" w:sz="8" w:color="1E1E1E"/>
            </w:tcBorders>
          </w:tcPr>
          <w:p>
            <w:pPr>
              <w:spacing w:after="0" w:line="20" w:lineRule="exact"/>
              <w:rPr>
                <w:sz w:val="1"/>
                <w:szCs w:val="1"/>
                <w:color w:val="auto"/>
              </w:rPr>
            </w:pPr>
          </w:p>
        </w:tc>
        <w:tc>
          <w:tcPr>
            <w:tcW w:w="111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11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r>
    </w:tbl>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2240" w:h="15840" w:orient="portrait"/>
          <w:cols w:equalWidth="0" w:num="1">
            <w:col w:w="10260"/>
          </w:cols>
          <w:pgMar w:left="980" w:top="1440"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50</w:t>
      </w:r>
    </w:p>
    <w:p>
      <w:pPr>
        <w:sectPr>
          <w:pgSz w:w="12240" w:h="15840" w:orient="portrait"/>
          <w:cols w:equalWidth="0" w:num="1">
            <w:col w:w="10260"/>
          </w:cols>
          <w:pgMar w:left="980" w:top="1440" w:right="1000" w:bottom="178" w:gutter="0" w:footer="0" w:header="0"/>
          <w:type w:val="continuous"/>
        </w:sectPr>
      </w:pPr>
    </w:p>
    <w:bookmarkStart w:id="57" w:name="page58"/>
    <w:bookmarkEnd w:id="57"/>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Consolidated Statements of Cash Flows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163195</wp:posOffset>
                </wp:positionV>
                <wp:extent cx="651002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6095">
                          <a:solidFill>
                            <a:srgbClr val="1E1E1E"/>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85pt" to="512.3pt,12.85pt" o:allowincell="f" strokecolor="#1E1E1E" strokeweight="0.4799pt"/>
            </w:pict>
          </mc:Fallback>
        </mc:AlternateConten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1E1E1E"/>
            </w:tcBorders>
          </w:tcPr>
          <w:p>
            <w:pPr>
              <w:spacing w:after="0"/>
              <w:rPr>
                <w:sz w:val="15"/>
                <w:szCs w:val="15"/>
                <w:color w:val="auto"/>
              </w:rPr>
            </w:pPr>
          </w:p>
        </w:tc>
        <w:tc>
          <w:tcPr>
            <w:tcW w:w="1400" w:type="dxa"/>
            <w:vAlign w:val="bottom"/>
            <w:tcBorders>
              <w:bottom w:val="single" w:sz="8" w:color="1E1E1E"/>
            </w:tcBorders>
          </w:tcPr>
          <w:p>
            <w:pPr>
              <w:spacing w:after="0"/>
              <w:rPr>
                <w:sz w:val="15"/>
                <w:szCs w:val="15"/>
                <w:color w:val="auto"/>
              </w:rPr>
            </w:pPr>
          </w:p>
        </w:tc>
        <w:tc>
          <w:tcPr>
            <w:tcW w:w="80" w:type="dxa"/>
            <w:vAlign w:val="bottom"/>
            <w:tcBorders>
              <w:bottom w:val="single" w:sz="8" w:color="1E1E1E"/>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1480" w:type="dxa"/>
            <w:vAlign w:val="bottom"/>
            <w:tcBorders>
              <w:bottom w:val="single" w:sz="8" w:color="1E1E1E"/>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1E1E1E"/>
              </w:rPr>
              <w:t>Fiscal Year</w:t>
            </w:r>
          </w:p>
        </w:tc>
        <w:tc>
          <w:tcPr>
            <w:tcW w:w="100" w:type="dxa"/>
            <w:vAlign w:val="bottom"/>
            <w:tcBorders>
              <w:bottom w:val="single" w:sz="8" w:color="1E1E1E"/>
            </w:tcBorders>
          </w:tcPr>
          <w:p>
            <w:pPr>
              <w:spacing w:after="0"/>
              <w:rPr>
                <w:sz w:val="15"/>
                <w:szCs w:val="15"/>
                <w:color w:val="auto"/>
              </w:rPr>
            </w:pPr>
          </w:p>
        </w:tc>
        <w:tc>
          <w:tcPr>
            <w:tcW w:w="1420" w:type="dxa"/>
            <w:vAlign w:val="bottom"/>
            <w:tcBorders>
              <w:bottom w:val="single" w:sz="8" w:color="1E1E1E"/>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r>
      <w:tr>
        <w:trPr>
          <w:trHeight w:val="162"/>
        </w:trPr>
        <w:tc>
          <w:tcPr>
            <w:tcW w:w="5440" w:type="dxa"/>
            <w:vAlign w:val="bottom"/>
            <w:tcBorders>
              <w:bottom w:val="single" w:sz="8" w:color="E4E4E4"/>
            </w:tcBorders>
          </w:tcPr>
          <w:p>
            <w:pPr>
              <w:spacing w:after="0"/>
              <w:rPr>
                <w:sz w:val="14"/>
                <w:szCs w:val="14"/>
                <w:color w:val="auto"/>
              </w:rPr>
            </w:pPr>
          </w:p>
        </w:tc>
        <w:tc>
          <w:tcPr>
            <w:tcW w:w="20" w:type="dxa"/>
            <w:vAlign w:val="bottom"/>
            <w:tcBorders>
              <w:bottom w:val="single" w:sz="8" w:color="E4E4E4"/>
            </w:tcBorders>
          </w:tcPr>
          <w:p>
            <w:pPr>
              <w:spacing w:after="0"/>
              <w:rPr>
                <w:sz w:val="14"/>
                <w:szCs w:val="14"/>
                <w:color w:val="auto"/>
              </w:rPr>
            </w:pPr>
          </w:p>
        </w:tc>
        <w:tc>
          <w:tcPr>
            <w:tcW w:w="80" w:type="dxa"/>
            <w:vAlign w:val="bottom"/>
            <w:tcBorders>
              <w:bottom w:val="single" w:sz="8" w:color="1E1E1E"/>
            </w:tcBorders>
          </w:tcPr>
          <w:p>
            <w:pPr>
              <w:spacing w:after="0"/>
              <w:rPr>
                <w:sz w:val="14"/>
                <w:szCs w:val="14"/>
                <w:color w:val="auto"/>
              </w:rPr>
            </w:pP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2026</w:t>
            </w:r>
          </w:p>
        </w:tc>
        <w:tc>
          <w:tcPr>
            <w:tcW w:w="80" w:type="dxa"/>
            <w:vAlign w:val="bottom"/>
            <w:tcBorders>
              <w:bottom w:val="single" w:sz="8" w:color="1E1E1E"/>
            </w:tcBorders>
          </w:tcPr>
          <w:p>
            <w:pPr>
              <w:spacing w:after="0"/>
              <w:rPr>
                <w:sz w:val="14"/>
                <w:szCs w:val="14"/>
                <w:color w:val="auto"/>
              </w:rPr>
            </w:pPr>
          </w:p>
        </w:tc>
        <w:tc>
          <w:tcPr>
            <w:tcW w:w="120" w:type="dxa"/>
            <w:vAlign w:val="bottom"/>
            <w:tcBorders>
              <w:bottom w:val="single" w:sz="8" w:color="1E1E1E"/>
            </w:tcBorders>
          </w:tcPr>
          <w:p>
            <w:pPr>
              <w:spacing w:after="0"/>
              <w:rPr>
                <w:sz w:val="14"/>
                <w:szCs w:val="14"/>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2025</w:t>
            </w:r>
          </w:p>
        </w:tc>
        <w:tc>
          <w:tcPr>
            <w:tcW w:w="100" w:type="dxa"/>
            <w:vAlign w:val="bottom"/>
            <w:tcBorders>
              <w:bottom w:val="single" w:sz="8" w:color="1E1E1E"/>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1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2024</w:t>
            </w:r>
          </w:p>
        </w:tc>
        <w:tc>
          <w:tcPr>
            <w:tcW w:w="100" w:type="dxa"/>
            <w:vAlign w:val="bottom"/>
            <w:tcBorders>
              <w:bottom w:val="single" w:sz="8" w:color="1E1E1E"/>
            </w:tcBorders>
          </w:tcPr>
          <w:p>
            <w:pPr>
              <w:spacing w:after="0"/>
              <w:rPr>
                <w:sz w:val="14"/>
                <w:szCs w:val="14"/>
                <w:color w:val="auto"/>
              </w:rPr>
            </w:pPr>
          </w:p>
        </w:tc>
      </w:tr>
      <w:tr>
        <w:trPr>
          <w:trHeight w:val="167"/>
        </w:trPr>
        <w:tc>
          <w:tcPr>
            <w:tcW w:w="5440" w:type="dxa"/>
            <w:vAlign w:val="bottom"/>
            <w:shd w:val="clear" w:color="auto" w:fill="E4E4E4"/>
          </w:tcPr>
          <w:p>
            <w:pPr>
              <w:spacing w:after="0"/>
              <w:rPr>
                <w:sz w:val="20"/>
                <w:szCs w:val="20"/>
                <w:color w:val="auto"/>
              </w:rPr>
            </w:pPr>
            <w:r>
              <w:rPr>
                <w:rFonts w:ascii="Times New Roman" w:cs="Times New Roman" w:eastAsia="Times New Roman" w:hAnsi="Times New Roman"/>
                <w:sz w:val="14"/>
                <w:szCs w:val="14"/>
                <w:b w:val="1"/>
                <w:bCs w:val="1"/>
                <w:color w:val="1E1E1E"/>
              </w:rPr>
              <w:t>CASH FLOWS FROM OPERATING ACTIVITIES:</w:t>
            </w:r>
          </w:p>
        </w:tc>
        <w:tc>
          <w:tcPr>
            <w:tcW w:w="20" w:type="dxa"/>
            <w:vAlign w:val="bottom"/>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c>
          <w:tcPr>
            <w:tcW w:w="1400" w:type="dxa"/>
            <w:vAlign w:val="bottom"/>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138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42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r>
      <w:tr>
        <w:trPr>
          <w:trHeight w:val="173"/>
        </w:trPr>
        <w:tc>
          <w:tcPr>
            <w:tcW w:w="54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4"/>
                <w:szCs w:val="14"/>
                <w:color w:val="1E1E1E"/>
              </w:rPr>
              <w:t>Net earnings (loss)</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0"/>
                <w:szCs w:val="10"/>
                <w:b w:val="1"/>
                <w:bCs w:val="1"/>
                <w:color w:val="1E1E1E"/>
                <w:w w:val="79"/>
              </w:rPr>
              <w:t>$</w:t>
            </w: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13,269</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14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4"/>
                <w:szCs w:val="14"/>
                <w:color w:val="1E1E1E"/>
              </w:rPr>
              <w:t>(18,890)</w:t>
            </w:r>
          </w:p>
        </w:tc>
        <w:tc>
          <w:tcPr>
            <w:tcW w:w="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1520" w:type="dxa"/>
            <w:vAlign w:val="bottom"/>
            <w:tcBorders>
              <w:bottom w:val="single" w:sz="8" w:color="E4E4E4"/>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1E1E1E"/>
              </w:rPr>
              <w:t>(16,827)</w:t>
            </w:r>
          </w:p>
        </w:tc>
      </w:tr>
      <w:tr>
        <w:trPr>
          <w:trHeight w:val="158"/>
        </w:trPr>
        <w:tc>
          <w:tcPr>
            <w:tcW w:w="5440" w:type="dxa"/>
            <w:vAlign w:val="bottom"/>
            <w:shd w:val="clear" w:color="auto" w:fill="E4E4E4"/>
          </w:tcPr>
          <w:p>
            <w:pPr>
              <w:spacing w:after="0" w:line="157" w:lineRule="exact"/>
              <w:rPr>
                <w:sz w:val="20"/>
                <w:szCs w:val="20"/>
                <w:color w:val="auto"/>
              </w:rPr>
            </w:pPr>
            <w:r>
              <w:rPr>
                <w:rFonts w:ascii="Times New Roman" w:cs="Times New Roman" w:eastAsia="Times New Roman" w:hAnsi="Times New Roman"/>
                <w:sz w:val="14"/>
                <w:szCs w:val="14"/>
                <w:color w:val="1E1E1E"/>
              </w:rPr>
              <w:t>Adjustments to reconcile net earnings (loss) to net cash provided by operating activities: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Depreciation and amortization</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53,325</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52,464</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49,441</w:t>
            </w: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Deferred income taxes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(1,208</w:t>
            </w:r>
          </w:p>
        </w:tc>
        <w:tc>
          <w:tcPr>
            <w:tcW w:w="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b w:val="1"/>
                <w:bCs w:val="1"/>
                <w:color w:val="1E1E1E"/>
                <w:w w:val="73"/>
                <w:shd w:val="clear" w:color="auto" w:fill="E4E4E4"/>
              </w:rPr>
              <w:t>)</w:t>
            </w: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26,758</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3,452</w:t>
            </w:r>
          </w:p>
        </w:tc>
        <w:tc>
          <w:tcPr>
            <w:tcW w:w="100" w:type="dxa"/>
            <w:vAlign w:val="bottom"/>
            <w:shd w:val="clear" w:color="auto" w:fill="E4E4E4"/>
          </w:tcPr>
          <w:p>
            <w:pPr>
              <w:spacing w:after="0"/>
              <w:rPr>
                <w:sz w:val="13"/>
                <w:szCs w:val="13"/>
                <w:color w:val="auto"/>
              </w:rPr>
            </w:pP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Goodwill impairment</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1E1E1E"/>
              </w:rPr>
              <w:t>—</w:t>
            </w:r>
          </w:p>
        </w:tc>
        <w:tc>
          <w:tcPr>
            <w:tcW w:w="12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28,453</w:t>
            </w: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Impairment of long-lived assets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4,374</w:t>
            </w: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1,384</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958</w:t>
            </w:r>
          </w:p>
        </w:tc>
        <w:tc>
          <w:tcPr>
            <w:tcW w:w="100" w:type="dxa"/>
            <w:vAlign w:val="bottom"/>
            <w:shd w:val="clear" w:color="auto" w:fill="E4E4E4"/>
          </w:tcPr>
          <w:p>
            <w:pPr>
              <w:spacing w:after="0"/>
              <w:rPr>
                <w:sz w:val="13"/>
                <w:szCs w:val="13"/>
                <w:color w:val="auto"/>
              </w:rPr>
            </w:pP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Share-based compensation expense</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12,241</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12,866</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14,014</w:t>
            </w:r>
          </w:p>
        </w:tc>
        <w:tc>
          <w:tcPr>
            <w:tcW w:w="100" w:type="dxa"/>
            <w:vAlign w:val="bottom"/>
            <w:tcBorders>
              <w:bottom w:val="single" w:sz="8" w:color="E4E4E4"/>
            </w:tcBorders>
          </w:tcPr>
          <w:p>
            <w:pPr>
              <w:spacing w:after="0"/>
              <w:rPr>
                <w:sz w:val="15"/>
                <w:szCs w:val="15"/>
                <w:color w:val="auto"/>
              </w:rPr>
            </w:pPr>
          </w:p>
        </w:tc>
      </w:tr>
      <w:tr>
        <w:trPr>
          <w:trHeight w:val="153"/>
        </w:trPr>
        <w:tc>
          <w:tcPr>
            <w:tcW w:w="5440" w:type="dxa"/>
            <w:vAlign w:val="bottom"/>
            <w:shd w:val="clear" w:color="auto" w:fill="E4E4E4"/>
          </w:tcPr>
          <w:p>
            <w:pPr>
              <w:ind w:left="160"/>
              <w:spacing w:after="0" w:line="153" w:lineRule="exact"/>
              <w:rPr>
                <w:sz w:val="20"/>
                <w:szCs w:val="20"/>
                <w:color w:val="auto"/>
              </w:rPr>
            </w:pPr>
            <w:r>
              <w:rPr>
                <w:rFonts w:ascii="Times New Roman" w:cs="Times New Roman" w:eastAsia="Times New Roman" w:hAnsi="Times New Roman"/>
                <w:sz w:val="14"/>
                <w:szCs w:val="14"/>
                <w:color w:val="1E1E1E"/>
              </w:rPr>
              <w:t>Provision for discontinued operations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1E1E1E"/>
              </w:rPr>
              <w:t>10</w:t>
            </w: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360</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514</w:t>
            </w:r>
          </w:p>
        </w:tc>
        <w:tc>
          <w:tcPr>
            <w:tcW w:w="100" w:type="dxa"/>
            <w:vAlign w:val="bottom"/>
            <w:shd w:val="clear" w:color="auto" w:fill="E4E4E4"/>
          </w:tcPr>
          <w:p>
            <w:pPr>
              <w:spacing w:after="0"/>
              <w:rPr>
                <w:sz w:val="13"/>
                <w:szCs w:val="13"/>
                <w:color w:val="auto"/>
              </w:rPr>
            </w:pPr>
          </w:p>
        </w:tc>
      </w:tr>
      <w:tr>
        <w:trPr>
          <w:trHeight w:val="178"/>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Loss on sale of assets</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604</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502</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128</w:t>
            </w:r>
          </w:p>
        </w:tc>
        <w:tc>
          <w:tcPr>
            <w:tcW w:w="100" w:type="dxa"/>
            <w:vAlign w:val="bottom"/>
            <w:tcBorders>
              <w:bottom w:val="single" w:sz="8" w:color="E4E4E4"/>
            </w:tcBorders>
          </w:tcPr>
          <w:p>
            <w:pPr>
              <w:spacing w:after="0"/>
              <w:rPr>
                <w:sz w:val="15"/>
                <w:szCs w:val="15"/>
                <w:color w:val="auto"/>
              </w:rPr>
            </w:pPr>
          </w:p>
        </w:tc>
      </w:tr>
      <w:tr>
        <w:trPr>
          <w:trHeight w:val="153"/>
        </w:trPr>
        <w:tc>
          <w:tcPr>
            <w:tcW w:w="5440" w:type="dxa"/>
            <w:vAlign w:val="bottom"/>
            <w:shd w:val="clear" w:color="auto" w:fill="E4E4E4"/>
          </w:tcPr>
          <w:p>
            <w:pPr>
              <w:ind w:left="160"/>
              <w:spacing w:after="0" w:line="153" w:lineRule="exact"/>
              <w:rPr>
                <w:sz w:val="20"/>
                <w:szCs w:val="20"/>
                <w:color w:val="auto"/>
              </w:rPr>
            </w:pPr>
            <w:r>
              <w:rPr>
                <w:rFonts w:ascii="Times New Roman" w:cs="Times New Roman" w:eastAsia="Times New Roman" w:hAnsi="Times New Roman"/>
                <w:sz w:val="14"/>
                <w:szCs w:val="14"/>
                <w:color w:val="1E1E1E"/>
              </w:rPr>
              <w:t>Other</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1E1E1E"/>
              </w:rPr>
              <w:t>472</w:t>
            </w: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436</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1,000</w:t>
            </w:r>
          </w:p>
        </w:tc>
        <w:tc>
          <w:tcPr>
            <w:tcW w:w="100" w:type="dxa"/>
            <w:vAlign w:val="bottom"/>
            <w:shd w:val="clear" w:color="auto" w:fill="E4E4E4"/>
          </w:tcPr>
          <w:p>
            <w:pPr>
              <w:spacing w:after="0"/>
              <w:rPr>
                <w:sz w:val="13"/>
                <w:szCs w:val="13"/>
                <w:color w:val="auto"/>
              </w:rPr>
            </w:pPr>
          </w:p>
        </w:tc>
      </w:tr>
      <w:tr>
        <w:trPr>
          <w:trHeight w:val="16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1E1E1E"/>
              </w:rPr>
              <w:t>Changes in working capital and other assets and liabilities, net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44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14"/>
                <w:szCs w:val="14"/>
                <w:color w:val="1E1E1E"/>
              </w:rPr>
              <w:t>acquisitions/dispositions:</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0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Accounts receivable</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9,801</w:t>
            </w: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4,299</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(13,287</w:t>
            </w:r>
          </w:p>
        </w:tc>
        <w:tc>
          <w:tcPr>
            <w:tcW w:w="10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Inventories</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1E1E1E"/>
              </w:rPr>
              <w:t>(1,162)</w:t>
            </w:r>
          </w:p>
        </w:tc>
        <w:tc>
          <w:tcPr>
            <w:tcW w:w="12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4"/>
                <w:szCs w:val="14"/>
                <w:color w:val="1E1E1E"/>
              </w:rPr>
              <w:t>(49,080)</w:t>
            </w: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80,352</w:t>
            </w: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Prepaids and other current assets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62,304</w:t>
            </w: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(61,210</w:t>
            </w:r>
          </w:p>
        </w:tc>
        <w:tc>
          <w:tcPr>
            <w:tcW w:w="1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w w:val="84"/>
                <w:shd w:val="clear" w:color="auto" w:fill="E4E4E4"/>
              </w:rPr>
              <w:t>)</w:t>
            </w: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(13,659</w:t>
            </w:r>
          </w:p>
        </w:tc>
        <w:tc>
          <w:tcPr>
            <w:tcW w:w="10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Accounts payable</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1E1E1E"/>
              </w:rPr>
              <w:t>(13,182)</w:t>
            </w: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54,327</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520" w:type="dxa"/>
            <w:vAlign w:val="bottom"/>
            <w:tcBorders>
              <w:bottom w:val="single" w:sz="8" w:color="E4E4E4"/>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1E1E1E"/>
              </w:rPr>
              <w:t>(27,665)</w:t>
            </w: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Other accrued liabilities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9,436</w:t>
            </w: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12,066</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(2,011</w:t>
            </w:r>
          </w:p>
        </w:tc>
        <w:tc>
          <w:tcPr>
            <w:tcW w:w="10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98"/>
        </w:trPr>
        <w:tc>
          <w:tcPr>
            <w:tcW w:w="5440" w:type="dxa"/>
            <w:vAlign w:val="bottom"/>
            <w:tcBorders>
              <w:bottom w:val="single" w:sz="8" w:color="1E1E1E"/>
            </w:tcBorders>
          </w:tcPr>
          <w:p>
            <w:pPr>
              <w:ind w:left="160"/>
              <w:spacing w:after="0"/>
              <w:rPr>
                <w:sz w:val="20"/>
                <w:szCs w:val="20"/>
                <w:color w:val="auto"/>
              </w:rPr>
            </w:pPr>
            <w:r>
              <w:rPr>
                <w:rFonts w:ascii="Times New Roman" w:cs="Times New Roman" w:eastAsia="Times New Roman" w:hAnsi="Times New Roman"/>
                <w:sz w:val="14"/>
                <w:szCs w:val="14"/>
                <w:color w:val="1E1E1E"/>
              </w:rPr>
              <w:t>Other assets and liabilities</w:t>
            </w:r>
          </w:p>
        </w:tc>
        <w:tc>
          <w:tcPr>
            <w:tcW w:w="20" w:type="dxa"/>
            <w:vAlign w:val="bottom"/>
            <w:tcBorders>
              <w:bottom w:val="single" w:sz="8" w:color="1E1E1E"/>
            </w:tcBorders>
          </w:tcPr>
          <w:p>
            <w:pPr>
              <w:spacing w:after="0"/>
              <w:rPr>
                <w:sz w:val="16"/>
                <w:szCs w:val="16"/>
                <w:color w:val="auto"/>
              </w:rPr>
            </w:pPr>
          </w:p>
        </w:tc>
        <w:tc>
          <w:tcPr>
            <w:tcW w:w="80" w:type="dxa"/>
            <w:vAlign w:val="bottom"/>
            <w:tcBorders>
              <w:bottom w:val="single" w:sz="8" w:color="1E1E1E"/>
            </w:tcBorders>
          </w:tcPr>
          <w:p>
            <w:pPr>
              <w:spacing w:after="0"/>
              <w:rPr>
                <w:sz w:val="16"/>
                <w:szCs w:val="16"/>
                <w:color w:val="auto"/>
              </w:rPr>
            </w:pPr>
          </w:p>
        </w:tc>
        <w:tc>
          <w:tcPr>
            <w:tcW w:w="14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1E1E1E"/>
              </w:rPr>
              <w:t>(4,524)</w:t>
            </w:r>
          </w:p>
        </w:tc>
        <w:tc>
          <w:tcPr>
            <w:tcW w:w="120" w:type="dxa"/>
            <w:vAlign w:val="bottom"/>
            <w:tcBorders>
              <w:bottom w:val="single" w:sz="8" w:color="1E1E1E"/>
            </w:tcBorders>
          </w:tcPr>
          <w:p>
            <w:pPr>
              <w:spacing w:after="0"/>
              <w:rPr>
                <w:sz w:val="16"/>
                <w:szCs w:val="16"/>
                <w:color w:val="auto"/>
              </w:rPr>
            </w:pP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51,604</w:t>
            </w:r>
          </w:p>
        </w:tc>
        <w:tc>
          <w:tcPr>
            <w:tcW w:w="10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1520" w:type="dxa"/>
            <w:vAlign w:val="bottom"/>
            <w:tcBorders>
              <w:bottom w:val="single" w:sz="8" w:color="1E1E1E"/>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1E1E1E"/>
              </w:rPr>
              <w:t>(10,067)</w:t>
            </w:r>
          </w:p>
        </w:tc>
      </w:tr>
      <w:tr>
        <w:trPr>
          <w:trHeight w:val="147"/>
        </w:trPr>
        <w:tc>
          <w:tcPr>
            <w:tcW w:w="5440" w:type="dxa"/>
            <w:vAlign w:val="bottom"/>
            <w:tcBorders>
              <w:top w:val="single" w:sz="8" w:color="E4E4E4"/>
              <w:bottom w:val="single" w:sz="8" w:color="1E1E1E"/>
            </w:tcBorders>
            <w:shd w:val="clear" w:color="auto" w:fill="E4E4E4"/>
          </w:tcPr>
          <w:p>
            <w:pPr>
              <w:spacing w:after="0" w:line="147" w:lineRule="exact"/>
              <w:rPr>
                <w:sz w:val="20"/>
                <w:szCs w:val="20"/>
                <w:color w:val="auto"/>
              </w:rPr>
            </w:pPr>
            <w:r>
              <w:rPr>
                <w:rFonts w:ascii="Times New Roman" w:cs="Times New Roman" w:eastAsia="Times New Roman" w:hAnsi="Times New Roman"/>
                <w:sz w:val="14"/>
                <w:szCs w:val="14"/>
                <w:color w:val="1E1E1E"/>
              </w:rPr>
              <w:t>Net cash provided by operating activities</w:t>
            </w:r>
          </w:p>
        </w:tc>
        <w:tc>
          <w:tcPr>
            <w:tcW w:w="20" w:type="dxa"/>
            <w:vAlign w:val="bottom"/>
            <w:tcBorders>
              <w:top w:val="single" w:sz="8" w:color="E4E4E4"/>
              <w:bottom w:val="single" w:sz="8" w:color="1E1E1E"/>
            </w:tcBorders>
            <w:shd w:val="clear" w:color="auto" w:fill="E4E4E4"/>
          </w:tcPr>
          <w:p>
            <w:pPr>
              <w:spacing w:after="0"/>
              <w:rPr>
                <w:sz w:val="12"/>
                <w:szCs w:val="12"/>
                <w:color w:val="auto"/>
              </w:rPr>
            </w:pPr>
          </w:p>
        </w:tc>
        <w:tc>
          <w:tcPr>
            <w:tcW w:w="80" w:type="dxa"/>
            <w:vAlign w:val="bottom"/>
            <w:tcBorders>
              <w:top w:val="single" w:sz="8" w:color="E4E4E4"/>
              <w:bottom w:val="single" w:sz="8" w:color="1E1E1E"/>
            </w:tcBorders>
            <w:shd w:val="clear" w:color="auto" w:fill="E4E4E4"/>
          </w:tcPr>
          <w:p>
            <w:pPr>
              <w:spacing w:after="0"/>
              <w:rPr>
                <w:sz w:val="12"/>
                <w:szCs w:val="12"/>
                <w:color w:val="auto"/>
              </w:rPr>
            </w:pPr>
          </w:p>
        </w:tc>
        <w:tc>
          <w:tcPr>
            <w:tcW w:w="1400" w:type="dxa"/>
            <w:vAlign w:val="bottom"/>
            <w:tcBorders>
              <w:top w:val="single" w:sz="8" w:color="E4E4E4"/>
              <w:bottom w:val="single" w:sz="8" w:color="1E1E1E"/>
            </w:tcBorders>
            <w:shd w:val="clear" w:color="auto" w:fill="E4E4E4"/>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1E1E1E"/>
              </w:rPr>
              <w:t>145,760</w:t>
            </w:r>
          </w:p>
        </w:tc>
        <w:tc>
          <w:tcPr>
            <w:tcW w:w="80" w:type="dxa"/>
            <w:vAlign w:val="bottom"/>
            <w:tcBorders>
              <w:top w:val="single" w:sz="8" w:color="E4E4E4"/>
              <w:bottom w:val="single" w:sz="8" w:color="1E1E1E"/>
            </w:tcBorders>
            <w:shd w:val="clear" w:color="auto" w:fill="E4E4E4"/>
          </w:tcPr>
          <w:p>
            <w:pPr>
              <w:spacing w:after="0"/>
              <w:rPr>
                <w:sz w:val="12"/>
                <w:szCs w:val="12"/>
                <w:color w:val="auto"/>
              </w:rPr>
            </w:pPr>
          </w:p>
        </w:tc>
        <w:tc>
          <w:tcPr>
            <w:tcW w:w="120" w:type="dxa"/>
            <w:vAlign w:val="bottom"/>
            <w:tcBorders>
              <w:top w:val="single" w:sz="8" w:color="E4E4E4"/>
              <w:bottom w:val="single" w:sz="8" w:color="1E1E1E"/>
            </w:tcBorders>
            <w:shd w:val="clear" w:color="auto" w:fill="E4E4E4"/>
          </w:tcPr>
          <w:p>
            <w:pPr>
              <w:spacing w:after="0"/>
              <w:rPr>
                <w:sz w:val="12"/>
                <w:szCs w:val="12"/>
                <w:color w:val="auto"/>
              </w:rPr>
            </w:pPr>
          </w:p>
        </w:tc>
        <w:tc>
          <w:tcPr>
            <w:tcW w:w="1380" w:type="dxa"/>
            <w:vAlign w:val="bottom"/>
            <w:tcBorders>
              <w:top w:val="single" w:sz="8" w:color="E4E4E4"/>
              <w:bottom w:val="single" w:sz="8" w:color="1E1E1E"/>
            </w:tcBorders>
            <w:shd w:val="clear" w:color="auto" w:fill="E4E4E4"/>
          </w:tcPr>
          <w:p>
            <w:pPr>
              <w:jc w:val="right"/>
              <w:spacing w:after="0" w:line="147" w:lineRule="exact"/>
              <w:rPr>
                <w:sz w:val="20"/>
                <w:szCs w:val="20"/>
                <w:color w:val="auto"/>
              </w:rPr>
            </w:pPr>
            <w:r>
              <w:rPr>
                <w:rFonts w:ascii="Times New Roman" w:cs="Times New Roman" w:eastAsia="Times New Roman" w:hAnsi="Times New Roman"/>
                <w:sz w:val="14"/>
                <w:szCs w:val="14"/>
                <w:color w:val="1E1E1E"/>
              </w:rPr>
              <w:t>87,886</w:t>
            </w:r>
          </w:p>
        </w:tc>
        <w:tc>
          <w:tcPr>
            <w:tcW w:w="100" w:type="dxa"/>
            <w:vAlign w:val="bottom"/>
            <w:tcBorders>
              <w:top w:val="single" w:sz="8" w:color="E4E4E4"/>
              <w:bottom w:val="single" w:sz="8" w:color="1E1E1E"/>
            </w:tcBorders>
            <w:shd w:val="clear" w:color="auto" w:fill="E4E4E4"/>
          </w:tcPr>
          <w:p>
            <w:pPr>
              <w:spacing w:after="0"/>
              <w:rPr>
                <w:sz w:val="12"/>
                <w:szCs w:val="12"/>
                <w:color w:val="auto"/>
              </w:rPr>
            </w:pPr>
          </w:p>
        </w:tc>
        <w:tc>
          <w:tcPr>
            <w:tcW w:w="100" w:type="dxa"/>
            <w:vAlign w:val="bottom"/>
            <w:tcBorders>
              <w:top w:val="single" w:sz="8" w:color="E4E4E4"/>
              <w:bottom w:val="single" w:sz="8" w:color="1E1E1E"/>
            </w:tcBorders>
            <w:shd w:val="clear" w:color="auto" w:fill="E4E4E4"/>
          </w:tcPr>
          <w:p>
            <w:pPr>
              <w:spacing w:after="0"/>
              <w:rPr>
                <w:sz w:val="12"/>
                <w:szCs w:val="12"/>
                <w:color w:val="auto"/>
              </w:rPr>
            </w:pPr>
          </w:p>
        </w:tc>
        <w:tc>
          <w:tcPr>
            <w:tcW w:w="1420" w:type="dxa"/>
            <w:vAlign w:val="bottom"/>
            <w:tcBorders>
              <w:top w:val="single" w:sz="8" w:color="E4E4E4"/>
              <w:bottom w:val="single" w:sz="8" w:color="1E1E1E"/>
            </w:tcBorders>
            <w:shd w:val="clear" w:color="auto" w:fill="E4E4E4"/>
          </w:tcPr>
          <w:p>
            <w:pPr>
              <w:jc w:val="right"/>
              <w:spacing w:after="0" w:line="147" w:lineRule="exact"/>
              <w:rPr>
                <w:sz w:val="20"/>
                <w:szCs w:val="20"/>
                <w:color w:val="auto"/>
              </w:rPr>
            </w:pPr>
            <w:r>
              <w:rPr>
                <w:rFonts w:ascii="Times New Roman" w:cs="Times New Roman" w:eastAsia="Times New Roman" w:hAnsi="Times New Roman"/>
                <w:sz w:val="14"/>
                <w:szCs w:val="14"/>
                <w:color w:val="1E1E1E"/>
              </w:rPr>
              <w:t>94,796</w:t>
            </w:r>
          </w:p>
        </w:tc>
        <w:tc>
          <w:tcPr>
            <w:tcW w:w="100" w:type="dxa"/>
            <w:vAlign w:val="bottom"/>
            <w:tcBorders>
              <w:top w:val="single" w:sz="8" w:color="E4E4E4"/>
              <w:bottom w:val="single" w:sz="8" w:color="1E1E1E"/>
            </w:tcBorders>
            <w:shd w:val="clear" w:color="auto" w:fill="E4E4E4"/>
          </w:tcPr>
          <w:p>
            <w:pPr>
              <w:spacing w:after="0"/>
              <w:rPr>
                <w:sz w:val="12"/>
                <w:szCs w:val="12"/>
                <w:color w:val="auto"/>
              </w:rPr>
            </w:pPr>
          </w:p>
        </w:tc>
      </w:tr>
      <w:tr>
        <w:trPr>
          <w:trHeight w:val="162"/>
        </w:trPr>
        <w:tc>
          <w:tcPr>
            <w:tcW w:w="54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4"/>
                <w:szCs w:val="14"/>
                <w:b w:val="1"/>
                <w:bCs w:val="1"/>
                <w:color w:val="1E1E1E"/>
              </w:rPr>
              <w:t>CASH FLOWS FROM INVESTING ACTIVITIES:</w:t>
            </w:r>
          </w:p>
        </w:tc>
        <w:tc>
          <w:tcPr>
            <w:tcW w:w="20" w:type="dxa"/>
            <w:vAlign w:val="bottom"/>
            <w:tcBorders>
              <w:bottom w:val="single" w:sz="8" w:color="E4E4E4"/>
            </w:tcBorders>
          </w:tcPr>
          <w:p>
            <w:pPr>
              <w:spacing w:after="0"/>
              <w:rPr>
                <w:sz w:val="14"/>
                <w:szCs w:val="14"/>
                <w:color w:val="auto"/>
              </w:rPr>
            </w:pPr>
          </w:p>
        </w:tc>
        <w:tc>
          <w:tcPr>
            <w:tcW w:w="80" w:type="dxa"/>
            <w:vAlign w:val="bottom"/>
            <w:tcBorders>
              <w:bottom w:val="single" w:sz="8" w:color="E4E4E4"/>
            </w:tcBorders>
          </w:tcPr>
          <w:p>
            <w:pPr>
              <w:spacing w:after="0"/>
              <w:rPr>
                <w:sz w:val="14"/>
                <w:szCs w:val="14"/>
                <w:color w:val="auto"/>
              </w:rPr>
            </w:pPr>
          </w:p>
        </w:tc>
        <w:tc>
          <w:tcPr>
            <w:tcW w:w="1400" w:type="dxa"/>
            <w:vAlign w:val="bottom"/>
            <w:tcBorders>
              <w:bottom w:val="single" w:sz="8" w:color="E4E4E4"/>
            </w:tcBorders>
          </w:tcPr>
          <w:p>
            <w:pPr>
              <w:spacing w:after="0"/>
              <w:rPr>
                <w:sz w:val="14"/>
                <w:szCs w:val="14"/>
                <w:color w:val="auto"/>
              </w:rPr>
            </w:pPr>
          </w:p>
        </w:tc>
        <w:tc>
          <w:tcPr>
            <w:tcW w:w="80" w:type="dxa"/>
            <w:vAlign w:val="bottom"/>
            <w:tcBorders>
              <w:bottom w:val="single" w:sz="8" w:color="E4E4E4"/>
            </w:tcBorders>
          </w:tcPr>
          <w:p>
            <w:pPr>
              <w:spacing w:after="0"/>
              <w:rPr>
                <w:sz w:val="14"/>
                <w:szCs w:val="14"/>
                <w:color w:val="auto"/>
              </w:rPr>
            </w:pPr>
          </w:p>
        </w:tc>
        <w:tc>
          <w:tcPr>
            <w:tcW w:w="120" w:type="dxa"/>
            <w:vAlign w:val="bottom"/>
            <w:tcBorders>
              <w:bottom w:val="single" w:sz="8" w:color="E4E4E4"/>
            </w:tcBorders>
          </w:tcPr>
          <w:p>
            <w:pPr>
              <w:spacing w:after="0"/>
              <w:rPr>
                <w:sz w:val="14"/>
                <w:szCs w:val="14"/>
                <w:color w:val="auto"/>
              </w:rPr>
            </w:pPr>
          </w:p>
        </w:tc>
        <w:tc>
          <w:tcPr>
            <w:tcW w:w="1380" w:type="dxa"/>
            <w:vAlign w:val="bottom"/>
            <w:tcBorders>
              <w:bottom w:val="single" w:sz="8" w:color="E4E4E4"/>
            </w:tcBorders>
          </w:tcPr>
          <w:p>
            <w:pPr>
              <w:spacing w:after="0"/>
              <w:rPr>
                <w:sz w:val="14"/>
                <w:szCs w:val="14"/>
                <w:color w:val="auto"/>
              </w:rPr>
            </w:pPr>
          </w:p>
        </w:tc>
        <w:tc>
          <w:tcPr>
            <w:tcW w:w="100" w:type="dxa"/>
            <w:vAlign w:val="bottom"/>
            <w:tcBorders>
              <w:bottom w:val="single" w:sz="8" w:color="E4E4E4"/>
            </w:tcBorders>
          </w:tcPr>
          <w:p>
            <w:pPr>
              <w:spacing w:after="0"/>
              <w:rPr>
                <w:sz w:val="14"/>
                <w:szCs w:val="14"/>
                <w:color w:val="auto"/>
              </w:rPr>
            </w:pPr>
          </w:p>
        </w:tc>
        <w:tc>
          <w:tcPr>
            <w:tcW w:w="100" w:type="dxa"/>
            <w:vAlign w:val="bottom"/>
            <w:tcBorders>
              <w:bottom w:val="single" w:sz="8" w:color="E4E4E4"/>
            </w:tcBorders>
          </w:tcPr>
          <w:p>
            <w:pPr>
              <w:spacing w:after="0"/>
              <w:rPr>
                <w:sz w:val="14"/>
                <w:szCs w:val="14"/>
                <w:color w:val="auto"/>
              </w:rPr>
            </w:pPr>
          </w:p>
        </w:tc>
        <w:tc>
          <w:tcPr>
            <w:tcW w:w="1420" w:type="dxa"/>
            <w:vAlign w:val="bottom"/>
            <w:tcBorders>
              <w:bottom w:val="single" w:sz="8" w:color="E4E4E4"/>
            </w:tcBorders>
          </w:tcPr>
          <w:p>
            <w:pPr>
              <w:spacing w:after="0"/>
              <w:rPr>
                <w:sz w:val="14"/>
                <w:szCs w:val="14"/>
                <w:color w:val="auto"/>
              </w:rPr>
            </w:pPr>
          </w:p>
        </w:tc>
        <w:tc>
          <w:tcPr>
            <w:tcW w:w="100" w:type="dxa"/>
            <w:vAlign w:val="bottom"/>
            <w:tcBorders>
              <w:bottom w:val="single" w:sz="8" w:color="E4E4E4"/>
            </w:tcBorders>
          </w:tcPr>
          <w:p>
            <w:pPr>
              <w:spacing w:after="0"/>
              <w:rPr>
                <w:sz w:val="14"/>
                <w:szCs w:val="14"/>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Capital expenditures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(62,054</w:t>
            </w:r>
          </w:p>
        </w:tc>
        <w:tc>
          <w:tcPr>
            <w:tcW w:w="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b w:val="1"/>
                <w:bCs w:val="1"/>
                <w:color w:val="1E1E1E"/>
                <w:w w:val="73"/>
                <w:shd w:val="clear" w:color="auto" w:fill="E4E4E4"/>
              </w:rPr>
              <w:t>)</w:t>
            </w: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(41,132</w:t>
            </w:r>
          </w:p>
        </w:tc>
        <w:tc>
          <w:tcPr>
            <w:tcW w:w="1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w w:val="84"/>
                <w:shd w:val="clear" w:color="auto" w:fill="E4E4E4"/>
              </w:rPr>
              <w:t>)</w:t>
            </w: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(60,303</w:t>
            </w:r>
          </w:p>
        </w:tc>
        <w:tc>
          <w:tcPr>
            <w:tcW w:w="10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Other investing activities</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1E1E1E"/>
              </w:rPr>
              <w:t>—</w:t>
            </w:r>
          </w:p>
        </w:tc>
        <w:tc>
          <w:tcPr>
            <w:tcW w:w="12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1E1E1E"/>
              </w:rPr>
              <w:t>—</w:t>
            </w: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215</w:t>
            </w: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tcBorders>
              <w:bottom w:val="single" w:sz="8" w:color="1E1E1E"/>
            </w:tcBorders>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Proceeds from asset sales</w:t>
            </w:r>
          </w:p>
        </w:tc>
        <w:tc>
          <w:tcPr>
            <w:tcW w:w="20" w:type="dxa"/>
            <w:vAlign w:val="bottom"/>
            <w:tcBorders>
              <w:bottom w:val="single" w:sz="8" w:color="1E1E1E"/>
            </w:tcBorders>
            <w:shd w:val="clear" w:color="auto" w:fill="E4E4E4"/>
          </w:tcPr>
          <w:p>
            <w:pPr>
              <w:spacing w:after="0"/>
              <w:rPr>
                <w:sz w:val="13"/>
                <w:szCs w:val="13"/>
                <w:color w:val="auto"/>
              </w:rPr>
            </w:pPr>
          </w:p>
        </w:tc>
        <w:tc>
          <w:tcPr>
            <w:tcW w:w="80" w:type="dxa"/>
            <w:vAlign w:val="bottom"/>
            <w:tcBorders>
              <w:bottom w:val="single" w:sz="8" w:color="1E1E1E"/>
            </w:tcBorders>
            <w:shd w:val="clear" w:color="auto" w:fill="E4E4E4"/>
          </w:tcPr>
          <w:p>
            <w:pPr>
              <w:spacing w:after="0"/>
              <w:rPr>
                <w:sz w:val="13"/>
                <w:szCs w:val="13"/>
                <w:color w:val="auto"/>
              </w:rPr>
            </w:pPr>
          </w:p>
        </w:tc>
        <w:tc>
          <w:tcPr>
            <w:tcW w:w="1400" w:type="dxa"/>
            <w:vAlign w:val="bottom"/>
            <w:tcBorders>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w:t>
            </w:r>
          </w:p>
        </w:tc>
        <w:tc>
          <w:tcPr>
            <w:tcW w:w="80" w:type="dxa"/>
            <w:vAlign w:val="bottom"/>
            <w:tcBorders>
              <w:bottom w:val="single" w:sz="8" w:color="1E1E1E"/>
            </w:tcBorders>
            <w:shd w:val="clear" w:color="auto" w:fill="E4E4E4"/>
          </w:tcPr>
          <w:p>
            <w:pPr>
              <w:spacing w:after="0"/>
              <w:rPr>
                <w:sz w:val="13"/>
                <w:szCs w:val="13"/>
                <w:color w:val="auto"/>
              </w:rPr>
            </w:pPr>
          </w:p>
        </w:tc>
        <w:tc>
          <w:tcPr>
            <w:tcW w:w="120" w:type="dxa"/>
            <w:vAlign w:val="bottom"/>
            <w:tcBorders>
              <w:bottom w:val="single" w:sz="8" w:color="1E1E1E"/>
            </w:tcBorders>
            <w:shd w:val="clear" w:color="auto" w:fill="E4E4E4"/>
          </w:tcPr>
          <w:p>
            <w:pPr>
              <w:spacing w:after="0"/>
              <w:rPr>
                <w:sz w:val="13"/>
                <w:szCs w:val="13"/>
                <w:color w:val="auto"/>
              </w:rPr>
            </w:pPr>
          </w:p>
        </w:tc>
        <w:tc>
          <w:tcPr>
            <w:tcW w:w="1380" w:type="dxa"/>
            <w:vAlign w:val="bottom"/>
            <w:tcBorders>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1</w:t>
            </w:r>
          </w:p>
        </w:tc>
        <w:tc>
          <w:tcPr>
            <w:tcW w:w="100" w:type="dxa"/>
            <w:vAlign w:val="bottom"/>
            <w:tcBorders>
              <w:bottom w:val="single" w:sz="8" w:color="1E1E1E"/>
            </w:tcBorders>
            <w:shd w:val="clear" w:color="auto" w:fill="E4E4E4"/>
          </w:tcPr>
          <w:p>
            <w:pPr>
              <w:spacing w:after="0"/>
              <w:rPr>
                <w:sz w:val="13"/>
                <w:szCs w:val="13"/>
                <w:color w:val="auto"/>
              </w:rPr>
            </w:pPr>
          </w:p>
        </w:tc>
        <w:tc>
          <w:tcPr>
            <w:tcW w:w="100" w:type="dxa"/>
            <w:vAlign w:val="bottom"/>
            <w:tcBorders>
              <w:bottom w:val="single" w:sz="8" w:color="1E1E1E"/>
            </w:tcBorders>
            <w:shd w:val="clear" w:color="auto" w:fill="E4E4E4"/>
          </w:tcPr>
          <w:p>
            <w:pPr>
              <w:spacing w:after="0"/>
              <w:rPr>
                <w:sz w:val="13"/>
                <w:szCs w:val="13"/>
                <w:color w:val="auto"/>
              </w:rPr>
            </w:pPr>
          </w:p>
        </w:tc>
        <w:tc>
          <w:tcPr>
            <w:tcW w:w="1420" w:type="dxa"/>
            <w:vAlign w:val="bottom"/>
            <w:tcBorders>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87</w:t>
            </w:r>
          </w:p>
        </w:tc>
        <w:tc>
          <w:tcPr>
            <w:tcW w:w="100" w:type="dxa"/>
            <w:vAlign w:val="bottom"/>
            <w:tcBorders>
              <w:bottom w:val="single" w:sz="8" w:color="1E1E1E"/>
            </w:tcBorders>
            <w:shd w:val="clear" w:color="auto" w:fill="E4E4E4"/>
          </w:tcPr>
          <w:p>
            <w:pPr>
              <w:spacing w:after="0"/>
              <w:rPr>
                <w:sz w:val="13"/>
                <w:szCs w:val="13"/>
                <w:color w:val="auto"/>
              </w:rPr>
            </w:pPr>
          </w:p>
        </w:tc>
      </w:tr>
      <w:tr>
        <w:trPr>
          <w:trHeight w:val="187"/>
        </w:trPr>
        <w:tc>
          <w:tcPr>
            <w:tcW w:w="54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4"/>
                <w:szCs w:val="14"/>
                <w:color w:val="1E1E1E"/>
              </w:rPr>
              <w:t>Net cash used in investing activities</w:t>
            </w:r>
          </w:p>
        </w:tc>
        <w:tc>
          <w:tcPr>
            <w:tcW w:w="20" w:type="dxa"/>
            <w:vAlign w:val="bottom"/>
            <w:tcBorders>
              <w:bottom w:val="single" w:sz="8" w:color="1E1E1E"/>
            </w:tcBorders>
          </w:tcPr>
          <w:p>
            <w:pPr>
              <w:spacing w:after="0"/>
              <w:rPr>
                <w:sz w:val="15"/>
                <w:szCs w:val="15"/>
                <w:color w:val="auto"/>
              </w:rPr>
            </w:pPr>
          </w:p>
        </w:tc>
        <w:tc>
          <w:tcPr>
            <w:tcW w:w="80" w:type="dxa"/>
            <w:vAlign w:val="bottom"/>
            <w:tcBorders>
              <w:bottom w:val="single" w:sz="8" w:color="1E1E1E"/>
            </w:tcBorders>
          </w:tcPr>
          <w:p>
            <w:pPr>
              <w:spacing w:after="0"/>
              <w:rPr>
                <w:sz w:val="15"/>
                <w:szCs w:val="15"/>
                <w:color w:val="auto"/>
              </w:rPr>
            </w:pPr>
          </w:p>
        </w:tc>
        <w:tc>
          <w:tcPr>
            <w:tcW w:w="14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1E1E1E"/>
              </w:rPr>
              <w:t>(62,054)</w:t>
            </w:r>
          </w:p>
        </w:tc>
        <w:tc>
          <w:tcPr>
            <w:tcW w:w="120" w:type="dxa"/>
            <w:vAlign w:val="bottom"/>
            <w:tcBorders>
              <w:bottom w:val="single" w:sz="8" w:color="1E1E1E"/>
            </w:tcBorders>
          </w:tcPr>
          <w:p>
            <w:pPr>
              <w:spacing w:after="0"/>
              <w:rPr>
                <w:sz w:val="15"/>
                <w:szCs w:val="15"/>
                <w:color w:val="auto"/>
              </w:rPr>
            </w:pPr>
          </w:p>
        </w:tc>
        <w:tc>
          <w:tcPr>
            <w:tcW w:w="14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4"/>
                <w:szCs w:val="14"/>
                <w:color w:val="1E1E1E"/>
              </w:rPr>
              <w:t>(41,131)</w:t>
            </w:r>
          </w:p>
        </w:tc>
        <w:tc>
          <w:tcPr>
            <w:tcW w:w="100" w:type="dxa"/>
            <w:vAlign w:val="bottom"/>
            <w:tcBorders>
              <w:bottom w:val="single" w:sz="8" w:color="1E1E1E"/>
            </w:tcBorders>
          </w:tcPr>
          <w:p>
            <w:pPr>
              <w:spacing w:after="0"/>
              <w:rPr>
                <w:sz w:val="15"/>
                <w:szCs w:val="15"/>
                <w:color w:val="auto"/>
              </w:rPr>
            </w:pPr>
          </w:p>
        </w:tc>
        <w:tc>
          <w:tcPr>
            <w:tcW w:w="1520" w:type="dxa"/>
            <w:vAlign w:val="bottom"/>
            <w:tcBorders>
              <w:bottom w:val="single" w:sz="8" w:color="1E1E1E"/>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1E1E1E"/>
              </w:rPr>
              <w:t>(60,001)</w:t>
            </w:r>
          </w:p>
        </w:tc>
      </w:tr>
      <w:tr>
        <w:trPr>
          <w:trHeight w:val="147"/>
        </w:trPr>
        <w:tc>
          <w:tcPr>
            <w:tcW w:w="5440" w:type="dxa"/>
            <w:vAlign w:val="bottom"/>
            <w:tcBorders>
              <w:top w:val="single" w:sz="8" w:color="E4E4E4"/>
            </w:tcBorders>
            <w:shd w:val="clear" w:color="auto" w:fill="E4E4E4"/>
          </w:tcPr>
          <w:p>
            <w:pPr>
              <w:spacing w:after="0" w:line="147" w:lineRule="exact"/>
              <w:rPr>
                <w:sz w:val="20"/>
                <w:szCs w:val="20"/>
                <w:color w:val="auto"/>
              </w:rPr>
            </w:pPr>
            <w:r>
              <w:rPr>
                <w:rFonts w:ascii="Times New Roman" w:cs="Times New Roman" w:eastAsia="Times New Roman" w:hAnsi="Times New Roman"/>
                <w:sz w:val="14"/>
                <w:szCs w:val="14"/>
                <w:b w:val="1"/>
                <w:bCs w:val="1"/>
                <w:color w:val="1E1E1E"/>
              </w:rPr>
              <w:t>CASH FLOWS FROM FINANCING ACTIVITIES:</w:t>
            </w:r>
          </w:p>
        </w:tc>
        <w:tc>
          <w:tcPr>
            <w:tcW w:w="20" w:type="dxa"/>
            <w:vAlign w:val="bottom"/>
            <w:tcBorders>
              <w:top w:val="single" w:sz="8" w:color="E4E4E4"/>
            </w:tcBorders>
            <w:shd w:val="clear" w:color="auto" w:fill="E4E4E4"/>
          </w:tcPr>
          <w:p>
            <w:pPr>
              <w:spacing w:after="0"/>
              <w:rPr>
                <w:sz w:val="12"/>
                <w:szCs w:val="12"/>
                <w:color w:val="auto"/>
              </w:rPr>
            </w:pPr>
          </w:p>
        </w:tc>
        <w:tc>
          <w:tcPr>
            <w:tcW w:w="80" w:type="dxa"/>
            <w:vAlign w:val="bottom"/>
            <w:tcBorders>
              <w:top w:val="single" w:sz="8" w:color="E4E4E4"/>
            </w:tcBorders>
            <w:shd w:val="clear" w:color="auto" w:fill="E4E4E4"/>
          </w:tcPr>
          <w:p>
            <w:pPr>
              <w:spacing w:after="0"/>
              <w:rPr>
                <w:sz w:val="12"/>
                <w:szCs w:val="12"/>
                <w:color w:val="auto"/>
              </w:rPr>
            </w:pPr>
          </w:p>
        </w:tc>
        <w:tc>
          <w:tcPr>
            <w:tcW w:w="1400" w:type="dxa"/>
            <w:vAlign w:val="bottom"/>
            <w:tcBorders>
              <w:top w:val="single" w:sz="8" w:color="E4E4E4"/>
            </w:tcBorders>
            <w:shd w:val="clear" w:color="auto" w:fill="E4E4E4"/>
          </w:tcPr>
          <w:p>
            <w:pPr>
              <w:spacing w:after="0"/>
              <w:rPr>
                <w:sz w:val="12"/>
                <w:szCs w:val="12"/>
                <w:color w:val="auto"/>
              </w:rPr>
            </w:pPr>
          </w:p>
        </w:tc>
        <w:tc>
          <w:tcPr>
            <w:tcW w:w="80" w:type="dxa"/>
            <w:vAlign w:val="bottom"/>
            <w:tcBorders>
              <w:top w:val="single" w:sz="8" w:color="E4E4E4"/>
            </w:tcBorders>
            <w:shd w:val="clear" w:color="auto" w:fill="E4E4E4"/>
          </w:tcPr>
          <w:p>
            <w:pPr>
              <w:spacing w:after="0"/>
              <w:rPr>
                <w:sz w:val="12"/>
                <w:szCs w:val="12"/>
                <w:color w:val="auto"/>
              </w:rPr>
            </w:pPr>
          </w:p>
        </w:tc>
        <w:tc>
          <w:tcPr>
            <w:tcW w:w="120" w:type="dxa"/>
            <w:vAlign w:val="bottom"/>
            <w:tcBorders>
              <w:top w:val="single" w:sz="8" w:color="E4E4E4"/>
            </w:tcBorders>
            <w:shd w:val="clear" w:color="auto" w:fill="E4E4E4"/>
          </w:tcPr>
          <w:p>
            <w:pPr>
              <w:spacing w:after="0"/>
              <w:rPr>
                <w:sz w:val="12"/>
                <w:szCs w:val="12"/>
                <w:color w:val="auto"/>
              </w:rPr>
            </w:pPr>
          </w:p>
        </w:tc>
        <w:tc>
          <w:tcPr>
            <w:tcW w:w="1380" w:type="dxa"/>
            <w:vAlign w:val="bottom"/>
            <w:tcBorders>
              <w:top w:val="single" w:sz="8" w:color="E4E4E4"/>
            </w:tcBorders>
            <w:shd w:val="clear" w:color="auto" w:fill="E4E4E4"/>
          </w:tcPr>
          <w:p>
            <w:pPr>
              <w:spacing w:after="0"/>
              <w:rPr>
                <w:sz w:val="12"/>
                <w:szCs w:val="12"/>
                <w:color w:val="auto"/>
              </w:rPr>
            </w:pPr>
          </w:p>
        </w:tc>
        <w:tc>
          <w:tcPr>
            <w:tcW w:w="100" w:type="dxa"/>
            <w:vAlign w:val="bottom"/>
            <w:tcBorders>
              <w:top w:val="single" w:sz="8" w:color="E4E4E4"/>
            </w:tcBorders>
            <w:shd w:val="clear" w:color="auto" w:fill="E4E4E4"/>
          </w:tcPr>
          <w:p>
            <w:pPr>
              <w:spacing w:after="0"/>
              <w:rPr>
                <w:sz w:val="12"/>
                <w:szCs w:val="12"/>
                <w:color w:val="auto"/>
              </w:rPr>
            </w:pPr>
          </w:p>
        </w:tc>
        <w:tc>
          <w:tcPr>
            <w:tcW w:w="100" w:type="dxa"/>
            <w:vAlign w:val="bottom"/>
            <w:tcBorders>
              <w:top w:val="single" w:sz="8" w:color="E4E4E4"/>
            </w:tcBorders>
            <w:shd w:val="clear" w:color="auto" w:fill="E4E4E4"/>
          </w:tcPr>
          <w:p>
            <w:pPr>
              <w:spacing w:after="0"/>
              <w:rPr>
                <w:sz w:val="12"/>
                <w:szCs w:val="12"/>
                <w:color w:val="auto"/>
              </w:rPr>
            </w:pPr>
          </w:p>
        </w:tc>
        <w:tc>
          <w:tcPr>
            <w:tcW w:w="1420" w:type="dxa"/>
            <w:vAlign w:val="bottom"/>
            <w:tcBorders>
              <w:top w:val="single" w:sz="8" w:color="E4E4E4"/>
            </w:tcBorders>
            <w:shd w:val="clear" w:color="auto" w:fill="E4E4E4"/>
          </w:tcPr>
          <w:p>
            <w:pPr>
              <w:spacing w:after="0"/>
              <w:rPr>
                <w:sz w:val="12"/>
                <w:szCs w:val="12"/>
                <w:color w:val="auto"/>
              </w:rPr>
            </w:pPr>
          </w:p>
        </w:tc>
        <w:tc>
          <w:tcPr>
            <w:tcW w:w="100" w:type="dxa"/>
            <w:vAlign w:val="bottom"/>
            <w:tcBorders>
              <w:top w:val="single" w:sz="8" w:color="E4E4E4"/>
            </w:tcBorders>
            <w:shd w:val="clear" w:color="auto" w:fill="E4E4E4"/>
          </w:tcPr>
          <w:p>
            <w:pPr>
              <w:spacing w:after="0"/>
              <w:rPr>
                <w:sz w:val="12"/>
                <w:szCs w:val="12"/>
                <w:color w:val="auto"/>
              </w:rPr>
            </w:pP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Borrowings under revolving credit facility</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444,613</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422,167</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477,841</w:t>
            </w: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Payments on revolving credit facility</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(441,893</w:t>
            </w:r>
          </w:p>
        </w:tc>
        <w:tc>
          <w:tcPr>
            <w:tcW w:w="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b w:val="1"/>
                <w:bCs w:val="1"/>
                <w:color w:val="1E1E1E"/>
                <w:w w:val="73"/>
                <w:shd w:val="clear" w:color="auto" w:fill="E4E4E4"/>
              </w:rPr>
              <w:t>)</w:t>
            </w: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(456,727</w:t>
            </w:r>
          </w:p>
        </w:tc>
        <w:tc>
          <w:tcPr>
            <w:tcW w:w="1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w w:val="84"/>
                <w:shd w:val="clear" w:color="auto" w:fill="E4E4E4"/>
              </w:rPr>
              <w:t>)</w:t>
            </w: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(488,438</w:t>
            </w:r>
          </w:p>
        </w:tc>
        <w:tc>
          <w:tcPr>
            <w:tcW w:w="10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Shares repurchased related to share repurchase plan</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1E1E1E"/>
              </w:rPr>
              <w:t>(12,566)</w:t>
            </w:r>
          </w:p>
        </w:tc>
        <w:tc>
          <w:tcPr>
            <w:tcW w:w="120" w:type="dxa"/>
            <w:vAlign w:val="bottom"/>
            <w:tcBorders>
              <w:bottom w:val="single" w:sz="8" w:color="E4E4E4"/>
            </w:tcBorders>
          </w:tcPr>
          <w:p>
            <w:pPr>
              <w:spacing w:after="0"/>
              <w:rPr>
                <w:sz w:val="15"/>
                <w:szCs w:val="15"/>
                <w:color w:val="auto"/>
              </w:rPr>
            </w:pPr>
          </w:p>
        </w:tc>
        <w:tc>
          <w:tcPr>
            <w:tcW w:w="14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4"/>
                <w:szCs w:val="14"/>
                <w:color w:val="1E1E1E"/>
              </w:rPr>
              <w:t>(9,789)</w:t>
            </w:r>
          </w:p>
        </w:tc>
        <w:tc>
          <w:tcPr>
            <w:tcW w:w="100" w:type="dxa"/>
            <w:vAlign w:val="bottom"/>
            <w:tcBorders>
              <w:bottom w:val="single" w:sz="8" w:color="E4E4E4"/>
            </w:tcBorders>
          </w:tcPr>
          <w:p>
            <w:pPr>
              <w:spacing w:after="0"/>
              <w:rPr>
                <w:sz w:val="15"/>
                <w:szCs w:val="15"/>
                <w:color w:val="auto"/>
              </w:rPr>
            </w:pPr>
          </w:p>
        </w:tc>
        <w:tc>
          <w:tcPr>
            <w:tcW w:w="1520" w:type="dxa"/>
            <w:vAlign w:val="bottom"/>
            <w:tcBorders>
              <w:bottom w:val="single" w:sz="8" w:color="E4E4E4"/>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1E1E1E"/>
              </w:rPr>
              <w:t>(32,027)</w:t>
            </w:r>
          </w:p>
        </w:tc>
      </w:tr>
      <w:tr>
        <w:trPr>
          <w:trHeight w:val="153"/>
        </w:trPr>
        <w:tc>
          <w:tcPr>
            <w:tcW w:w="5440" w:type="dxa"/>
            <w:vAlign w:val="bottom"/>
            <w:shd w:val="clear" w:color="auto" w:fill="E4E4E4"/>
          </w:tcPr>
          <w:p>
            <w:pPr>
              <w:ind w:left="160"/>
              <w:spacing w:after="0" w:line="153" w:lineRule="exact"/>
              <w:rPr>
                <w:sz w:val="20"/>
                <w:szCs w:val="20"/>
                <w:color w:val="auto"/>
              </w:rPr>
            </w:pPr>
            <w:r>
              <w:rPr>
                <w:rFonts w:ascii="Times New Roman" w:cs="Times New Roman" w:eastAsia="Times New Roman" w:hAnsi="Times New Roman"/>
                <w:sz w:val="14"/>
                <w:szCs w:val="14"/>
                <w:color w:val="1E1E1E"/>
              </w:rPr>
              <w:t>Shares repurchased related to taxes for share-based awards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1E1E1E"/>
              </w:rPr>
              <w:t>(1,317</w:t>
            </w:r>
          </w:p>
        </w:tc>
        <w:tc>
          <w:tcPr>
            <w:tcW w:w="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b w:val="1"/>
                <w:bCs w:val="1"/>
                <w:color w:val="1E1E1E"/>
                <w:w w:val="73"/>
                <w:shd w:val="clear" w:color="auto" w:fill="E4E4E4"/>
              </w:rPr>
              <w:t>)</w:t>
            </w: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(2,572</w:t>
            </w:r>
          </w:p>
        </w:tc>
        <w:tc>
          <w:tcPr>
            <w:tcW w:w="10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w w:val="84"/>
                <w:shd w:val="clear" w:color="auto" w:fill="E4E4E4"/>
              </w:rPr>
              <w:t>)</w:t>
            </w: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(2,249</w:t>
            </w:r>
          </w:p>
        </w:tc>
        <w:tc>
          <w:tcPr>
            <w:tcW w:w="10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78"/>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Change in overdraft balances</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(554</w:t>
            </w:r>
          </w:p>
        </w:tc>
        <w:tc>
          <w:tcPr>
            <w:tcW w:w="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8"/>
                <w:szCs w:val="8"/>
                <w:b w:val="1"/>
                <w:bCs w:val="1"/>
                <w:color w:val="1E1E1E"/>
                <w:highlight w:val="white"/>
                <w:w w:val="73"/>
              </w:rPr>
              <w:t>)</w:t>
            </w: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(82</w:t>
            </w:r>
          </w:p>
        </w:tc>
        <w:tc>
          <w:tcPr>
            <w:tcW w:w="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highlight w:val="white"/>
                <w:w w:val="84"/>
              </w:rPr>
              <w:t>)</w:t>
            </w: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(2,694</w:t>
            </w:r>
          </w:p>
        </w:tc>
        <w:tc>
          <w:tcPr>
            <w:tcW w:w="100" w:type="dxa"/>
            <w:vAlign w:val="bottom"/>
            <w:tcBorders>
              <w:bottom w:val="single" w:sz="8" w:color="E4E4E4"/>
            </w:tcBorders>
          </w:tcPr>
          <w:p>
            <w:pPr>
              <w:jc w:val="right"/>
              <w:ind w:right="19"/>
              <w:spacing w:after="0"/>
              <w:rPr>
                <w:sz w:val="20"/>
                <w:szCs w:val="20"/>
                <w:color w:val="auto"/>
              </w:rPr>
            </w:pPr>
            <w:r>
              <w:rPr>
                <w:rFonts w:ascii="Times New Roman" w:cs="Times New Roman" w:eastAsia="Times New Roman" w:hAnsi="Times New Roman"/>
                <w:sz w:val="8"/>
                <w:szCs w:val="8"/>
                <w:color w:val="1E1E1E"/>
                <w:highlight w:val="white"/>
                <w:w w:val="73"/>
              </w:rPr>
              <w:t>)</w:t>
            </w:r>
          </w:p>
        </w:tc>
      </w:tr>
      <w:tr>
        <w:trPr>
          <w:trHeight w:val="153"/>
        </w:trPr>
        <w:tc>
          <w:tcPr>
            <w:tcW w:w="5440" w:type="dxa"/>
            <w:vAlign w:val="bottom"/>
            <w:tcBorders>
              <w:bottom w:val="single" w:sz="8" w:color="1E1E1E"/>
            </w:tcBorders>
            <w:shd w:val="clear" w:color="auto" w:fill="E4E4E4"/>
          </w:tcPr>
          <w:p>
            <w:pPr>
              <w:ind w:left="160"/>
              <w:spacing w:after="0" w:line="153" w:lineRule="exact"/>
              <w:rPr>
                <w:sz w:val="20"/>
                <w:szCs w:val="20"/>
                <w:color w:val="auto"/>
              </w:rPr>
            </w:pPr>
            <w:r>
              <w:rPr>
                <w:rFonts w:ascii="Times New Roman" w:cs="Times New Roman" w:eastAsia="Times New Roman" w:hAnsi="Times New Roman"/>
                <w:sz w:val="14"/>
                <w:szCs w:val="14"/>
                <w:color w:val="1E1E1E"/>
              </w:rPr>
              <w:t>Additions to deferred financing costs</w:t>
            </w:r>
          </w:p>
        </w:tc>
        <w:tc>
          <w:tcPr>
            <w:tcW w:w="20" w:type="dxa"/>
            <w:vAlign w:val="bottom"/>
            <w:tcBorders>
              <w:bottom w:val="single" w:sz="8" w:color="1E1E1E"/>
            </w:tcBorders>
            <w:shd w:val="clear" w:color="auto" w:fill="E4E4E4"/>
          </w:tcPr>
          <w:p>
            <w:pPr>
              <w:spacing w:after="0"/>
              <w:rPr>
                <w:sz w:val="13"/>
                <w:szCs w:val="13"/>
                <w:color w:val="auto"/>
              </w:rPr>
            </w:pPr>
          </w:p>
        </w:tc>
        <w:tc>
          <w:tcPr>
            <w:tcW w:w="80" w:type="dxa"/>
            <w:vAlign w:val="bottom"/>
            <w:tcBorders>
              <w:bottom w:val="single" w:sz="8" w:color="1E1E1E"/>
            </w:tcBorders>
            <w:shd w:val="clear" w:color="auto" w:fill="E4E4E4"/>
          </w:tcPr>
          <w:p>
            <w:pPr>
              <w:spacing w:after="0"/>
              <w:rPr>
                <w:sz w:val="13"/>
                <w:szCs w:val="13"/>
                <w:color w:val="auto"/>
              </w:rPr>
            </w:pPr>
          </w:p>
        </w:tc>
        <w:tc>
          <w:tcPr>
            <w:tcW w:w="1400" w:type="dxa"/>
            <w:vAlign w:val="bottom"/>
            <w:tcBorders>
              <w:bottom w:val="single" w:sz="8" w:color="1E1E1E"/>
            </w:tcBorders>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1E1E1E"/>
              </w:rPr>
              <w:t>(1,600</w:t>
            </w:r>
          </w:p>
        </w:tc>
        <w:tc>
          <w:tcPr>
            <w:tcW w:w="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8"/>
                <w:szCs w:val="8"/>
                <w:b w:val="1"/>
                <w:bCs w:val="1"/>
                <w:color w:val="1E1E1E"/>
                <w:w w:val="73"/>
                <w:shd w:val="clear" w:color="auto" w:fill="E4E4E4"/>
              </w:rPr>
              <w:t>)</w:t>
            </w:r>
          </w:p>
        </w:tc>
        <w:tc>
          <w:tcPr>
            <w:tcW w:w="120" w:type="dxa"/>
            <w:vAlign w:val="bottom"/>
            <w:tcBorders>
              <w:bottom w:val="single" w:sz="8" w:color="1E1E1E"/>
            </w:tcBorders>
            <w:shd w:val="clear" w:color="auto" w:fill="E4E4E4"/>
          </w:tcPr>
          <w:p>
            <w:pPr>
              <w:spacing w:after="0"/>
              <w:rPr>
                <w:sz w:val="13"/>
                <w:szCs w:val="13"/>
                <w:color w:val="auto"/>
              </w:rPr>
            </w:pPr>
          </w:p>
        </w:tc>
        <w:tc>
          <w:tcPr>
            <w:tcW w:w="1380" w:type="dxa"/>
            <w:vAlign w:val="bottom"/>
            <w:tcBorders>
              <w:bottom w:val="single" w:sz="8" w:color="1E1E1E"/>
            </w:tcBorders>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w:t>
            </w:r>
          </w:p>
        </w:tc>
        <w:tc>
          <w:tcPr>
            <w:tcW w:w="100" w:type="dxa"/>
            <w:vAlign w:val="bottom"/>
            <w:tcBorders>
              <w:bottom w:val="single" w:sz="8" w:color="1E1E1E"/>
            </w:tcBorders>
            <w:shd w:val="clear" w:color="auto" w:fill="E4E4E4"/>
          </w:tcPr>
          <w:p>
            <w:pPr>
              <w:spacing w:after="0"/>
              <w:rPr>
                <w:sz w:val="13"/>
                <w:szCs w:val="13"/>
                <w:color w:val="auto"/>
              </w:rPr>
            </w:pPr>
          </w:p>
        </w:tc>
        <w:tc>
          <w:tcPr>
            <w:tcW w:w="100" w:type="dxa"/>
            <w:vAlign w:val="bottom"/>
            <w:tcBorders>
              <w:bottom w:val="single" w:sz="8" w:color="1E1E1E"/>
            </w:tcBorders>
            <w:shd w:val="clear" w:color="auto" w:fill="E4E4E4"/>
          </w:tcPr>
          <w:p>
            <w:pPr>
              <w:spacing w:after="0"/>
              <w:rPr>
                <w:sz w:val="13"/>
                <w:szCs w:val="13"/>
                <w:color w:val="auto"/>
              </w:rPr>
            </w:pPr>
          </w:p>
        </w:tc>
        <w:tc>
          <w:tcPr>
            <w:tcW w:w="1420" w:type="dxa"/>
            <w:vAlign w:val="bottom"/>
            <w:tcBorders>
              <w:bottom w:val="single" w:sz="8" w:color="1E1E1E"/>
            </w:tcBorders>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(12</w:t>
            </w:r>
          </w:p>
        </w:tc>
        <w:tc>
          <w:tcPr>
            <w:tcW w:w="100" w:type="dxa"/>
            <w:vAlign w:val="bottom"/>
            <w:tcBorders>
              <w:bottom w:val="single" w:sz="8" w:color="1E1E1E"/>
            </w:tcBorders>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83"/>
        </w:trPr>
        <w:tc>
          <w:tcPr>
            <w:tcW w:w="5440" w:type="dxa"/>
            <w:vAlign w:val="bottom"/>
            <w:tcBorders>
              <w:bottom w:val="single" w:sz="8" w:color="1E1E1E"/>
            </w:tcBorders>
          </w:tcPr>
          <w:p>
            <w:pPr>
              <w:spacing w:after="0" w:line="157" w:lineRule="exact"/>
              <w:rPr>
                <w:sz w:val="20"/>
                <w:szCs w:val="20"/>
                <w:color w:val="auto"/>
              </w:rPr>
            </w:pPr>
            <w:r>
              <w:rPr>
                <w:rFonts w:ascii="Times New Roman" w:cs="Times New Roman" w:eastAsia="Times New Roman" w:hAnsi="Times New Roman"/>
                <w:sz w:val="14"/>
                <w:szCs w:val="14"/>
                <w:color w:val="1E1E1E"/>
              </w:rPr>
              <w:t>Net cash used in financing activities</w:t>
            </w:r>
          </w:p>
        </w:tc>
        <w:tc>
          <w:tcPr>
            <w:tcW w:w="20" w:type="dxa"/>
            <w:vAlign w:val="bottom"/>
            <w:tcBorders>
              <w:bottom w:val="single" w:sz="8" w:color="1E1E1E"/>
            </w:tcBorders>
          </w:tcPr>
          <w:p>
            <w:pPr>
              <w:spacing w:after="0"/>
              <w:rPr>
                <w:sz w:val="15"/>
                <w:szCs w:val="15"/>
                <w:color w:val="auto"/>
              </w:rPr>
            </w:pPr>
          </w:p>
        </w:tc>
        <w:tc>
          <w:tcPr>
            <w:tcW w:w="80" w:type="dxa"/>
            <w:vAlign w:val="bottom"/>
            <w:tcBorders>
              <w:bottom w:val="single" w:sz="8" w:color="1E1E1E"/>
            </w:tcBorders>
          </w:tcPr>
          <w:p>
            <w:pPr>
              <w:spacing w:after="0"/>
              <w:rPr>
                <w:sz w:val="15"/>
                <w:szCs w:val="15"/>
                <w:color w:val="auto"/>
              </w:rPr>
            </w:pPr>
          </w:p>
        </w:tc>
        <w:tc>
          <w:tcPr>
            <w:tcW w:w="1480" w:type="dxa"/>
            <w:vAlign w:val="bottom"/>
            <w:tcBorders>
              <w:bottom w:val="single" w:sz="8" w:color="1E1E1E"/>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(13,317)</w:t>
            </w:r>
          </w:p>
        </w:tc>
        <w:tc>
          <w:tcPr>
            <w:tcW w:w="120" w:type="dxa"/>
            <w:vAlign w:val="bottom"/>
            <w:tcBorders>
              <w:bottom w:val="single" w:sz="8" w:color="1E1E1E"/>
            </w:tcBorders>
          </w:tcPr>
          <w:p>
            <w:pPr>
              <w:spacing w:after="0"/>
              <w:rPr>
                <w:sz w:val="15"/>
                <w:szCs w:val="15"/>
                <w:color w:val="auto"/>
              </w:rPr>
            </w:pPr>
          </w:p>
        </w:tc>
        <w:tc>
          <w:tcPr>
            <w:tcW w:w="1480" w:type="dxa"/>
            <w:vAlign w:val="bottom"/>
            <w:tcBorders>
              <w:bottom w:val="single" w:sz="8" w:color="1E1E1E"/>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1E1E1E"/>
              </w:rPr>
              <w:t>(47,003)</w:t>
            </w:r>
          </w:p>
        </w:tc>
        <w:tc>
          <w:tcPr>
            <w:tcW w:w="100" w:type="dxa"/>
            <w:vAlign w:val="bottom"/>
            <w:tcBorders>
              <w:bottom w:val="single" w:sz="8" w:color="1E1E1E"/>
            </w:tcBorders>
          </w:tcPr>
          <w:p>
            <w:pPr>
              <w:spacing w:after="0"/>
              <w:rPr>
                <w:sz w:val="15"/>
                <w:szCs w:val="15"/>
                <w:color w:val="auto"/>
              </w:rPr>
            </w:pPr>
          </w:p>
        </w:tc>
        <w:tc>
          <w:tcPr>
            <w:tcW w:w="1520" w:type="dxa"/>
            <w:vAlign w:val="bottom"/>
            <w:tcBorders>
              <w:bottom w:val="single" w:sz="8" w:color="1E1E1E"/>
            </w:tcBorders>
            <w:gridSpan w:val="2"/>
          </w:tcPr>
          <w:p>
            <w:pPr>
              <w:jc w:val="right"/>
              <w:ind w:right="19"/>
              <w:spacing w:after="0" w:line="157" w:lineRule="exact"/>
              <w:rPr>
                <w:sz w:val="20"/>
                <w:szCs w:val="20"/>
                <w:color w:val="auto"/>
              </w:rPr>
            </w:pPr>
            <w:r>
              <w:rPr>
                <w:rFonts w:ascii="Times New Roman" w:cs="Times New Roman" w:eastAsia="Times New Roman" w:hAnsi="Times New Roman"/>
                <w:sz w:val="14"/>
                <w:szCs w:val="14"/>
                <w:color w:val="1E1E1E"/>
              </w:rPr>
              <w:t>(47,579)</w:t>
            </w:r>
          </w:p>
        </w:tc>
      </w:tr>
      <w:tr>
        <w:trPr>
          <w:trHeight w:val="142"/>
        </w:trPr>
        <w:tc>
          <w:tcPr>
            <w:tcW w:w="5440" w:type="dxa"/>
            <w:vAlign w:val="bottom"/>
            <w:tcBorders>
              <w:top w:val="single" w:sz="8" w:color="E4E4E4"/>
              <w:bottom w:val="single" w:sz="8" w:color="1E1E1E"/>
            </w:tcBorders>
            <w:shd w:val="clear" w:color="auto" w:fill="E4E4E4"/>
          </w:tcPr>
          <w:p>
            <w:pPr>
              <w:spacing w:after="0" w:line="143" w:lineRule="exact"/>
              <w:rPr>
                <w:sz w:val="20"/>
                <w:szCs w:val="20"/>
                <w:color w:val="auto"/>
              </w:rPr>
            </w:pPr>
            <w:r>
              <w:rPr>
                <w:rFonts w:ascii="Times New Roman" w:cs="Times New Roman" w:eastAsia="Times New Roman" w:hAnsi="Times New Roman"/>
                <w:sz w:val="14"/>
                <w:szCs w:val="14"/>
                <w:color w:val="1E1E1E"/>
              </w:rPr>
              <w:t>Effect of foreign exchange rate fluctuations on cash</w:t>
            </w:r>
          </w:p>
        </w:tc>
        <w:tc>
          <w:tcPr>
            <w:tcW w:w="20" w:type="dxa"/>
            <w:vAlign w:val="bottom"/>
            <w:tcBorders>
              <w:top w:val="single" w:sz="8" w:color="E4E4E4"/>
              <w:bottom w:val="single" w:sz="8" w:color="1E1E1E"/>
            </w:tcBorders>
            <w:shd w:val="clear" w:color="auto" w:fill="E4E4E4"/>
          </w:tcPr>
          <w:p>
            <w:pPr>
              <w:spacing w:after="0"/>
              <w:rPr>
                <w:sz w:val="12"/>
                <w:szCs w:val="12"/>
                <w:color w:val="auto"/>
              </w:rPr>
            </w:pPr>
          </w:p>
        </w:tc>
        <w:tc>
          <w:tcPr>
            <w:tcW w:w="80" w:type="dxa"/>
            <w:vAlign w:val="bottom"/>
            <w:tcBorders>
              <w:top w:val="single" w:sz="8" w:color="E4E4E4"/>
              <w:bottom w:val="single" w:sz="8" w:color="1E1E1E"/>
            </w:tcBorders>
            <w:shd w:val="clear" w:color="auto" w:fill="E4E4E4"/>
          </w:tcPr>
          <w:p>
            <w:pPr>
              <w:spacing w:after="0"/>
              <w:rPr>
                <w:sz w:val="12"/>
                <w:szCs w:val="12"/>
                <w:color w:val="auto"/>
              </w:rPr>
            </w:pPr>
          </w:p>
        </w:tc>
        <w:tc>
          <w:tcPr>
            <w:tcW w:w="1400" w:type="dxa"/>
            <w:vAlign w:val="bottom"/>
            <w:tcBorders>
              <w:top w:val="single" w:sz="8" w:color="E4E4E4"/>
              <w:bottom w:val="single" w:sz="8" w:color="1E1E1E"/>
            </w:tcBorders>
            <w:shd w:val="clear" w:color="auto" w:fill="E4E4E4"/>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1E1E1E"/>
              </w:rPr>
              <w:t>1,009</w:t>
            </w:r>
          </w:p>
        </w:tc>
        <w:tc>
          <w:tcPr>
            <w:tcW w:w="80" w:type="dxa"/>
            <w:vAlign w:val="bottom"/>
            <w:tcBorders>
              <w:top w:val="single" w:sz="8" w:color="E4E4E4"/>
              <w:bottom w:val="single" w:sz="8" w:color="1E1E1E"/>
            </w:tcBorders>
            <w:shd w:val="clear" w:color="auto" w:fill="E4E4E4"/>
          </w:tcPr>
          <w:p>
            <w:pPr>
              <w:spacing w:after="0"/>
              <w:rPr>
                <w:sz w:val="12"/>
                <w:szCs w:val="12"/>
                <w:color w:val="auto"/>
              </w:rPr>
            </w:pPr>
          </w:p>
        </w:tc>
        <w:tc>
          <w:tcPr>
            <w:tcW w:w="120" w:type="dxa"/>
            <w:vAlign w:val="bottom"/>
            <w:tcBorders>
              <w:top w:val="single" w:sz="8" w:color="E4E4E4"/>
              <w:bottom w:val="single" w:sz="8" w:color="1E1E1E"/>
            </w:tcBorders>
            <w:shd w:val="clear" w:color="auto" w:fill="E4E4E4"/>
          </w:tcPr>
          <w:p>
            <w:pPr>
              <w:spacing w:after="0"/>
              <w:rPr>
                <w:sz w:val="12"/>
                <w:szCs w:val="12"/>
                <w:color w:val="auto"/>
              </w:rPr>
            </w:pPr>
          </w:p>
        </w:tc>
        <w:tc>
          <w:tcPr>
            <w:tcW w:w="1380" w:type="dxa"/>
            <w:vAlign w:val="bottom"/>
            <w:tcBorders>
              <w:top w:val="single" w:sz="8" w:color="E4E4E4"/>
              <w:bottom w:val="single" w:sz="8" w:color="1E1E1E"/>
            </w:tcBorders>
            <w:shd w:val="clear" w:color="auto" w:fill="E4E4E4"/>
          </w:tcPr>
          <w:p>
            <w:pPr>
              <w:jc w:val="right"/>
              <w:spacing w:after="0" w:line="143" w:lineRule="exact"/>
              <w:rPr>
                <w:sz w:val="20"/>
                <w:szCs w:val="20"/>
                <w:color w:val="auto"/>
              </w:rPr>
            </w:pPr>
            <w:r>
              <w:rPr>
                <w:rFonts w:ascii="Times New Roman" w:cs="Times New Roman" w:eastAsia="Times New Roman" w:hAnsi="Times New Roman"/>
                <w:sz w:val="14"/>
                <w:szCs w:val="14"/>
                <w:color w:val="1E1E1E"/>
              </w:rPr>
              <w:t>(900</w:t>
            </w:r>
          </w:p>
        </w:tc>
        <w:tc>
          <w:tcPr>
            <w:tcW w:w="100" w:type="dxa"/>
            <w:vAlign w:val="bottom"/>
            <w:tcBorders>
              <w:top w:val="single" w:sz="8" w:color="E4E4E4"/>
              <w:bottom w:val="single" w:sz="8" w:color="1E1E1E"/>
            </w:tcBorders>
            <w:shd w:val="clear" w:color="auto" w:fill="E4E4E4"/>
          </w:tcPr>
          <w:p>
            <w:pPr>
              <w:jc w:val="right"/>
              <w:spacing w:after="0" w:line="143" w:lineRule="exact"/>
              <w:rPr>
                <w:sz w:val="20"/>
                <w:szCs w:val="20"/>
                <w:color w:val="auto"/>
              </w:rPr>
            </w:pPr>
            <w:r>
              <w:rPr>
                <w:rFonts w:ascii="Times New Roman" w:cs="Times New Roman" w:eastAsia="Times New Roman" w:hAnsi="Times New Roman"/>
                <w:sz w:val="14"/>
                <w:szCs w:val="14"/>
                <w:color w:val="1E1E1E"/>
                <w:w w:val="84"/>
                <w:shd w:val="clear" w:color="auto" w:fill="E4E4E4"/>
              </w:rPr>
              <w:t>)</w:t>
            </w:r>
          </w:p>
        </w:tc>
        <w:tc>
          <w:tcPr>
            <w:tcW w:w="100" w:type="dxa"/>
            <w:vAlign w:val="bottom"/>
            <w:tcBorders>
              <w:top w:val="single" w:sz="8" w:color="E4E4E4"/>
              <w:bottom w:val="single" w:sz="8" w:color="1E1E1E"/>
            </w:tcBorders>
            <w:shd w:val="clear" w:color="auto" w:fill="E4E4E4"/>
          </w:tcPr>
          <w:p>
            <w:pPr>
              <w:spacing w:after="0"/>
              <w:rPr>
                <w:sz w:val="12"/>
                <w:szCs w:val="12"/>
                <w:color w:val="auto"/>
              </w:rPr>
            </w:pPr>
          </w:p>
        </w:tc>
        <w:tc>
          <w:tcPr>
            <w:tcW w:w="1420" w:type="dxa"/>
            <w:vAlign w:val="bottom"/>
            <w:tcBorders>
              <w:top w:val="single" w:sz="8" w:color="E4E4E4"/>
              <w:bottom w:val="single" w:sz="8" w:color="1E1E1E"/>
            </w:tcBorders>
            <w:shd w:val="clear" w:color="auto" w:fill="E4E4E4"/>
          </w:tcPr>
          <w:p>
            <w:pPr>
              <w:jc w:val="right"/>
              <w:spacing w:after="0" w:line="143" w:lineRule="exact"/>
              <w:rPr>
                <w:sz w:val="20"/>
                <w:szCs w:val="20"/>
                <w:color w:val="auto"/>
              </w:rPr>
            </w:pPr>
            <w:r>
              <w:rPr>
                <w:rFonts w:ascii="Times New Roman" w:cs="Times New Roman" w:eastAsia="Times New Roman" w:hAnsi="Times New Roman"/>
                <w:sz w:val="14"/>
                <w:szCs w:val="14"/>
                <w:color w:val="1E1E1E"/>
              </w:rPr>
              <w:t>(51</w:t>
            </w:r>
          </w:p>
        </w:tc>
        <w:tc>
          <w:tcPr>
            <w:tcW w:w="100" w:type="dxa"/>
            <w:vAlign w:val="bottom"/>
            <w:tcBorders>
              <w:top w:val="single" w:sz="8" w:color="E4E4E4"/>
              <w:bottom w:val="single" w:sz="8" w:color="1E1E1E"/>
            </w:tcBorders>
            <w:shd w:val="clear" w:color="auto" w:fill="E4E4E4"/>
          </w:tcPr>
          <w:p>
            <w:pPr>
              <w:jc w:val="right"/>
              <w:ind w:right="19"/>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r>
      <w:tr>
        <w:trPr>
          <w:trHeight w:val="167"/>
        </w:trPr>
        <w:tc>
          <w:tcPr>
            <w:tcW w:w="54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4"/>
                <w:szCs w:val="14"/>
                <w:b w:val="1"/>
                <w:bCs w:val="1"/>
                <w:color w:val="1E1E1E"/>
              </w:rPr>
              <w:t>Net Increase (Decrease) in Cash and Cash Equivalents</w:t>
            </w:r>
          </w:p>
        </w:tc>
        <w:tc>
          <w:tcPr>
            <w:tcW w:w="20" w:type="dxa"/>
            <w:vAlign w:val="bottom"/>
            <w:tcBorders>
              <w:bottom w:val="single" w:sz="8" w:color="E4E4E4"/>
            </w:tcBorders>
          </w:tcPr>
          <w:p>
            <w:pPr>
              <w:spacing w:after="0"/>
              <w:rPr>
                <w:sz w:val="14"/>
                <w:szCs w:val="14"/>
                <w:color w:val="auto"/>
              </w:rPr>
            </w:pPr>
          </w:p>
        </w:tc>
        <w:tc>
          <w:tcPr>
            <w:tcW w:w="80" w:type="dxa"/>
            <w:vAlign w:val="bottom"/>
            <w:tcBorders>
              <w:bottom w:val="single" w:sz="8" w:color="E4E4E4"/>
            </w:tcBorders>
          </w:tcPr>
          <w:p>
            <w:pPr>
              <w:spacing w:after="0"/>
              <w:rPr>
                <w:sz w:val="14"/>
                <w:szCs w:val="14"/>
                <w:color w:val="auto"/>
              </w:rPr>
            </w:pP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71,398</w:t>
            </w:r>
          </w:p>
        </w:tc>
        <w:tc>
          <w:tcPr>
            <w:tcW w:w="80" w:type="dxa"/>
            <w:vAlign w:val="bottom"/>
            <w:tcBorders>
              <w:bottom w:val="single" w:sz="8" w:color="E4E4E4"/>
            </w:tcBorders>
          </w:tcPr>
          <w:p>
            <w:pPr>
              <w:spacing w:after="0"/>
              <w:rPr>
                <w:sz w:val="14"/>
                <w:szCs w:val="14"/>
                <w:color w:val="auto"/>
              </w:rPr>
            </w:pPr>
          </w:p>
        </w:tc>
        <w:tc>
          <w:tcPr>
            <w:tcW w:w="120" w:type="dxa"/>
            <w:vAlign w:val="bottom"/>
            <w:tcBorders>
              <w:bottom w:val="single" w:sz="8" w:color="E4E4E4"/>
            </w:tcBorders>
          </w:tcPr>
          <w:p>
            <w:pPr>
              <w:spacing w:after="0"/>
              <w:rPr>
                <w:sz w:val="14"/>
                <w:szCs w:val="14"/>
                <w:color w:val="auto"/>
              </w:rPr>
            </w:pPr>
          </w:p>
        </w:tc>
        <w:tc>
          <w:tcPr>
            <w:tcW w:w="14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4"/>
                <w:szCs w:val="14"/>
                <w:color w:val="1E1E1E"/>
              </w:rPr>
              <w:t>(1,148)</w:t>
            </w:r>
          </w:p>
        </w:tc>
        <w:tc>
          <w:tcPr>
            <w:tcW w:w="100" w:type="dxa"/>
            <w:vAlign w:val="bottom"/>
            <w:tcBorders>
              <w:bottom w:val="single" w:sz="8" w:color="E4E4E4"/>
            </w:tcBorders>
          </w:tcPr>
          <w:p>
            <w:pPr>
              <w:spacing w:after="0"/>
              <w:rPr>
                <w:sz w:val="14"/>
                <w:szCs w:val="14"/>
                <w:color w:val="auto"/>
              </w:rPr>
            </w:pPr>
          </w:p>
        </w:tc>
        <w:tc>
          <w:tcPr>
            <w:tcW w:w="1520" w:type="dxa"/>
            <w:vAlign w:val="bottom"/>
            <w:tcBorders>
              <w:bottom w:val="single" w:sz="8" w:color="E4E4E4"/>
            </w:tcBorders>
            <w:gridSpan w:val="2"/>
          </w:tcPr>
          <w:p>
            <w:pPr>
              <w:jc w:val="right"/>
              <w:ind w:right="19"/>
              <w:spacing w:after="0"/>
              <w:rPr>
                <w:sz w:val="20"/>
                <w:szCs w:val="20"/>
                <w:color w:val="auto"/>
              </w:rPr>
            </w:pPr>
            <w:r>
              <w:rPr>
                <w:rFonts w:ascii="Times New Roman" w:cs="Times New Roman" w:eastAsia="Times New Roman" w:hAnsi="Times New Roman"/>
                <w:sz w:val="14"/>
                <w:szCs w:val="14"/>
                <w:color w:val="1E1E1E"/>
              </w:rPr>
              <w:t>(12,835)</w:t>
            </w:r>
          </w:p>
        </w:tc>
      </w:tr>
      <w:tr>
        <w:trPr>
          <w:trHeight w:val="153"/>
        </w:trPr>
        <w:tc>
          <w:tcPr>
            <w:tcW w:w="5440" w:type="dxa"/>
            <w:vAlign w:val="bottom"/>
            <w:tcBorders>
              <w:bottom w:val="single" w:sz="8" w:color="1E1E1E"/>
            </w:tcBorders>
            <w:shd w:val="clear" w:color="auto" w:fill="E4E4E4"/>
          </w:tcPr>
          <w:p>
            <w:pPr>
              <w:spacing w:after="0" w:line="153" w:lineRule="exact"/>
              <w:rPr>
                <w:sz w:val="20"/>
                <w:szCs w:val="20"/>
                <w:color w:val="auto"/>
              </w:rPr>
            </w:pPr>
            <w:r>
              <w:rPr>
                <w:rFonts w:ascii="Times New Roman" w:cs="Times New Roman" w:eastAsia="Times New Roman" w:hAnsi="Times New Roman"/>
                <w:sz w:val="14"/>
                <w:szCs w:val="14"/>
                <w:color w:val="1E1E1E"/>
              </w:rPr>
              <w:t>Cash and cash equivalents at beginning of year</w:t>
            </w:r>
          </w:p>
        </w:tc>
        <w:tc>
          <w:tcPr>
            <w:tcW w:w="20" w:type="dxa"/>
            <w:vAlign w:val="bottom"/>
            <w:tcBorders>
              <w:bottom w:val="single" w:sz="8" w:color="1E1E1E"/>
            </w:tcBorders>
            <w:shd w:val="clear" w:color="auto" w:fill="E4E4E4"/>
          </w:tcPr>
          <w:p>
            <w:pPr>
              <w:spacing w:after="0"/>
              <w:rPr>
                <w:sz w:val="13"/>
                <w:szCs w:val="13"/>
                <w:color w:val="auto"/>
              </w:rPr>
            </w:pPr>
          </w:p>
        </w:tc>
        <w:tc>
          <w:tcPr>
            <w:tcW w:w="80" w:type="dxa"/>
            <w:vAlign w:val="bottom"/>
            <w:tcBorders>
              <w:bottom w:val="single" w:sz="8" w:color="1E1E1E"/>
            </w:tcBorders>
            <w:shd w:val="clear" w:color="auto" w:fill="E4E4E4"/>
          </w:tcPr>
          <w:p>
            <w:pPr>
              <w:spacing w:after="0"/>
              <w:rPr>
                <w:sz w:val="13"/>
                <w:szCs w:val="13"/>
                <w:color w:val="auto"/>
              </w:rPr>
            </w:pPr>
          </w:p>
        </w:tc>
        <w:tc>
          <w:tcPr>
            <w:tcW w:w="1400" w:type="dxa"/>
            <w:vAlign w:val="bottom"/>
            <w:tcBorders>
              <w:bottom w:val="single" w:sz="8" w:color="1E1E1E"/>
            </w:tcBorders>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1E1E1E"/>
              </w:rPr>
              <w:t>34,007</w:t>
            </w:r>
          </w:p>
        </w:tc>
        <w:tc>
          <w:tcPr>
            <w:tcW w:w="80" w:type="dxa"/>
            <w:vAlign w:val="bottom"/>
            <w:tcBorders>
              <w:bottom w:val="single" w:sz="8" w:color="1E1E1E"/>
            </w:tcBorders>
            <w:shd w:val="clear" w:color="auto" w:fill="E4E4E4"/>
          </w:tcPr>
          <w:p>
            <w:pPr>
              <w:spacing w:after="0"/>
              <w:rPr>
                <w:sz w:val="13"/>
                <w:szCs w:val="13"/>
                <w:color w:val="auto"/>
              </w:rPr>
            </w:pPr>
          </w:p>
        </w:tc>
        <w:tc>
          <w:tcPr>
            <w:tcW w:w="120" w:type="dxa"/>
            <w:vAlign w:val="bottom"/>
            <w:tcBorders>
              <w:bottom w:val="single" w:sz="8" w:color="1E1E1E"/>
            </w:tcBorders>
            <w:shd w:val="clear" w:color="auto" w:fill="E4E4E4"/>
          </w:tcPr>
          <w:p>
            <w:pPr>
              <w:spacing w:after="0"/>
              <w:rPr>
                <w:sz w:val="13"/>
                <w:szCs w:val="13"/>
                <w:color w:val="auto"/>
              </w:rPr>
            </w:pPr>
          </w:p>
        </w:tc>
        <w:tc>
          <w:tcPr>
            <w:tcW w:w="1380" w:type="dxa"/>
            <w:vAlign w:val="bottom"/>
            <w:tcBorders>
              <w:bottom w:val="single" w:sz="8" w:color="1E1E1E"/>
            </w:tcBorders>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35,155</w:t>
            </w:r>
          </w:p>
        </w:tc>
        <w:tc>
          <w:tcPr>
            <w:tcW w:w="100" w:type="dxa"/>
            <w:vAlign w:val="bottom"/>
            <w:tcBorders>
              <w:bottom w:val="single" w:sz="8" w:color="1E1E1E"/>
            </w:tcBorders>
            <w:shd w:val="clear" w:color="auto" w:fill="E4E4E4"/>
          </w:tcPr>
          <w:p>
            <w:pPr>
              <w:spacing w:after="0"/>
              <w:rPr>
                <w:sz w:val="13"/>
                <w:szCs w:val="13"/>
                <w:color w:val="auto"/>
              </w:rPr>
            </w:pPr>
          </w:p>
        </w:tc>
        <w:tc>
          <w:tcPr>
            <w:tcW w:w="100" w:type="dxa"/>
            <w:vAlign w:val="bottom"/>
            <w:tcBorders>
              <w:bottom w:val="single" w:sz="8" w:color="1E1E1E"/>
            </w:tcBorders>
            <w:shd w:val="clear" w:color="auto" w:fill="E4E4E4"/>
          </w:tcPr>
          <w:p>
            <w:pPr>
              <w:spacing w:after="0"/>
              <w:rPr>
                <w:sz w:val="13"/>
                <w:szCs w:val="13"/>
                <w:color w:val="auto"/>
              </w:rPr>
            </w:pPr>
          </w:p>
        </w:tc>
        <w:tc>
          <w:tcPr>
            <w:tcW w:w="1420" w:type="dxa"/>
            <w:vAlign w:val="bottom"/>
            <w:tcBorders>
              <w:bottom w:val="single" w:sz="8" w:color="1E1E1E"/>
            </w:tcBorders>
            <w:shd w:val="clear" w:color="auto" w:fill="E4E4E4"/>
          </w:tcPr>
          <w:p>
            <w:pPr>
              <w:jc w:val="right"/>
              <w:spacing w:after="0" w:line="153" w:lineRule="exact"/>
              <w:rPr>
                <w:sz w:val="20"/>
                <w:szCs w:val="20"/>
                <w:color w:val="auto"/>
              </w:rPr>
            </w:pPr>
            <w:r>
              <w:rPr>
                <w:rFonts w:ascii="Times New Roman" w:cs="Times New Roman" w:eastAsia="Times New Roman" w:hAnsi="Times New Roman"/>
                <w:sz w:val="14"/>
                <w:szCs w:val="14"/>
                <w:color w:val="1E1E1E"/>
              </w:rPr>
              <w:t>47,990</w:t>
            </w:r>
          </w:p>
        </w:tc>
        <w:tc>
          <w:tcPr>
            <w:tcW w:w="100" w:type="dxa"/>
            <w:vAlign w:val="bottom"/>
            <w:tcBorders>
              <w:bottom w:val="single" w:sz="8" w:color="1E1E1E"/>
            </w:tcBorders>
            <w:shd w:val="clear" w:color="auto" w:fill="E4E4E4"/>
          </w:tcPr>
          <w:p>
            <w:pPr>
              <w:spacing w:after="0"/>
              <w:rPr>
                <w:sz w:val="13"/>
                <w:szCs w:val="13"/>
                <w:color w:val="auto"/>
              </w:rPr>
            </w:pPr>
          </w:p>
        </w:tc>
      </w:tr>
      <w:tr>
        <w:trPr>
          <w:trHeight w:val="167"/>
        </w:trPr>
        <w:tc>
          <w:tcPr>
            <w:tcW w:w="54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4"/>
                <w:szCs w:val="14"/>
                <w:b w:val="1"/>
                <w:bCs w:val="1"/>
                <w:color w:val="1E1E1E"/>
              </w:rPr>
              <w:t>Cash and cash equivalents at end of year</w:t>
            </w:r>
          </w:p>
        </w:tc>
        <w:tc>
          <w:tcPr>
            <w:tcW w:w="1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1E1E1E"/>
                <w:w w:val="85"/>
              </w:rPr>
              <w:t>$</w:t>
            </w:r>
          </w:p>
        </w:tc>
        <w:tc>
          <w:tcPr>
            <w:tcW w:w="14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105,405</w:t>
            </w:r>
          </w:p>
        </w:tc>
        <w:tc>
          <w:tcPr>
            <w:tcW w:w="80" w:type="dxa"/>
            <w:vAlign w:val="bottom"/>
            <w:tcBorders>
              <w:bottom w:val="single" w:sz="8" w:color="1E1E1E"/>
            </w:tcBorders>
          </w:tcPr>
          <w:p>
            <w:pPr>
              <w:spacing w:after="0"/>
              <w:rPr>
                <w:sz w:val="14"/>
                <w:szCs w:val="14"/>
                <w:color w:val="auto"/>
              </w:rPr>
            </w:pP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13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34,007</w:t>
            </w:r>
          </w:p>
        </w:tc>
        <w:tc>
          <w:tcPr>
            <w:tcW w:w="100" w:type="dxa"/>
            <w:vAlign w:val="bottom"/>
            <w:tcBorders>
              <w:bottom w:val="single" w:sz="8" w:color="1E1E1E"/>
            </w:tcBorders>
          </w:tcPr>
          <w:p>
            <w:pPr>
              <w:spacing w:after="0"/>
              <w:rPr>
                <w:sz w:val="14"/>
                <w:szCs w:val="14"/>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14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4"/>
                <w:szCs w:val="14"/>
                <w:color w:val="1E1E1E"/>
              </w:rPr>
              <w:t>35,155</w:t>
            </w:r>
          </w:p>
        </w:tc>
        <w:tc>
          <w:tcPr>
            <w:tcW w:w="100" w:type="dxa"/>
            <w:vAlign w:val="bottom"/>
            <w:tcBorders>
              <w:bottom w:val="single" w:sz="8" w:color="1E1E1E"/>
            </w:tcBorders>
          </w:tcPr>
          <w:p>
            <w:pPr>
              <w:spacing w:after="0"/>
              <w:rPr>
                <w:sz w:val="14"/>
                <w:szCs w:val="14"/>
                <w:color w:val="auto"/>
              </w:rPr>
            </w:pPr>
          </w:p>
        </w:tc>
      </w:tr>
      <w:tr>
        <w:trPr>
          <w:trHeight w:val="45"/>
        </w:trPr>
        <w:tc>
          <w:tcPr>
            <w:tcW w:w="5440" w:type="dxa"/>
            <w:vAlign w:val="bottom"/>
            <w:tcBorders>
              <w:bottom w:val="single" w:sz="8" w:color="1E1E1E"/>
            </w:tcBorders>
          </w:tcPr>
          <w:p>
            <w:pPr>
              <w:spacing w:after="0"/>
              <w:rPr>
                <w:sz w:val="3"/>
                <w:szCs w:val="3"/>
                <w:color w:val="auto"/>
              </w:rPr>
            </w:pPr>
          </w:p>
        </w:tc>
        <w:tc>
          <w:tcPr>
            <w:tcW w:w="20" w:type="dxa"/>
            <w:vAlign w:val="bottom"/>
            <w:tcBorders>
              <w:bottom w:val="single" w:sz="8" w:color="1E1E1E"/>
            </w:tcBorders>
          </w:tcPr>
          <w:p>
            <w:pPr>
              <w:spacing w:after="0"/>
              <w:rPr>
                <w:sz w:val="3"/>
                <w:szCs w:val="3"/>
                <w:color w:val="auto"/>
              </w:rPr>
            </w:pPr>
          </w:p>
        </w:tc>
        <w:tc>
          <w:tcPr>
            <w:tcW w:w="80" w:type="dxa"/>
            <w:vAlign w:val="bottom"/>
            <w:tcBorders>
              <w:bottom w:val="single" w:sz="8" w:color="1E1E1E"/>
            </w:tcBorders>
          </w:tcPr>
          <w:p>
            <w:pPr>
              <w:spacing w:after="0"/>
              <w:rPr>
                <w:sz w:val="3"/>
                <w:szCs w:val="3"/>
                <w:color w:val="auto"/>
              </w:rPr>
            </w:pPr>
          </w:p>
        </w:tc>
        <w:tc>
          <w:tcPr>
            <w:tcW w:w="1400" w:type="dxa"/>
            <w:vAlign w:val="bottom"/>
            <w:tcBorders>
              <w:bottom w:val="single" w:sz="8" w:color="1E1E1E"/>
            </w:tcBorders>
          </w:tcPr>
          <w:p>
            <w:pPr>
              <w:spacing w:after="0"/>
              <w:rPr>
                <w:sz w:val="3"/>
                <w:szCs w:val="3"/>
                <w:color w:val="auto"/>
              </w:rPr>
            </w:pPr>
          </w:p>
        </w:tc>
        <w:tc>
          <w:tcPr>
            <w:tcW w:w="80" w:type="dxa"/>
            <w:vAlign w:val="bottom"/>
            <w:tcBorders>
              <w:bottom w:val="single" w:sz="8" w:color="1E1E1E"/>
            </w:tcBorders>
          </w:tcPr>
          <w:p>
            <w:pPr>
              <w:spacing w:after="0"/>
              <w:rPr>
                <w:sz w:val="3"/>
                <w:szCs w:val="3"/>
                <w:color w:val="auto"/>
              </w:rPr>
            </w:pPr>
          </w:p>
        </w:tc>
        <w:tc>
          <w:tcPr>
            <w:tcW w:w="120" w:type="dxa"/>
            <w:vAlign w:val="bottom"/>
            <w:tcBorders>
              <w:bottom w:val="single" w:sz="8" w:color="1E1E1E"/>
            </w:tcBorders>
          </w:tcPr>
          <w:p>
            <w:pPr>
              <w:spacing w:after="0"/>
              <w:rPr>
                <w:sz w:val="3"/>
                <w:szCs w:val="3"/>
                <w:color w:val="auto"/>
              </w:rPr>
            </w:pPr>
          </w:p>
        </w:tc>
        <w:tc>
          <w:tcPr>
            <w:tcW w:w="1380" w:type="dxa"/>
            <w:vAlign w:val="bottom"/>
            <w:tcBorders>
              <w:bottom w:val="single" w:sz="8" w:color="1E1E1E"/>
            </w:tcBorders>
          </w:tcPr>
          <w:p>
            <w:pPr>
              <w:spacing w:after="0"/>
              <w:rPr>
                <w:sz w:val="3"/>
                <w:szCs w:val="3"/>
                <w:color w:val="auto"/>
              </w:rPr>
            </w:pPr>
          </w:p>
        </w:tc>
        <w:tc>
          <w:tcPr>
            <w:tcW w:w="100" w:type="dxa"/>
            <w:vAlign w:val="bottom"/>
            <w:tcBorders>
              <w:bottom w:val="single" w:sz="8" w:color="1E1E1E"/>
            </w:tcBorders>
          </w:tcPr>
          <w:p>
            <w:pPr>
              <w:spacing w:after="0"/>
              <w:rPr>
                <w:sz w:val="3"/>
                <w:szCs w:val="3"/>
                <w:color w:val="auto"/>
              </w:rPr>
            </w:pPr>
          </w:p>
        </w:tc>
        <w:tc>
          <w:tcPr>
            <w:tcW w:w="100" w:type="dxa"/>
            <w:vAlign w:val="bottom"/>
            <w:tcBorders>
              <w:bottom w:val="single" w:sz="8" w:color="1E1E1E"/>
            </w:tcBorders>
          </w:tcPr>
          <w:p>
            <w:pPr>
              <w:spacing w:after="0"/>
              <w:rPr>
                <w:sz w:val="3"/>
                <w:szCs w:val="3"/>
                <w:color w:val="auto"/>
              </w:rPr>
            </w:pPr>
          </w:p>
        </w:tc>
        <w:tc>
          <w:tcPr>
            <w:tcW w:w="1420" w:type="dxa"/>
            <w:vAlign w:val="bottom"/>
            <w:tcBorders>
              <w:bottom w:val="single" w:sz="8" w:color="1E1E1E"/>
            </w:tcBorders>
          </w:tcPr>
          <w:p>
            <w:pPr>
              <w:spacing w:after="0"/>
              <w:rPr>
                <w:sz w:val="3"/>
                <w:szCs w:val="3"/>
                <w:color w:val="auto"/>
              </w:rPr>
            </w:pPr>
          </w:p>
        </w:tc>
        <w:tc>
          <w:tcPr>
            <w:tcW w:w="100" w:type="dxa"/>
            <w:vAlign w:val="bottom"/>
            <w:tcBorders>
              <w:bottom w:val="single" w:sz="8" w:color="1E1E1E"/>
            </w:tcBorders>
          </w:tcPr>
          <w:p>
            <w:pPr>
              <w:spacing w:after="0"/>
              <w:rPr>
                <w:sz w:val="3"/>
                <w:szCs w:val="3"/>
                <w:color w:val="auto"/>
              </w:rPr>
            </w:pPr>
          </w:p>
        </w:tc>
      </w:tr>
      <w:tr>
        <w:trPr>
          <w:trHeight w:val="141"/>
        </w:trPr>
        <w:tc>
          <w:tcPr>
            <w:tcW w:w="5440" w:type="dxa"/>
            <w:vAlign w:val="bottom"/>
            <w:tcBorders>
              <w:top w:val="single" w:sz="8" w:color="E4E4E4"/>
            </w:tcBorders>
            <w:shd w:val="clear" w:color="auto" w:fill="E4E4E4"/>
          </w:tcPr>
          <w:p>
            <w:pPr>
              <w:spacing w:after="0" w:line="141" w:lineRule="exact"/>
              <w:rPr>
                <w:sz w:val="20"/>
                <w:szCs w:val="20"/>
                <w:color w:val="auto"/>
              </w:rPr>
            </w:pPr>
            <w:r>
              <w:rPr>
                <w:rFonts w:ascii="Times New Roman" w:cs="Times New Roman" w:eastAsia="Times New Roman" w:hAnsi="Times New Roman"/>
                <w:sz w:val="14"/>
                <w:szCs w:val="14"/>
                <w:color w:val="1E1E1E"/>
              </w:rPr>
              <w:t>Supplemental information:</w:t>
            </w:r>
          </w:p>
        </w:tc>
        <w:tc>
          <w:tcPr>
            <w:tcW w:w="20" w:type="dxa"/>
            <w:vAlign w:val="bottom"/>
            <w:tcBorders>
              <w:top w:val="single" w:sz="8" w:color="E4E4E4"/>
            </w:tcBorders>
            <w:shd w:val="clear" w:color="auto" w:fill="E4E4E4"/>
          </w:tcPr>
          <w:p>
            <w:pPr>
              <w:spacing w:after="0"/>
              <w:rPr>
                <w:sz w:val="12"/>
                <w:szCs w:val="12"/>
                <w:color w:val="auto"/>
              </w:rPr>
            </w:pPr>
          </w:p>
        </w:tc>
        <w:tc>
          <w:tcPr>
            <w:tcW w:w="80" w:type="dxa"/>
            <w:vAlign w:val="bottom"/>
            <w:tcBorders>
              <w:top w:val="single" w:sz="8" w:color="E4E4E4"/>
            </w:tcBorders>
            <w:shd w:val="clear" w:color="auto" w:fill="E4E4E4"/>
          </w:tcPr>
          <w:p>
            <w:pPr>
              <w:spacing w:after="0"/>
              <w:rPr>
                <w:sz w:val="12"/>
                <w:szCs w:val="12"/>
                <w:color w:val="auto"/>
              </w:rPr>
            </w:pPr>
          </w:p>
        </w:tc>
        <w:tc>
          <w:tcPr>
            <w:tcW w:w="1400" w:type="dxa"/>
            <w:vAlign w:val="bottom"/>
            <w:tcBorders>
              <w:top w:val="single" w:sz="8" w:color="E4E4E4"/>
            </w:tcBorders>
            <w:shd w:val="clear" w:color="auto" w:fill="E4E4E4"/>
          </w:tcPr>
          <w:p>
            <w:pPr>
              <w:spacing w:after="0"/>
              <w:rPr>
                <w:sz w:val="12"/>
                <w:szCs w:val="12"/>
                <w:color w:val="auto"/>
              </w:rPr>
            </w:pPr>
          </w:p>
        </w:tc>
        <w:tc>
          <w:tcPr>
            <w:tcW w:w="80" w:type="dxa"/>
            <w:vAlign w:val="bottom"/>
            <w:tcBorders>
              <w:top w:val="single" w:sz="8" w:color="E4E4E4"/>
            </w:tcBorders>
            <w:shd w:val="clear" w:color="auto" w:fill="E4E4E4"/>
          </w:tcPr>
          <w:p>
            <w:pPr>
              <w:spacing w:after="0"/>
              <w:rPr>
                <w:sz w:val="12"/>
                <w:szCs w:val="12"/>
                <w:color w:val="auto"/>
              </w:rPr>
            </w:pPr>
          </w:p>
        </w:tc>
        <w:tc>
          <w:tcPr>
            <w:tcW w:w="120" w:type="dxa"/>
            <w:vAlign w:val="bottom"/>
            <w:tcBorders>
              <w:top w:val="single" w:sz="8" w:color="E4E4E4"/>
            </w:tcBorders>
            <w:shd w:val="clear" w:color="auto" w:fill="E4E4E4"/>
          </w:tcPr>
          <w:p>
            <w:pPr>
              <w:spacing w:after="0"/>
              <w:rPr>
                <w:sz w:val="12"/>
                <w:szCs w:val="12"/>
                <w:color w:val="auto"/>
              </w:rPr>
            </w:pPr>
          </w:p>
        </w:tc>
        <w:tc>
          <w:tcPr>
            <w:tcW w:w="1380" w:type="dxa"/>
            <w:vAlign w:val="bottom"/>
            <w:tcBorders>
              <w:top w:val="single" w:sz="8" w:color="E4E4E4"/>
            </w:tcBorders>
            <w:shd w:val="clear" w:color="auto" w:fill="E4E4E4"/>
          </w:tcPr>
          <w:p>
            <w:pPr>
              <w:spacing w:after="0"/>
              <w:rPr>
                <w:sz w:val="12"/>
                <w:szCs w:val="12"/>
                <w:color w:val="auto"/>
              </w:rPr>
            </w:pPr>
          </w:p>
        </w:tc>
        <w:tc>
          <w:tcPr>
            <w:tcW w:w="100" w:type="dxa"/>
            <w:vAlign w:val="bottom"/>
            <w:tcBorders>
              <w:top w:val="single" w:sz="8" w:color="E4E4E4"/>
            </w:tcBorders>
            <w:shd w:val="clear" w:color="auto" w:fill="E4E4E4"/>
          </w:tcPr>
          <w:p>
            <w:pPr>
              <w:spacing w:after="0"/>
              <w:rPr>
                <w:sz w:val="12"/>
                <w:szCs w:val="12"/>
                <w:color w:val="auto"/>
              </w:rPr>
            </w:pPr>
          </w:p>
        </w:tc>
        <w:tc>
          <w:tcPr>
            <w:tcW w:w="100" w:type="dxa"/>
            <w:vAlign w:val="bottom"/>
            <w:tcBorders>
              <w:top w:val="single" w:sz="8" w:color="E4E4E4"/>
            </w:tcBorders>
            <w:shd w:val="clear" w:color="auto" w:fill="E4E4E4"/>
          </w:tcPr>
          <w:p>
            <w:pPr>
              <w:spacing w:after="0"/>
              <w:rPr>
                <w:sz w:val="12"/>
                <w:szCs w:val="12"/>
                <w:color w:val="auto"/>
              </w:rPr>
            </w:pPr>
          </w:p>
        </w:tc>
        <w:tc>
          <w:tcPr>
            <w:tcW w:w="1420" w:type="dxa"/>
            <w:vAlign w:val="bottom"/>
            <w:tcBorders>
              <w:top w:val="single" w:sz="8" w:color="E4E4E4"/>
            </w:tcBorders>
            <w:shd w:val="clear" w:color="auto" w:fill="E4E4E4"/>
          </w:tcPr>
          <w:p>
            <w:pPr>
              <w:spacing w:after="0"/>
              <w:rPr>
                <w:sz w:val="12"/>
                <w:szCs w:val="12"/>
                <w:color w:val="auto"/>
              </w:rPr>
            </w:pPr>
          </w:p>
        </w:tc>
        <w:tc>
          <w:tcPr>
            <w:tcW w:w="100" w:type="dxa"/>
            <w:vAlign w:val="bottom"/>
            <w:tcBorders>
              <w:top w:val="single" w:sz="8" w:color="E4E4E4"/>
            </w:tcBorders>
            <w:shd w:val="clear" w:color="auto" w:fill="E4E4E4"/>
          </w:tcPr>
          <w:p>
            <w:pPr>
              <w:spacing w:after="0"/>
              <w:rPr>
                <w:sz w:val="12"/>
                <w:szCs w:val="12"/>
                <w:color w:val="auto"/>
              </w:rPr>
            </w:pP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Interest paid</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0"/>
                <w:szCs w:val="10"/>
                <w:b w:val="1"/>
                <w:bCs w:val="1"/>
                <w:color w:val="1E1E1E"/>
                <w:w w:val="79"/>
              </w:rPr>
              <w:t>$</w:t>
            </w: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4,351</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4,481</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w w:val="85"/>
              </w:rPr>
              <w:t>$</w:t>
            </w: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7,841</w:t>
            </w: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Income taxes paid (refunded)</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(58,722</w:t>
            </w:r>
          </w:p>
        </w:tc>
        <w:tc>
          <w:tcPr>
            <w:tcW w:w="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b w:val="1"/>
                <w:bCs w:val="1"/>
                <w:color w:val="1E1E1E"/>
                <w:w w:val="73"/>
                <w:shd w:val="clear" w:color="auto" w:fill="E4E4E4"/>
              </w:rPr>
              <w:t>)</w:t>
            </w: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3,506</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5,888</w:t>
            </w:r>
          </w:p>
        </w:tc>
        <w:tc>
          <w:tcPr>
            <w:tcW w:w="100" w:type="dxa"/>
            <w:vAlign w:val="bottom"/>
            <w:shd w:val="clear" w:color="auto" w:fill="E4E4E4"/>
          </w:tcPr>
          <w:p>
            <w:pPr>
              <w:spacing w:after="0"/>
              <w:rPr>
                <w:sz w:val="13"/>
                <w:szCs w:val="13"/>
                <w:color w:val="auto"/>
              </w:rPr>
            </w:pPr>
          </w:p>
        </w:tc>
      </w:tr>
      <w:tr>
        <w:trPr>
          <w:trHeight w:val="173"/>
        </w:trPr>
        <w:tc>
          <w:tcPr>
            <w:tcW w:w="5440" w:type="dxa"/>
            <w:vAlign w:val="bottom"/>
            <w:tcBorders>
              <w:bottom w:val="single" w:sz="8" w:color="E4E4E4"/>
            </w:tcBorders>
          </w:tcPr>
          <w:p>
            <w:pPr>
              <w:ind w:left="160"/>
              <w:spacing w:after="0"/>
              <w:rPr>
                <w:sz w:val="20"/>
                <w:szCs w:val="20"/>
                <w:color w:val="auto"/>
              </w:rPr>
            </w:pPr>
            <w:r>
              <w:rPr>
                <w:rFonts w:ascii="Times New Roman" w:cs="Times New Roman" w:eastAsia="Times New Roman" w:hAnsi="Times New Roman"/>
                <w:sz w:val="14"/>
                <w:szCs w:val="14"/>
                <w:color w:val="1E1E1E"/>
              </w:rPr>
              <w:t>Cash paid for amounts included in measurement of operating lease liabilities</w:t>
            </w:r>
          </w:p>
        </w:tc>
        <w:tc>
          <w:tcPr>
            <w:tcW w:w="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4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b w:val="1"/>
                <w:bCs w:val="1"/>
                <w:color w:val="1E1E1E"/>
              </w:rPr>
              <w:t>181,083</w:t>
            </w:r>
          </w:p>
        </w:tc>
        <w:tc>
          <w:tcPr>
            <w:tcW w:w="8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3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165,668</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E4E4E4"/>
            </w:tcBorders>
          </w:tcPr>
          <w:p>
            <w:pPr>
              <w:spacing w:after="0"/>
              <w:rPr>
                <w:sz w:val="15"/>
                <w:szCs w:val="15"/>
                <w:color w:val="auto"/>
              </w:rPr>
            </w:pPr>
          </w:p>
        </w:tc>
        <w:tc>
          <w:tcPr>
            <w:tcW w:w="14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4"/>
                <w:szCs w:val="14"/>
                <w:color w:val="1E1E1E"/>
              </w:rPr>
              <w:t>187,129</w:t>
            </w:r>
          </w:p>
        </w:tc>
        <w:tc>
          <w:tcPr>
            <w:tcW w:w="100" w:type="dxa"/>
            <w:vAlign w:val="bottom"/>
            <w:tcBorders>
              <w:bottom w:val="single" w:sz="8" w:color="E4E4E4"/>
            </w:tcBorders>
          </w:tcPr>
          <w:p>
            <w:pPr>
              <w:spacing w:after="0"/>
              <w:rPr>
                <w:sz w:val="15"/>
                <w:szCs w:val="15"/>
                <w:color w:val="auto"/>
              </w:rPr>
            </w:pPr>
          </w:p>
        </w:tc>
      </w:tr>
      <w:tr>
        <w:trPr>
          <w:trHeight w:val="158"/>
        </w:trPr>
        <w:tc>
          <w:tcPr>
            <w:tcW w:w="5440" w:type="dxa"/>
            <w:vAlign w:val="bottom"/>
            <w:shd w:val="clear" w:color="auto" w:fill="E4E4E4"/>
          </w:tcPr>
          <w:p>
            <w:pPr>
              <w:ind w:left="160"/>
              <w:spacing w:after="0" w:line="157" w:lineRule="exact"/>
              <w:rPr>
                <w:sz w:val="20"/>
                <w:szCs w:val="20"/>
                <w:color w:val="auto"/>
              </w:rPr>
            </w:pPr>
            <w:r>
              <w:rPr>
                <w:rFonts w:ascii="Times New Roman" w:cs="Times New Roman" w:eastAsia="Times New Roman" w:hAnsi="Times New Roman"/>
                <w:sz w:val="14"/>
                <w:szCs w:val="14"/>
                <w:color w:val="1E1E1E"/>
              </w:rPr>
              <w:t>Operating leased assets obtained in exchange for new operating lease liabilities</w:t>
            </w:r>
          </w:p>
        </w:tc>
        <w:tc>
          <w:tcPr>
            <w:tcW w:w="2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c>
          <w:tcPr>
            <w:tcW w:w="140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1E1E1E"/>
              </w:rPr>
              <w:t>196,748</w:t>
            </w:r>
          </w:p>
        </w:tc>
        <w:tc>
          <w:tcPr>
            <w:tcW w:w="8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138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156,487</w:t>
            </w: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420" w:type="dxa"/>
            <w:vAlign w:val="bottom"/>
            <w:shd w:val="clear" w:color="auto" w:fill="E4E4E4"/>
          </w:tcPr>
          <w:p>
            <w:pPr>
              <w:jc w:val="right"/>
              <w:spacing w:after="0" w:line="157" w:lineRule="exact"/>
              <w:rPr>
                <w:sz w:val="20"/>
                <w:szCs w:val="20"/>
                <w:color w:val="auto"/>
              </w:rPr>
            </w:pPr>
            <w:r>
              <w:rPr>
                <w:rFonts w:ascii="Times New Roman" w:cs="Times New Roman" w:eastAsia="Times New Roman" w:hAnsi="Times New Roman"/>
                <w:sz w:val="14"/>
                <w:szCs w:val="14"/>
                <w:color w:val="1E1E1E"/>
              </w:rPr>
              <w:t>128,017</w:t>
            </w:r>
          </w:p>
        </w:tc>
        <w:tc>
          <w:tcPr>
            <w:tcW w:w="100" w:type="dxa"/>
            <w:vAlign w:val="bottom"/>
            <w:shd w:val="clear" w:color="auto" w:fill="E4E4E4"/>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3461385</wp:posOffset>
                </wp:positionH>
                <wp:positionV relativeFrom="paragraph">
                  <wp:posOffset>-4844415</wp:posOffset>
                </wp:positionV>
                <wp:extent cx="30448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48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55pt,-381.4499pt" to="512.3pt,-381.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-3948430</wp:posOffset>
                </wp:positionV>
                <wp:extent cx="651002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10.8999pt" to="512.3pt,-310.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-3726180</wp:posOffset>
                </wp:positionV>
                <wp:extent cx="651002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93.3999pt" to="512.3pt,-293.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-1376045</wp:posOffset>
                </wp:positionV>
                <wp:extent cx="651002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08.3499pt" to="512.3pt,-108.3499pt" o:allowincell="f" strokecolor="#FFFFFF" strokeweight="0.72pt"/>
            </w:pict>
          </mc:Fallback>
        </mc:AlternateConten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2240" w:h="15840" w:orient="portrait"/>
          <w:cols w:equalWidth="0" w:num="1">
            <w:col w:w="10240"/>
          </w:cols>
          <w:pgMar w:left="1000" w:top="1440"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51</w:t>
      </w:r>
    </w:p>
    <w:p>
      <w:pPr>
        <w:sectPr>
          <w:pgSz w:w="12240" w:h="15840" w:orient="portrait"/>
          <w:cols w:equalWidth="0" w:num="1">
            <w:col w:w="10240"/>
          </w:cols>
          <w:pgMar w:left="1000" w:top="1440" w:right="1000" w:bottom="178" w:gutter="0" w:footer="0" w:header="0"/>
          <w:type w:val="continuous"/>
        </w:sectPr>
      </w:pPr>
    </w:p>
    <w:bookmarkStart w:id="58" w:name="page59"/>
    <w:bookmarkEnd w:id="58"/>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jc w:val="center"/>
        <w:ind w:right="-19"/>
        <w:spacing w:after="0"/>
        <w:rPr>
          <w:sz w:val="20"/>
          <w:szCs w:val="20"/>
          <w:color w:val="auto"/>
        </w:rPr>
      </w:pPr>
      <w:r>
        <w:rPr>
          <w:rFonts w:ascii="Times New Roman" w:cs="Times New Roman" w:eastAsia="Times New Roman" w:hAnsi="Times New Roman"/>
          <w:sz w:val="20"/>
          <w:szCs w:val="20"/>
          <w:color w:val="1E1E1E"/>
        </w:rPr>
        <w:t>Consolidated Statements of Equity</w:t>
      </w:r>
    </w:p>
    <w:p>
      <w:pPr>
        <w:jc w:val="center"/>
        <w:ind w:right="-19"/>
        <w:spacing w:after="0"/>
        <w:rPr>
          <w:sz w:val="20"/>
          <w:szCs w:val="20"/>
          <w:color w:val="auto"/>
        </w:rPr>
      </w:pPr>
      <w:r>
        <w:rPr>
          <w:rFonts w:ascii="Times New Roman" w:cs="Times New Roman" w:eastAsia="Times New Roman" w:hAnsi="Times New Roman"/>
          <w:sz w:val="20"/>
          <w:szCs w:val="20"/>
          <w:color w:val="1E1E1E"/>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144145</wp:posOffset>
                </wp:positionV>
                <wp:extent cx="651065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6095">
                          <a:solidFill>
                            <a:srgbClr val="1E1E1E"/>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1.35pt" to="513.3pt,11.35pt" o:allowincell="f" strokecolor="#1E1E1E" strokeweight="0.4799pt"/>
            </w:pict>
          </mc:Fallback>
        </mc:AlternateConten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1E1E1E"/>
              </w:rPr>
              <w:t>Non-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00" w:type="dxa"/>
            <w:vAlign w:val="bottom"/>
            <w:gridSpan w:val="3"/>
          </w:tcPr>
          <w:p>
            <w:pPr>
              <w:jc w:val="center"/>
              <w:ind w:right="60"/>
              <w:spacing w:after="0" w:line="182" w:lineRule="exact"/>
              <w:rPr>
                <w:sz w:val="20"/>
                <w:szCs w:val="20"/>
                <w:color w:val="auto"/>
              </w:rPr>
            </w:pPr>
            <w:r>
              <w:rPr>
                <w:rFonts w:ascii="Times New Roman" w:cs="Times New Roman" w:eastAsia="Times New Roman" w:hAnsi="Times New Roman"/>
                <w:sz w:val="16"/>
                <w:szCs w:val="16"/>
                <w:b w:val="1"/>
                <w:bCs w:val="1"/>
                <w:color w:val="1E1E1E"/>
              </w:rPr>
              <w:t>Redeemable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6"/>
                <w:szCs w:val="16"/>
                <w:b w:val="1"/>
                <w:bCs w:val="1"/>
                <w:color w:val="1E1E1E"/>
              </w:rPr>
              <w:t>Additional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1"/>
              <w:spacing w:after="0" w:line="182" w:lineRule="exact"/>
              <w:rPr>
                <w:sz w:val="20"/>
                <w:szCs w:val="20"/>
                <w:color w:val="auto"/>
              </w:rPr>
            </w:pPr>
            <w:r>
              <w:rPr>
                <w:rFonts w:ascii="Times New Roman" w:cs="Times New Roman" w:eastAsia="Times New Roman" w:hAnsi="Times New Roman"/>
                <w:sz w:val="16"/>
                <w:szCs w:val="16"/>
                <w:b w:val="1"/>
                <w:bCs w:val="1"/>
                <w:color w:val="1E1E1E"/>
              </w:rPr>
              <w:t>Other</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1E1E1E"/>
                <w:w w:val="98"/>
              </w:rPr>
              <w:t>Preferred</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1E1E1E"/>
              </w:rPr>
              <w:t>Common</w:t>
            </w:r>
          </w:p>
        </w:tc>
        <w:tc>
          <w:tcPr>
            <w:tcW w:w="1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Paid-In</w:t>
            </w:r>
          </w:p>
        </w:tc>
        <w:tc>
          <w:tcPr>
            <w:tcW w:w="1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Retained</w:t>
            </w:r>
          </w:p>
        </w:tc>
        <w:tc>
          <w:tcPr>
            <w:tcW w:w="1240" w:type="dxa"/>
            <w:vAlign w:val="bottom"/>
            <w:gridSpan w:val="3"/>
          </w:tcPr>
          <w:p>
            <w:pPr>
              <w:jc w:val="center"/>
              <w:ind w:right="21"/>
              <w:spacing w:after="0"/>
              <w:rPr>
                <w:sz w:val="20"/>
                <w:szCs w:val="20"/>
                <w:color w:val="auto"/>
              </w:rPr>
            </w:pPr>
            <w:r>
              <w:rPr>
                <w:rFonts w:ascii="Times New Roman" w:cs="Times New Roman" w:eastAsia="Times New Roman" w:hAnsi="Times New Roman"/>
                <w:sz w:val="16"/>
                <w:szCs w:val="16"/>
                <w:b w:val="1"/>
                <w:bCs w:val="1"/>
                <w:color w:val="1E1E1E"/>
                <w:w w:val="99"/>
              </w:rPr>
              <w:t>Comprehensive</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1E1E1E"/>
              </w:rPr>
              <w:t>Treasury</w:t>
            </w:r>
          </w:p>
        </w:tc>
        <w:tc>
          <w:tcPr>
            <w:tcW w:w="100" w:type="dxa"/>
            <w:vAlign w:val="bottom"/>
          </w:tcPr>
          <w:p>
            <w:pPr>
              <w:spacing w:after="0"/>
              <w:rPr>
                <w:sz w:val="16"/>
                <w:szCs w:val="16"/>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26"/>
        </w:trPr>
        <w:tc>
          <w:tcPr>
            <w:tcW w:w="20" w:type="dxa"/>
            <w:vAlign w:val="bottom"/>
          </w:tcPr>
          <w:p>
            <w:pPr>
              <w:spacing w:after="0"/>
              <w:rPr>
                <w:sz w:val="19"/>
                <w:szCs w:val="19"/>
                <w:color w:val="auto"/>
              </w:rPr>
            </w:pPr>
          </w:p>
        </w:tc>
        <w:tc>
          <w:tcPr>
            <w:tcW w:w="258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1E1E1E"/>
                <w:w w:val="99"/>
              </w:rPr>
              <w:t>Stock</w:t>
            </w:r>
          </w:p>
        </w:tc>
        <w:tc>
          <w:tcPr>
            <w:tcW w:w="10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1E1E1E"/>
              </w:rPr>
              <w:t>Stock</w:t>
            </w:r>
          </w:p>
        </w:tc>
        <w:tc>
          <w:tcPr>
            <w:tcW w:w="10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Capital</w:t>
            </w:r>
          </w:p>
        </w:tc>
        <w:tc>
          <w:tcPr>
            <w:tcW w:w="10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1E1E1E"/>
              </w:rPr>
              <w:t>Earnings</w:t>
            </w:r>
          </w:p>
        </w:tc>
        <w:tc>
          <w:tcPr>
            <w:tcW w:w="10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1E1E1E"/>
                <w:w w:val="96"/>
              </w:rPr>
              <w:t>Loss</w:t>
            </w:r>
          </w:p>
        </w:tc>
        <w:tc>
          <w:tcPr>
            <w:tcW w:w="10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0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1E1E1E"/>
              </w:rPr>
              <w:t>Equity</w:t>
            </w:r>
          </w:p>
        </w:tc>
      </w:tr>
      <w:tr>
        <w:trPr>
          <w:trHeight w:val="166"/>
        </w:trPr>
        <w:tc>
          <w:tcPr>
            <w:tcW w:w="20" w:type="dxa"/>
            <w:vAlign w:val="bottom"/>
          </w:tcPr>
          <w:p>
            <w:pPr>
              <w:spacing w:after="0"/>
              <w:rPr>
                <w:sz w:val="14"/>
                <w:szCs w:val="14"/>
                <w:color w:val="auto"/>
              </w:rPr>
            </w:pPr>
          </w:p>
        </w:tc>
        <w:tc>
          <w:tcPr>
            <w:tcW w:w="2580" w:type="dxa"/>
            <w:vAlign w:val="bottom"/>
            <w:tcBorders>
              <w:top w:val="single" w:sz="8" w:color="E4E4E4"/>
              <w:bottom w:val="single" w:sz="8" w:color="1E1E1E"/>
            </w:tcBorders>
            <w:shd w:val="clear" w:color="auto" w:fill="E4E4E4"/>
          </w:tcPr>
          <w:p>
            <w:pPr>
              <w:spacing w:after="0" w:line="167" w:lineRule="exact"/>
              <w:rPr>
                <w:sz w:val="20"/>
                <w:szCs w:val="20"/>
                <w:color w:val="auto"/>
              </w:rPr>
            </w:pPr>
            <w:r>
              <w:rPr>
                <w:rFonts w:ascii="Times New Roman" w:cs="Times New Roman" w:eastAsia="Times New Roman" w:hAnsi="Times New Roman"/>
                <w:sz w:val="16"/>
                <w:szCs w:val="16"/>
                <w:color w:val="1E1E1E"/>
              </w:rPr>
              <w:t>Balance January 28, 2023</w:t>
            </w: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c>
          <w:tcPr>
            <w:tcW w:w="91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815</w:t>
            </w:r>
          </w:p>
        </w:tc>
        <w:tc>
          <w:tcPr>
            <w:tcW w:w="9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99"/>
                <w:shd w:val="clear" w:color="auto" w:fill="E4E4E4"/>
              </w:rPr>
              <w:t>$</w:t>
            </w:r>
          </w:p>
        </w:tc>
        <w:tc>
          <w:tcPr>
            <w:tcW w:w="86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13,089</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99"/>
                <w:shd w:val="clear" w:color="auto" w:fill="E4E4E4"/>
              </w:rPr>
              <w:t>$</w:t>
            </w:r>
          </w:p>
        </w:tc>
        <w:tc>
          <w:tcPr>
            <w:tcW w:w="87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305,260</w:t>
            </w:r>
          </w:p>
        </w:tc>
        <w:tc>
          <w:tcPr>
            <w:tcW w:w="9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99"/>
                <w:shd w:val="clear" w:color="auto" w:fill="E4E4E4"/>
              </w:rPr>
              <w:t>$</w:t>
            </w:r>
          </w:p>
        </w:tc>
        <w:tc>
          <w:tcPr>
            <w:tcW w:w="86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346,870</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99"/>
                <w:shd w:val="clear" w:color="auto" w:fill="E4E4E4"/>
              </w:rPr>
              <w:t>$</w:t>
            </w:r>
          </w:p>
        </w:tc>
        <w:tc>
          <w:tcPr>
            <w:tcW w:w="104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(41,211</w:t>
            </w: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c>
          <w:tcPr>
            <w:tcW w:w="86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(17,857)</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99"/>
                <w:shd w:val="clear" w:color="auto" w:fill="E4E4E4"/>
              </w:rPr>
              <w:t>$</w:t>
            </w:r>
          </w:p>
        </w:tc>
        <w:tc>
          <w:tcPr>
            <w:tcW w:w="88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606,966</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2580" w:type="dxa"/>
            <w:vAlign w:val="bottom"/>
            <w:tcBorders>
              <w:bottom w:val="single" w:sz="8" w:color="E4E4E4"/>
            </w:tcBorders>
          </w:tcPr>
          <w:p>
            <w:pPr>
              <w:spacing w:after="0" w:line="177" w:lineRule="exact"/>
              <w:rPr>
                <w:sz w:val="20"/>
                <w:szCs w:val="20"/>
                <w:color w:val="auto"/>
              </w:rPr>
            </w:pPr>
            <w:r>
              <w:rPr>
                <w:rFonts w:ascii="Times New Roman" w:cs="Times New Roman" w:eastAsia="Times New Roman" w:hAnsi="Times New Roman"/>
                <w:sz w:val="16"/>
                <w:szCs w:val="16"/>
                <w:color w:val="1E1E1E"/>
              </w:rPr>
              <w:t>Net loss</w:t>
            </w:r>
          </w:p>
        </w:tc>
        <w:tc>
          <w:tcPr>
            <w:tcW w:w="100" w:type="dxa"/>
            <w:vAlign w:val="bottom"/>
            <w:tcBorders>
              <w:bottom w:val="single" w:sz="8" w:color="E4E4E4"/>
            </w:tcBorders>
          </w:tcPr>
          <w:p>
            <w:pPr>
              <w:spacing w:after="0"/>
              <w:rPr>
                <w:sz w:val="15"/>
                <w:szCs w:val="15"/>
                <w:color w:val="auto"/>
              </w:rPr>
            </w:pPr>
          </w:p>
        </w:tc>
        <w:tc>
          <w:tcPr>
            <w:tcW w:w="1000" w:type="dxa"/>
            <w:vAlign w:val="bottom"/>
            <w:tcBorders>
              <w:bottom w:val="single" w:sz="8" w:color="E4E4E4"/>
            </w:tcBorders>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5"/>
                <w:szCs w:val="15"/>
                <w:color w:val="auto"/>
              </w:rPr>
            </w:pPr>
          </w:p>
        </w:tc>
        <w:tc>
          <w:tcPr>
            <w:tcW w:w="960" w:type="dxa"/>
            <w:vAlign w:val="bottom"/>
            <w:tcBorders>
              <w:bottom w:val="single" w:sz="8" w:color="E4E4E4"/>
            </w:tcBorders>
            <w:gridSpan w:val="2"/>
          </w:tcPr>
          <w:p>
            <w:pPr>
              <w:jc w:val="right"/>
              <w:ind w:right="100"/>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5"/>
                <w:szCs w:val="15"/>
                <w:color w:val="auto"/>
              </w:rPr>
            </w:pPr>
          </w:p>
        </w:tc>
        <w:tc>
          <w:tcPr>
            <w:tcW w:w="960" w:type="dxa"/>
            <w:vAlign w:val="bottom"/>
            <w:tcBorders>
              <w:bottom w:val="single" w:sz="8" w:color="E4E4E4"/>
            </w:tcBorders>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5"/>
                <w:szCs w:val="15"/>
                <w:color w:val="auto"/>
              </w:rPr>
            </w:pPr>
          </w:p>
        </w:tc>
        <w:tc>
          <w:tcPr>
            <w:tcW w:w="960" w:type="dxa"/>
            <w:vAlign w:val="bottom"/>
            <w:tcBorders>
              <w:bottom w:val="single" w:sz="8" w:color="E4E4E4"/>
            </w:tcBorders>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1E1E1E"/>
              </w:rPr>
              <w:t>(16,827)</w:t>
            </w:r>
          </w:p>
        </w:tc>
        <w:tc>
          <w:tcPr>
            <w:tcW w:w="100" w:type="dxa"/>
            <w:vAlign w:val="bottom"/>
            <w:tcBorders>
              <w:bottom w:val="single" w:sz="8" w:color="E4E4E4"/>
            </w:tcBorders>
          </w:tcPr>
          <w:p>
            <w:pPr>
              <w:spacing w:after="0"/>
              <w:rPr>
                <w:sz w:val="15"/>
                <w:szCs w:val="15"/>
                <w:color w:val="auto"/>
              </w:rPr>
            </w:pPr>
          </w:p>
        </w:tc>
        <w:tc>
          <w:tcPr>
            <w:tcW w:w="1140" w:type="dxa"/>
            <w:vAlign w:val="bottom"/>
            <w:tcBorders>
              <w:bottom w:val="single" w:sz="8" w:color="E4E4E4"/>
            </w:tcBorders>
            <w:gridSpan w:val="2"/>
          </w:tcPr>
          <w:p>
            <w:pPr>
              <w:jc w:val="right"/>
              <w:ind w:right="21"/>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5"/>
                <w:szCs w:val="15"/>
                <w:color w:val="auto"/>
              </w:rPr>
            </w:pPr>
          </w:p>
        </w:tc>
        <w:tc>
          <w:tcPr>
            <w:tcW w:w="960" w:type="dxa"/>
            <w:vAlign w:val="bottom"/>
            <w:tcBorders>
              <w:bottom w:val="single" w:sz="8" w:color="E4E4E4"/>
            </w:tcBorders>
            <w:gridSpan w:val="2"/>
          </w:tcPr>
          <w:p>
            <w:pPr>
              <w:jc w:val="right"/>
              <w:ind w:right="100"/>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5"/>
                <w:szCs w:val="15"/>
                <w:color w:val="auto"/>
              </w:rPr>
            </w:pPr>
          </w:p>
        </w:tc>
        <w:tc>
          <w:tcPr>
            <w:tcW w:w="980" w:type="dxa"/>
            <w:vAlign w:val="bottom"/>
            <w:tcBorders>
              <w:bottom w:val="single" w:sz="8" w:color="E4E4E4"/>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1E1E1E"/>
              </w:rPr>
              <w:t>(16,827)</w:t>
            </w:r>
          </w:p>
        </w:tc>
      </w:tr>
      <w:tr>
        <w:trPr>
          <w:trHeight w:val="182"/>
        </w:trPr>
        <w:tc>
          <w:tcPr>
            <w:tcW w:w="20" w:type="dxa"/>
            <w:vAlign w:val="bottom"/>
          </w:tcPr>
          <w:p>
            <w:pPr>
              <w:spacing w:after="0"/>
              <w:rPr>
                <w:sz w:val="15"/>
                <w:szCs w:val="15"/>
                <w:color w:val="auto"/>
              </w:rPr>
            </w:pPr>
          </w:p>
        </w:tc>
        <w:tc>
          <w:tcPr>
            <w:tcW w:w="2580" w:type="dxa"/>
            <w:vAlign w:val="bottom"/>
            <w:shd w:val="clear" w:color="auto" w:fill="E4E4E4"/>
          </w:tcPr>
          <w:p>
            <w:pPr>
              <w:spacing w:after="0" w:line="181" w:lineRule="exact"/>
              <w:rPr>
                <w:sz w:val="20"/>
                <w:szCs w:val="20"/>
                <w:color w:val="auto"/>
              </w:rPr>
            </w:pPr>
            <w:r>
              <w:rPr>
                <w:rFonts w:ascii="Times New Roman" w:cs="Times New Roman" w:eastAsia="Times New Roman" w:hAnsi="Times New Roman"/>
                <w:sz w:val="16"/>
                <w:szCs w:val="16"/>
                <w:color w:val="1E1E1E"/>
              </w:rPr>
              <w:t>Other comprehensive income</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1,587</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1,587</w:t>
            </w:r>
          </w:p>
        </w:tc>
        <w:tc>
          <w:tcPr>
            <w:tcW w:w="100" w:type="dxa"/>
            <w:vAlign w:val="bottom"/>
            <w:shd w:val="clear" w:color="auto" w:fill="E4E4E4"/>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Share-based compensation expense</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87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14,014</w:t>
            </w:r>
          </w:p>
        </w:tc>
        <w:tc>
          <w:tcPr>
            <w:tcW w:w="9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8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14,014</w:t>
            </w:r>
          </w:p>
        </w:tc>
        <w:tc>
          <w:tcPr>
            <w:tcW w:w="100" w:type="dxa"/>
            <w:vAlign w:val="bottom"/>
            <w:tcBorders>
              <w:bottom w:val="single" w:sz="8" w:color="E4E4E4"/>
            </w:tcBorders>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580" w:type="dxa"/>
            <w:vAlign w:val="bottom"/>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Restricted stock issuance</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296</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(296</w:t>
            </w:r>
          </w:p>
        </w:tc>
        <w:tc>
          <w:tcPr>
            <w:tcW w:w="9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Restricted shares withheld for taxes</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(86)</w:t>
            </w:r>
          </w:p>
        </w:tc>
        <w:tc>
          <w:tcPr>
            <w:tcW w:w="100" w:type="dxa"/>
            <w:vAlign w:val="bottom"/>
            <w:tcBorders>
              <w:bottom w:val="single" w:sz="8" w:color="E4E4E4"/>
            </w:tcBorders>
          </w:tcPr>
          <w:p>
            <w:pPr>
              <w:spacing w:after="0"/>
              <w:rPr>
                <w:sz w:val="17"/>
                <w:szCs w:val="17"/>
                <w:color w:val="auto"/>
              </w:rPr>
            </w:pPr>
          </w:p>
        </w:tc>
        <w:tc>
          <w:tcPr>
            <w:tcW w:w="87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86</w:t>
            </w:r>
          </w:p>
        </w:tc>
        <w:tc>
          <w:tcPr>
            <w:tcW w:w="9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(2,249)</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(2,249)</w:t>
            </w:r>
          </w:p>
        </w:tc>
      </w:tr>
      <w:tr>
        <w:trPr>
          <w:trHeight w:val="182"/>
        </w:trPr>
        <w:tc>
          <w:tcPr>
            <w:tcW w:w="20" w:type="dxa"/>
            <w:vAlign w:val="bottom"/>
          </w:tcPr>
          <w:p>
            <w:pPr>
              <w:spacing w:after="0"/>
              <w:rPr>
                <w:sz w:val="15"/>
                <w:szCs w:val="15"/>
                <w:color w:val="auto"/>
              </w:rPr>
            </w:pPr>
          </w:p>
        </w:tc>
        <w:tc>
          <w:tcPr>
            <w:tcW w:w="2580" w:type="dxa"/>
            <w:vAlign w:val="bottom"/>
            <w:shd w:val="clear" w:color="auto" w:fill="E4E4E4"/>
          </w:tcPr>
          <w:p>
            <w:pPr>
              <w:spacing w:after="0" w:line="181" w:lineRule="exact"/>
              <w:rPr>
                <w:sz w:val="20"/>
                <w:szCs w:val="20"/>
                <w:color w:val="auto"/>
              </w:rPr>
            </w:pPr>
            <w:r>
              <w:rPr>
                <w:rFonts w:ascii="Times New Roman" w:cs="Times New Roman" w:eastAsia="Times New Roman" w:hAnsi="Times New Roman"/>
                <w:sz w:val="16"/>
                <w:szCs w:val="16"/>
                <w:color w:val="1E1E1E"/>
              </w:rPr>
              <w:t>Shares repurchased</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(1,261)</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(30,766)</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(32,027</w:t>
            </w:r>
          </w:p>
        </w:tc>
        <w:tc>
          <w:tcPr>
            <w:tcW w:w="100" w:type="dxa"/>
            <w:vAlign w:val="bottom"/>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r>
      <w:tr>
        <w:trPr>
          <w:trHeight w:val="182"/>
        </w:trPr>
        <w:tc>
          <w:tcPr>
            <w:tcW w:w="20" w:type="dxa"/>
            <w:vAlign w:val="bottom"/>
          </w:tcPr>
          <w:p>
            <w:pPr>
              <w:spacing w:after="0"/>
              <w:rPr>
                <w:sz w:val="15"/>
                <w:szCs w:val="15"/>
                <w:color w:val="auto"/>
              </w:rPr>
            </w:pPr>
          </w:p>
        </w:tc>
        <w:tc>
          <w:tcPr>
            <w:tcW w:w="25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1E1E1E"/>
              </w:rPr>
              <w:t>Excise taxes related to repurchases of</w:t>
            </w:r>
          </w:p>
        </w:tc>
        <w:tc>
          <w:tcPr>
            <w:tcW w:w="10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common stock</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(262)</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(262)</w:t>
            </w:r>
          </w:p>
        </w:tc>
      </w:tr>
      <w:tr>
        <w:trPr>
          <w:trHeight w:val="177"/>
        </w:trPr>
        <w:tc>
          <w:tcPr>
            <w:tcW w:w="20" w:type="dxa"/>
            <w:vAlign w:val="bottom"/>
          </w:tcPr>
          <w:p>
            <w:pPr>
              <w:spacing w:after="0"/>
              <w:rPr>
                <w:sz w:val="15"/>
                <w:szCs w:val="15"/>
                <w:color w:val="auto"/>
              </w:rPr>
            </w:pPr>
          </w:p>
        </w:tc>
        <w:tc>
          <w:tcPr>
            <w:tcW w:w="2580" w:type="dxa"/>
            <w:vAlign w:val="bottom"/>
            <w:tcBorders>
              <w:bottom w:val="single" w:sz="8" w:color="1E1E1E"/>
            </w:tcBorders>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Other</w:t>
            </w:r>
          </w:p>
        </w:tc>
        <w:tc>
          <w:tcPr>
            <w:tcW w:w="100" w:type="dxa"/>
            <w:vAlign w:val="bottom"/>
            <w:tcBorders>
              <w:bottom w:val="single" w:sz="8" w:color="1E1E1E"/>
            </w:tcBorders>
            <w:shd w:val="clear" w:color="auto" w:fill="E4E4E4"/>
          </w:tcPr>
          <w:p>
            <w:pPr>
              <w:spacing w:after="0"/>
              <w:rPr>
                <w:sz w:val="15"/>
                <w:szCs w:val="15"/>
                <w:color w:val="auto"/>
              </w:rPr>
            </w:pPr>
          </w:p>
        </w:tc>
        <w:tc>
          <w:tcPr>
            <w:tcW w:w="910" w:type="dxa"/>
            <w:vAlign w:val="bottom"/>
            <w:tcBorders>
              <w:bottom w:val="single" w:sz="8" w:color="1E1E1E"/>
            </w:tcBorders>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(2</w:t>
            </w:r>
          </w:p>
        </w:tc>
        <w:tc>
          <w:tcPr>
            <w:tcW w:w="9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c>
          <w:tcPr>
            <w:tcW w:w="100" w:type="dxa"/>
            <w:vAlign w:val="bottom"/>
            <w:tcBorders>
              <w:bottom w:val="single" w:sz="8" w:color="1E1E1E"/>
            </w:tcBorders>
            <w:shd w:val="clear" w:color="auto" w:fill="E4E4E4"/>
          </w:tcPr>
          <w:p>
            <w:pPr>
              <w:spacing w:after="0"/>
              <w:rPr>
                <w:sz w:val="15"/>
                <w:szCs w:val="15"/>
                <w:color w:val="auto"/>
              </w:rPr>
            </w:pPr>
          </w:p>
        </w:tc>
        <w:tc>
          <w:tcPr>
            <w:tcW w:w="860" w:type="dxa"/>
            <w:vAlign w:val="bottom"/>
            <w:tcBorders>
              <w:bottom w:val="single" w:sz="8" w:color="1E1E1E"/>
            </w:tcBorders>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(77)</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70" w:type="dxa"/>
            <w:vAlign w:val="bottom"/>
            <w:tcBorders>
              <w:bottom w:val="single" w:sz="8" w:color="1E1E1E"/>
            </w:tcBorders>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79</w:t>
            </w:r>
          </w:p>
        </w:tc>
        <w:tc>
          <w:tcPr>
            <w:tcW w:w="9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60" w:type="dxa"/>
            <w:vAlign w:val="bottom"/>
            <w:tcBorders>
              <w:bottom w:val="single" w:sz="8" w:color="1E1E1E"/>
            </w:tcBorders>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1040" w:type="dxa"/>
            <w:vAlign w:val="bottom"/>
            <w:tcBorders>
              <w:bottom w:val="single" w:sz="8" w:color="1E1E1E"/>
            </w:tcBorders>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60" w:type="dxa"/>
            <w:vAlign w:val="bottom"/>
            <w:tcBorders>
              <w:bottom w:val="single" w:sz="8" w:color="1E1E1E"/>
            </w:tcBorders>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80" w:type="dxa"/>
            <w:vAlign w:val="bottom"/>
            <w:tcBorders>
              <w:bottom w:val="single" w:sz="8" w:color="1E1E1E"/>
            </w:tcBorders>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shd w:val="clear" w:color="auto" w:fill="E4E4E4"/>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2580" w:type="dxa"/>
            <w:vAlign w:val="bottom"/>
            <w:tcBorders>
              <w:bottom w:val="single" w:sz="8" w:color="1E1E1E"/>
            </w:tcBorders>
          </w:tcPr>
          <w:p>
            <w:pPr>
              <w:spacing w:after="0" w:line="181" w:lineRule="exact"/>
              <w:rPr>
                <w:sz w:val="20"/>
                <w:szCs w:val="20"/>
                <w:color w:val="auto"/>
              </w:rPr>
            </w:pPr>
            <w:r>
              <w:rPr>
                <w:rFonts w:ascii="Times New Roman" w:cs="Times New Roman" w:eastAsia="Times New Roman" w:hAnsi="Times New Roman"/>
                <w:sz w:val="16"/>
                <w:szCs w:val="16"/>
                <w:color w:val="1E1E1E"/>
              </w:rPr>
              <w:t>Balance February 3, 2024</w:t>
            </w:r>
          </w:p>
        </w:tc>
        <w:tc>
          <w:tcPr>
            <w:tcW w:w="100" w:type="dxa"/>
            <w:vAlign w:val="bottom"/>
            <w:tcBorders>
              <w:bottom w:val="single" w:sz="8" w:color="1E1E1E"/>
            </w:tcBorders>
          </w:tcPr>
          <w:p>
            <w:pPr>
              <w:spacing w:after="0"/>
              <w:rPr>
                <w:sz w:val="17"/>
                <w:szCs w:val="17"/>
                <w:color w:val="auto"/>
              </w:rPr>
            </w:pPr>
          </w:p>
        </w:tc>
        <w:tc>
          <w:tcPr>
            <w:tcW w:w="910" w:type="dxa"/>
            <w:vAlign w:val="bottom"/>
            <w:tcBorders>
              <w:bottom w:val="single" w:sz="8" w:color="1E1E1E"/>
            </w:tcBorders>
          </w:tcPr>
          <w:p>
            <w:pPr>
              <w:jc w:val="right"/>
              <w:spacing w:after="0" w:line="181" w:lineRule="exact"/>
              <w:rPr>
                <w:sz w:val="20"/>
                <w:szCs w:val="20"/>
                <w:color w:val="auto"/>
              </w:rPr>
            </w:pPr>
            <w:r>
              <w:rPr>
                <w:rFonts w:ascii="Times New Roman" w:cs="Times New Roman" w:eastAsia="Times New Roman" w:hAnsi="Times New Roman"/>
                <w:sz w:val="16"/>
                <w:szCs w:val="16"/>
                <w:color w:val="1E1E1E"/>
              </w:rPr>
              <w:t>813</w:t>
            </w:r>
          </w:p>
        </w:tc>
        <w:tc>
          <w:tcPr>
            <w:tcW w:w="9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right"/>
              <w:spacing w:after="0" w:line="181" w:lineRule="exact"/>
              <w:rPr>
                <w:sz w:val="20"/>
                <w:szCs w:val="20"/>
                <w:color w:val="auto"/>
              </w:rPr>
            </w:pPr>
            <w:r>
              <w:rPr>
                <w:rFonts w:ascii="Times New Roman" w:cs="Times New Roman" w:eastAsia="Times New Roman" w:hAnsi="Times New Roman"/>
                <w:sz w:val="16"/>
                <w:szCs w:val="16"/>
                <w:color w:val="1E1E1E"/>
              </w:rPr>
              <w:t>11,961</w:t>
            </w:r>
          </w:p>
        </w:tc>
        <w:tc>
          <w:tcPr>
            <w:tcW w:w="10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870" w:type="dxa"/>
            <w:vAlign w:val="bottom"/>
            <w:tcBorders>
              <w:bottom w:val="single" w:sz="8" w:color="1E1E1E"/>
            </w:tcBorders>
          </w:tcPr>
          <w:p>
            <w:pPr>
              <w:jc w:val="right"/>
              <w:spacing w:after="0" w:line="181" w:lineRule="exact"/>
              <w:rPr>
                <w:sz w:val="20"/>
                <w:szCs w:val="20"/>
                <w:color w:val="auto"/>
              </w:rPr>
            </w:pPr>
            <w:r>
              <w:rPr>
                <w:rFonts w:ascii="Times New Roman" w:cs="Times New Roman" w:eastAsia="Times New Roman" w:hAnsi="Times New Roman"/>
                <w:sz w:val="16"/>
                <w:szCs w:val="16"/>
                <w:color w:val="1E1E1E"/>
              </w:rPr>
              <w:t>319,143</w:t>
            </w:r>
          </w:p>
        </w:tc>
        <w:tc>
          <w:tcPr>
            <w:tcW w:w="9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860" w:type="dxa"/>
            <w:vAlign w:val="bottom"/>
            <w:tcBorders>
              <w:bottom w:val="single" w:sz="8" w:color="1E1E1E"/>
            </w:tcBorders>
          </w:tcPr>
          <w:p>
            <w:pPr>
              <w:jc w:val="right"/>
              <w:spacing w:after="0" w:line="181" w:lineRule="exact"/>
              <w:rPr>
                <w:sz w:val="20"/>
                <w:szCs w:val="20"/>
                <w:color w:val="auto"/>
              </w:rPr>
            </w:pPr>
            <w:r>
              <w:rPr>
                <w:rFonts w:ascii="Times New Roman" w:cs="Times New Roman" w:eastAsia="Times New Roman" w:hAnsi="Times New Roman"/>
                <w:sz w:val="16"/>
                <w:szCs w:val="16"/>
                <w:color w:val="1E1E1E"/>
              </w:rPr>
              <w:t>296,766</w:t>
            </w:r>
          </w:p>
        </w:tc>
        <w:tc>
          <w:tcPr>
            <w:tcW w:w="10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1E1E1E"/>
              </w:rPr>
              <w:t>(39,624)</w:t>
            </w:r>
          </w:p>
        </w:tc>
        <w:tc>
          <w:tcPr>
            <w:tcW w:w="100" w:type="dxa"/>
            <w:vAlign w:val="bottom"/>
            <w:tcBorders>
              <w:bottom w:val="single" w:sz="8" w:color="1E1E1E"/>
            </w:tcBorders>
          </w:tcPr>
          <w:p>
            <w:pPr>
              <w:spacing w:after="0"/>
              <w:rPr>
                <w:sz w:val="17"/>
                <w:szCs w:val="17"/>
                <w:color w:val="auto"/>
              </w:rPr>
            </w:pPr>
          </w:p>
        </w:tc>
        <w:tc>
          <w:tcPr>
            <w:tcW w:w="960" w:type="dxa"/>
            <w:vAlign w:val="bottom"/>
            <w:tcBorders>
              <w:bottom w:val="single" w:sz="8" w:color="1E1E1E"/>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1E1E1E"/>
              </w:rPr>
              <w:t>(17,857)</w:t>
            </w:r>
          </w:p>
        </w:tc>
        <w:tc>
          <w:tcPr>
            <w:tcW w:w="100" w:type="dxa"/>
            <w:vAlign w:val="bottom"/>
            <w:tcBorders>
              <w:bottom w:val="single" w:sz="8" w:color="1E1E1E"/>
            </w:tcBorders>
          </w:tcPr>
          <w:p>
            <w:pPr>
              <w:spacing w:after="0"/>
              <w:rPr>
                <w:sz w:val="17"/>
                <w:szCs w:val="17"/>
                <w:color w:val="auto"/>
              </w:rPr>
            </w:pPr>
          </w:p>
        </w:tc>
        <w:tc>
          <w:tcPr>
            <w:tcW w:w="880" w:type="dxa"/>
            <w:vAlign w:val="bottom"/>
            <w:tcBorders>
              <w:bottom w:val="single" w:sz="8" w:color="1E1E1E"/>
            </w:tcBorders>
          </w:tcPr>
          <w:p>
            <w:pPr>
              <w:jc w:val="right"/>
              <w:spacing w:after="0" w:line="181" w:lineRule="exact"/>
              <w:rPr>
                <w:sz w:val="20"/>
                <w:szCs w:val="20"/>
                <w:color w:val="auto"/>
              </w:rPr>
            </w:pPr>
            <w:r>
              <w:rPr>
                <w:rFonts w:ascii="Times New Roman" w:cs="Times New Roman" w:eastAsia="Times New Roman" w:hAnsi="Times New Roman"/>
                <w:sz w:val="16"/>
                <w:szCs w:val="16"/>
                <w:color w:val="1E1E1E"/>
              </w:rPr>
              <w:t>571,202</w:t>
            </w:r>
          </w:p>
        </w:tc>
        <w:tc>
          <w:tcPr>
            <w:tcW w:w="100" w:type="dxa"/>
            <w:vAlign w:val="bottom"/>
            <w:tcBorders>
              <w:bottom w:val="single" w:sz="8" w:color="1E1E1E"/>
            </w:tcBorders>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2580" w:type="dxa"/>
            <w:vAlign w:val="bottom"/>
            <w:tcBorders>
              <w:top w:val="single" w:sz="8" w:color="E4E4E4"/>
            </w:tcBorders>
            <w:shd w:val="clear" w:color="auto" w:fill="E4E4E4"/>
          </w:tcPr>
          <w:p>
            <w:pPr>
              <w:spacing w:after="0" w:line="157" w:lineRule="exact"/>
              <w:rPr>
                <w:sz w:val="20"/>
                <w:szCs w:val="20"/>
                <w:color w:val="auto"/>
              </w:rPr>
            </w:pPr>
            <w:r>
              <w:rPr>
                <w:rFonts w:ascii="Times New Roman" w:cs="Times New Roman" w:eastAsia="Times New Roman" w:hAnsi="Times New Roman"/>
                <w:sz w:val="16"/>
                <w:szCs w:val="16"/>
                <w:color w:val="1E1E1E"/>
              </w:rPr>
              <w:t>Net loss</w:t>
            </w:r>
          </w:p>
        </w:tc>
        <w:tc>
          <w:tcPr>
            <w:tcW w:w="100" w:type="dxa"/>
            <w:vAlign w:val="bottom"/>
            <w:tcBorders>
              <w:top w:val="single" w:sz="8" w:color="E4E4E4"/>
            </w:tcBorders>
            <w:shd w:val="clear" w:color="auto" w:fill="E4E4E4"/>
          </w:tcPr>
          <w:p>
            <w:pPr>
              <w:spacing w:after="0"/>
              <w:rPr>
                <w:sz w:val="13"/>
                <w:szCs w:val="13"/>
                <w:color w:val="auto"/>
              </w:rPr>
            </w:pPr>
          </w:p>
        </w:tc>
        <w:tc>
          <w:tcPr>
            <w:tcW w:w="91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86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87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86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rPr>
              <w:t>(18,890)</w:t>
            </w:r>
          </w:p>
        </w:tc>
        <w:tc>
          <w:tcPr>
            <w:tcW w:w="10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104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86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4E4E4"/>
            </w:tcBorders>
            <w:shd w:val="clear" w:color="auto" w:fill="E4E4E4"/>
          </w:tcPr>
          <w:p>
            <w:pPr>
              <w:spacing w:after="0"/>
              <w:rPr>
                <w:sz w:val="13"/>
                <w:szCs w:val="13"/>
                <w:color w:val="auto"/>
              </w:rPr>
            </w:pPr>
          </w:p>
        </w:tc>
        <w:tc>
          <w:tcPr>
            <w:tcW w:w="100" w:type="dxa"/>
            <w:vAlign w:val="bottom"/>
            <w:tcBorders>
              <w:top w:val="single" w:sz="8" w:color="E4E4E4"/>
            </w:tcBorders>
            <w:shd w:val="clear" w:color="auto" w:fill="E4E4E4"/>
          </w:tcPr>
          <w:p>
            <w:pPr>
              <w:spacing w:after="0"/>
              <w:rPr>
                <w:sz w:val="13"/>
                <w:szCs w:val="13"/>
                <w:color w:val="auto"/>
              </w:rPr>
            </w:pPr>
          </w:p>
        </w:tc>
        <w:tc>
          <w:tcPr>
            <w:tcW w:w="88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rPr>
              <w:t>(18,890</w:t>
            </w:r>
          </w:p>
        </w:tc>
        <w:tc>
          <w:tcPr>
            <w:tcW w:w="100" w:type="dxa"/>
            <w:vAlign w:val="bottom"/>
            <w:tcBorders>
              <w:top w:val="single" w:sz="8" w:color="E4E4E4"/>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r>
      <w:tr>
        <w:trPr>
          <w:trHeight w:val="197"/>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Other comprehensive loss</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(5,800)</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(5,800)</w:t>
            </w:r>
          </w:p>
        </w:tc>
      </w:tr>
      <w:tr>
        <w:trPr>
          <w:trHeight w:val="177"/>
        </w:trPr>
        <w:tc>
          <w:tcPr>
            <w:tcW w:w="20" w:type="dxa"/>
            <w:vAlign w:val="bottom"/>
          </w:tcPr>
          <w:p>
            <w:pPr>
              <w:spacing w:after="0"/>
              <w:rPr>
                <w:sz w:val="15"/>
                <w:szCs w:val="15"/>
                <w:color w:val="auto"/>
              </w:rPr>
            </w:pPr>
          </w:p>
        </w:tc>
        <w:tc>
          <w:tcPr>
            <w:tcW w:w="2580" w:type="dxa"/>
            <w:vAlign w:val="bottom"/>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Share-based compensation expense</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12,866</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12,866</w:t>
            </w:r>
          </w:p>
        </w:tc>
        <w:tc>
          <w:tcPr>
            <w:tcW w:w="100" w:type="dxa"/>
            <w:vAlign w:val="bottom"/>
            <w:shd w:val="clear" w:color="auto" w:fill="E4E4E4"/>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Restricted stock issuance</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8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338</w:t>
            </w:r>
          </w:p>
        </w:tc>
        <w:tc>
          <w:tcPr>
            <w:tcW w:w="10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(338)</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80" w:type="dxa"/>
            <w:vAlign w:val="bottom"/>
            <w:tcBorders>
              <w:bottom w:val="single" w:sz="8" w:color="E4E4E4"/>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1E1E1E"/>
              </w:rPr>
              <w:t>—</w:t>
            </w:r>
          </w:p>
        </w:tc>
      </w:tr>
      <w:tr>
        <w:trPr>
          <w:trHeight w:val="177"/>
        </w:trPr>
        <w:tc>
          <w:tcPr>
            <w:tcW w:w="20" w:type="dxa"/>
            <w:vAlign w:val="bottom"/>
          </w:tcPr>
          <w:p>
            <w:pPr>
              <w:spacing w:after="0"/>
              <w:rPr>
                <w:sz w:val="15"/>
                <w:szCs w:val="15"/>
                <w:color w:val="auto"/>
              </w:rPr>
            </w:pPr>
          </w:p>
        </w:tc>
        <w:tc>
          <w:tcPr>
            <w:tcW w:w="2580" w:type="dxa"/>
            <w:vAlign w:val="bottom"/>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Restricted shares withheld for taxes</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(90)</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90</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(2,572)</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(2,572</w:t>
            </w:r>
          </w:p>
        </w:tc>
        <w:tc>
          <w:tcPr>
            <w:tcW w:w="10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r>
      <w:tr>
        <w:trPr>
          <w:trHeight w:val="197"/>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Shares repurchased</w:t>
            </w:r>
          </w:p>
        </w:tc>
        <w:tc>
          <w:tcPr>
            <w:tcW w:w="100" w:type="dxa"/>
            <w:vAlign w:val="bottom"/>
            <w:tcBorders>
              <w:bottom w:val="single" w:sz="8" w:color="E4E4E4"/>
            </w:tcBorders>
          </w:tcPr>
          <w:p>
            <w:pPr>
              <w:spacing w:after="0"/>
              <w:rPr>
                <w:sz w:val="17"/>
                <w:szCs w:val="17"/>
                <w:color w:val="auto"/>
              </w:rPr>
            </w:pPr>
          </w:p>
        </w:tc>
        <w:tc>
          <w:tcPr>
            <w:tcW w:w="91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8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(400)</w:t>
            </w:r>
          </w:p>
        </w:tc>
        <w:tc>
          <w:tcPr>
            <w:tcW w:w="10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87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8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(9,389)</w:t>
            </w:r>
          </w:p>
        </w:tc>
        <w:tc>
          <w:tcPr>
            <w:tcW w:w="10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10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8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8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(9,789</w:t>
            </w:r>
          </w:p>
        </w:tc>
        <w:tc>
          <w:tcPr>
            <w:tcW w:w="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highlight w:val="white"/>
                <w:w w:val="74"/>
              </w:rPr>
              <w:t>)</w:t>
            </w:r>
          </w:p>
        </w:tc>
      </w:tr>
      <w:tr>
        <w:trPr>
          <w:trHeight w:val="177"/>
        </w:trPr>
        <w:tc>
          <w:tcPr>
            <w:tcW w:w="20" w:type="dxa"/>
            <w:vAlign w:val="bottom"/>
          </w:tcPr>
          <w:p>
            <w:pPr>
              <w:spacing w:after="0"/>
              <w:rPr>
                <w:sz w:val="15"/>
                <w:szCs w:val="15"/>
                <w:color w:val="auto"/>
              </w:rPr>
            </w:pPr>
          </w:p>
        </w:tc>
        <w:tc>
          <w:tcPr>
            <w:tcW w:w="2580" w:type="dxa"/>
            <w:vAlign w:val="bottom"/>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Excise taxes related to repurchases of</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spacing w:after="0"/>
              <w:rPr>
                <w:sz w:val="15"/>
                <w:szCs w:val="15"/>
                <w:color w:val="auto"/>
              </w:rPr>
            </w:pP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spacing w:after="0"/>
              <w:rPr>
                <w:sz w:val="15"/>
                <w:szCs w:val="15"/>
                <w:color w:val="auto"/>
              </w:rPr>
            </w:pP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25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common stock</w:t>
            </w:r>
          </w:p>
        </w:tc>
        <w:tc>
          <w:tcPr>
            <w:tcW w:w="100" w:type="dxa"/>
            <w:vAlign w:val="bottom"/>
            <w:shd w:val="clear" w:color="auto" w:fill="E4E4E4"/>
          </w:tcPr>
          <w:p>
            <w:pPr>
              <w:spacing w:after="0"/>
              <w:rPr>
                <w:sz w:val="16"/>
                <w:szCs w:val="16"/>
                <w:color w:val="auto"/>
              </w:rPr>
            </w:pPr>
          </w:p>
        </w:tc>
        <w:tc>
          <w:tcPr>
            <w:tcW w:w="9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87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(28)</w:t>
            </w:r>
          </w:p>
        </w:tc>
        <w:tc>
          <w:tcPr>
            <w:tcW w:w="10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(28</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w w:val="74"/>
                <w:shd w:val="clear" w:color="auto" w:fill="E4E4E4"/>
              </w:rPr>
              <w:t>)</w:t>
            </w:r>
          </w:p>
        </w:tc>
      </w:tr>
      <w:tr>
        <w:trPr>
          <w:trHeight w:val="222"/>
        </w:trPr>
        <w:tc>
          <w:tcPr>
            <w:tcW w:w="20" w:type="dxa"/>
            <w:vAlign w:val="bottom"/>
          </w:tcPr>
          <w:p>
            <w:pPr>
              <w:spacing w:after="0"/>
              <w:rPr>
                <w:sz w:val="18"/>
                <w:szCs w:val="18"/>
                <w:color w:val="auto"/>
              </w:rPr>
            </w:pPr>
          </w:p>
        </w:tc>
        <w:tc>
          <w:tcPr>
            <w:tcW w:w="25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color w:val="1E1E1E"/>
              </w:rPr>
              <w:t>Other</w:t>
            </w:r>
          </w:p>
        </w:tc>
        <w:tc>
          <w:tcPr>
            <w:tcW w:w="100" w:type="dxa"/>
            <w:vAlign w:val="bottom"/>
            <w:tcBorders>
              <w:bottom w:val="single" w:sz="8" w:color="1E1E1E"/>
            </w:tcBorders>
          </w:tcPr>
          <w:p>
            <w:pPr>
              <w:spacing w:after="0"/>
              <w:rPr>
                <w:sz w:val="18"/>
                <w:szCs w:val="18"/>
                <w:color w:val="auto"/>
              </w:rPr>
            </w:pPr>
          </w:p>
        </w:tc>
        <w:tc>
          <w:tcPr>
            <w:tcW w:w="9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22</w:t>
            </w:r>
          </w:p>
        </w:tc>
        <w:tc>
          <w:tcPr>
            <w:tcW w:w="9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(36)</w:t>
            </w:r>
          </w:p>
        </w:tc>
        <w:tc>
          <w:tcPr>
            <w:tcW w:w="10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(5)</w:t>
            </w:r>
          </w:p>
        </w:tc>
        <w:tc>
          <w:tcPr>
            <w:tcW w:w="10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(19)</w:t>
            </w:r>
          </w:p>
        </w:tc>
      </w:tr>
      <w:tr>
        <w:trPr>
          <w:trHeight w:val="166"/>
        </w:trPr>
        <w:tc>
          <w:tcPr>
            <w:tcW w:w="20" w:type="dxa"/>
            <w:vAlign w:val="bottom"/>
          </w:tcPr>
          <w:p>
            <w:pPr>
              <w:spacing w:after="0"/>
              <w:rPr>
                <w:sz w:val="14"/>
                <w:szCs w:val="14"/>
                <w:color w:val="auto"/>
              </w:rPr>
            </w:pPr>
          </w:p>
        </w:tc>
        <w:tc>
          <w:tcPr>
            <w:tcW w:w="2580" w:type="dxa"/>
            <w:vAlign w:val="bottom"/>
            <w:tcBorders>
              <w:top w:val="single" w:sz="8" w:color="E4E4E4"/>
              <w:bottom w:val="single" w:sz="8" w:color="1E1E1E"/>
            </w:tcBorders>
            <w:shd w:val="clear" w:color="auto" w:fill="E4E4E4"/>
          </w:tcPr>
          <w:p>
            <w:pPr>
              <w:spacing w:after="0" w:line="167" w:lineRule="exact"/>
              <w:rPr>
                <w:sz w:val="20"/>
                <w:szCs w:val="20"/>
                <w:color w:val="auto"/>
              </w:rPr>
            </w:pPr>
            <w:r>
              <w:rPr>
                <w:rFonts w:ascii="Times New Roman" w:cs="Times New Roman" w:eastAsia="Times New Roman" w:hAnsi="Times New Roman"/>
                <w:sz w:val="16"/>
                <w:szCs w:val="16"/>
                <w:color w:val="1E1E1E"/>
              </w:rPr>
              <w:t>Balance February 1, 2025</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91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835</w:t>
            </w:r>
          </w:p>
        </w:tc>
        <w:tc>
          <w:tcPr>
            <w:tcW w:w="9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86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11,773</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87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331,756</w:t>
            </w:r>
          </w:p>
        </w:tc>
        <w:tc>
          <w:tcPr>
            <w:tcW w:w="9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86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265,887</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104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(45,424</w:t>
            </w:r>
          </w:p>
        </w:tc>
        <w:tc>
          <w:tcPr>
            <w:tcW w:w="10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86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(17,857)</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c>
          <w:tcPr>
            <w:tcW w:w="880" w:type="dxa"/>
            <w:vAlign w:val="bottom"/>
            <w:tcBorders>
              <w:top w:val="single" w:sz="8" w:color="E4E4E4"/>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6"/>
                <w:szCs w:val="16"/>
                <w:color w:val="1E1E1E"/>
              </w:rPr>
              <w:t>546,970</w:t>
            </w:r>
          </w:p>
        </w:tc>
        <w:tc>
          <w:tcPr>
            <w:tcW w:w="100" w:type="dxa"/>
            <w:vAlign w:val="bottom"/>
            <w:tcBorders>
              <w:top w:val="single" w:sz="8" w:color="E4E4E4"/>
              <w:bottom w:val="single" w:sz="8" w:color="1E1E1E"/>
            </w:tcBorders>
            <w:shd w:val="clear" w:color="auto" w:fill="E4E4E4"/>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Net earnings</w:t>
            </w:r>
          </w:p>
        </w:tc>
        <w:tc>
          <w:tcPr>
            <w:tcW w:w="100" w:type="dxa"/>
            <w:vAlign w:val="bottom"/>
            <w:tcBorders>
              <w:bottom w:val="single" w:sz="8" w:color="E4E4E4"/>
            </w:tcBorders>
          </w:tcPr>
          <w:p>
            <w:pPr>
              <w:spacing w:after="0"/>
              <w:rPr>
                <w:sz w:val="16"/>
                <w:szCs w:val="16"/>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6"/>
                <w:szCs w:val="16"/>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6"/>
                <w:szCs w:val="16"/>
                <w:color w:val="auto"/>
              </w:rPr>
            </w:pPr>
          </w:p>
        </w:tc>
        <w:tc>
          <w:tcPr>
            <w:tcW w:w="96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6"/>
                <w:szCs w:val="16"/>
                <w:color w:val="auto"/>
              </w:rPr>
            </w:pPr>
          </w:p>
        </w:tc>
        <w:tc>
          <w:tcPr>
            <w:tcW w:w="8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13,269</w:t>
            </w:r>
          </w:p>
        </w:tc>
        <w:tc>
          <w:tcPr>
            <w:tcW w:w="100" w:type="dxa"/>
            <w:vAlign w:val="bottom"/>
            <w:tcBorders>
              <w:bottom w:val="single" w:sz="8" w:color="E4E4E4"/>
            </w:tcBorders>
          </w:tcPr>
          <w:p>
            <w:pPr>
              <w:spacing w:after="0"/>
              <w:rPr>
                <w:sz w:val="16"/>
                <w:szCs w:val="16"/>
                <w:color w:val="auto"/>
              </w:rPr>
            </w:pPr>
          </w:p>
        </w:tc>
        <w:tc>
          <w:tcPr>
            <w:tcW w:w="100" w:type="dxa"/>
            <w:vAlign w:val="bottom"/>
            <w:tcBorders>
              <w:bottom w:val="single" w:sz="8" w:color="E4E4E4"/>
            </w:tcBorders>
          </w:tcPr>
          <w:p>
            <w:pPr>
              <w:spacing w:after="0"/>
              <w:rPr>
                <w:sz w:val="16"/>
                <w:szCs w:val="16"/>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6"/>
                <w:szCs w:val="16"/>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6"/>
                <w:szCs w:val="16"/>
                <w:color w:val="auto"/>
              </w:rPr>
            </w:pPr>
          </w:p>
        </w:tc>
        <w:tc>
          <w:tcPr>
            <w:tcW w:w="8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13,269</w:t>
            </w:r>
          </w:p>
        </w:tc>
        <w:tc>
          <w:tcPr>
            <w:tcW w:w="100" w:type="dxa"/>
            <w:vAlign w:val="bottom"/>
            <w:tcBorders>
              <w:bottom w:val="single" w:sz="8" w:color="E4E4E4"/>
            </w:tcBorders>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2580" w:type="dxa"/>
            <w:vAlign w:val="bottom"/>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Other comprehensive income</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8,534</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8,534</w:t>
            </w:r>
          </w:p>
        </w:tc>
        <w:tc>
          <w:tcPr>
            <w:tcW w:w="100" w:type="dxa"/>
            <w:vAlign w:val="bottom"/>
            <w:shd w:val="clear" w:color="auto" w:fill="E4E4E4"/>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Share-based compensation expense</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87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12,241</w:t>
            </w:r>
          </w:p>
        </w:tc>
        <w:tc>
          <w:tcPr>
            <w:tcW w:w="9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8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12,241</w:t>
            </w:r>
          </w:p>
        </w:tc>
        <w:tc>
          <w:tcPr>
            <w:tcW w:w="100" w:type="dxa"/>
            <w:vAlign w:val="bottom"/>
            <w:tcBorders>
              <w:bottom w:val="single" w:sz="8" w:color="E4E4E4"/>
            </w:tcBorders>
          </w:tcPr>
          <w:p>
            <w:pPr>
              <w:spacing w:after="0"/>
              <w:rPr>
                <w:sz w:val="17"/>
                <w:szCs w:val="17"/>
                <w:color w:val="auto"/>
              </w:rPr>
            </w:pPr>
          </w:p>
        </w:tc>
      </w:tr>
      <w:tr>
        <w:trPr>
          <w:trHeight w:val="177"/>
        </w:trPr>
        <w:tc>
          <w:tcPr>
            <w:tcW w:w="20" w:type="dxa"/>
            <w:vAlign w:val="bottom"/>
          </w:tcPr>
          <w:p>
            <w:pPr>
              <w:spacing w:after="0"/>
              <w:rPr>
                <w:sz w:val="15"/>
                <w:szCs w:val="15"/>
                <w:color w:val="auto"/>
              </w:rPr>
            </w:pPr>
          </w:p>
        </w:tc>
        <w:tc>
          <w:tcPr>
            <w:tcW w:w="2580" w:type="dxa"/>
            <w:vAlign w:val="bottom"/>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Restricted stock issuance</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186</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(186</w:t>
            </w:r>
          </w:p>
        </w:tc>
        <w:tc>
          <w:tcPr>
            <w:tcW w:w="9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8"/>
                <w:szCs w:val="8"/>
                <w:color w:val="1E1E1E"/>
                <w:w w:val="73"/>
                <w:shd w:val="clear" w:color="auto" w:fill="E4E4E4"/>
              </w:rPr>
              <w:t>)</w:t>
            </w: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Restricted shares withheld for taxes</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(64)</w:t>
            </w:r>
          </w:p>
        </w:tc>
        <w:tc>
          <w:tcPr>
            <w:tcW w:w="100" w:type="dxa"/>
            <w:vAlign w:val="bottom"/>
            <w:tcBorders>
              <w:bottom w:val="single" w:sz="8" w:color="E4E4E4"/>
            </w:tcBorders>
          </w:tcPr>
          <w:p>
            <w:pPr>
              <w:spacing w:after="0"/>
              <w:rPr>
                <w:sz w:val="17"/>
                <w:szCs w:val="17"/>
                <w:color w:val="auto"/>
              </w:rPr>
            </w:pPr>
          </w:p>
        </w:tc>
        <w:tc>
          <w:tcPr>
            <w:tcW w:w="87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6"/>
                <w:szCs w:val="16"/>
                <w:color w:val="1E1E1E"/>
              </w:rPr>
              <w:t>64</w:t>
            </w:r>
          </w:p>
        </w:tc>
        <w:tc>
          <w:tcPr>
            <w:tcW w:w="90" w:type="dxa"/>
            <w:vAlign w:val="bottom"/>
            <w:tcBorders>
              <w:bottom w:val="single" w:sz="8" w:color="E4E4E4"/>
            </w:tcBorders>
          </w:tcPr>
          <w:p>
            <w:pPr>
              <w:spacing w:after="0"/>
              <w:rPr>
                <w:sz w:val="17"/>
                <w:szCs w:val="17"/>
                <w:color w:val="auto"/>
              </w:rPr>
            </w:pP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(1,317)</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(1,317)</w:t>
            </w:r>
          </w:p>
        </w:tc>
      </w:tr>
      <w:tr>
        <w:trPr>
          <w:trHeight w:val="177"/>
        </w:trPr>
        <w:tc>
          <w:tcPr>
            <w:tcW w:w="20" w:type="dxa"/>
            <w:vAlign w:val="bottom"/>
          </w:tcPr>
          <w:p>
            <w:pPr>
              <w:spacing w:after="0"/>
              <w:rPr>
                <w:sz w:val="15"/>
                <w:szCs w:val="15"/>
                <w:color w:val="auto"/>
              </w:rPr>
            </w:pPr>
          </w:p>
        </w:tc>
        <w:tc>
          <w:tcPr>
            <w:tcW w:w="2580" w:type="dxa"/>
            <w:vAlign w:val="bottom"/>
            <w:shd w:val="clear" w:color="auto" w:fill="E4E4E4"/>
          </w:tcPr>
          <w:p>
            <w:pPr>
              <w:spacing w:after="0" w:line="177" w:lineRule="exact"/>
              <w:rPr>
                <w:sz w:val="20"/>
                <w:szCs w:val="20"/>
                <w:color w:val="auto"/>
              </w:rPr>
            </w:pPr>
            <w:r>
              <w:rPr>
                <w:rFonts w:ascii="Times New Roman" w:cs="Times New Roman" w:eastAsia="Times New Roman" w:hAnsi="Times New Roman"/>
                <w:sz w:val="16"/>
                <w:szCs w:val="16"/>
                <w:color w:val="1E1E1E"/>
              </w:rPr>
              <w:t>Shares repurchased</w:t>
            </w:r>
          </w:p>
        </w:tc>
        <w:tc>
          <w:tcPr>
            <w:tcW w:w="100" w:type="dxa"/>
            <w:vAlign w:val="bottom"/>
            <w:shd w:val="clear" w:color="auto" w:fill="E4E4E4"/>
          </w:tcPr>
          <w:p>
            <w:pPr>
              <w:spacing w:after="0"/>
              <w:rPr>
                <w:sz w:val="15"/>
                <w:szCs w:val="15"/>
                <w:color w:val="auto"/>
              </w:rPr>
            </w:pPr>
          </w:p>
        </w:tc>
        <w:tc>
          <w:tcPr>
            <w:tcW w:w="91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(605)</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7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(11,961)</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6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88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rPr>
              <w:t>(12,566</w:t>
            </w:r>
          </w:p>
        </w:tc>
        <w:tc>
          <w:tcPr>
            <w:tcW w:w="100" w:type="dxa"/>
            <w:vAlign w:val="bottom"/>
            <w:shd w:val="clear" w:color="auto" w:fill="E4E4E4"/>
          </w:tcPr>
          <w:p>
            <w:pPr>
              <w:jc w:val="right"/>
              <w:spacing w:after="0" w:line="177"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r>
      <w:tr>
        <w:trPr>
          <w:trHeight w:val="182"/>
        </w:trPr>
        <w:tc>
          <w:tcPr>
            <w:tcW w:w="20" w:type="dxa"/>
            <w:vAlign w:val="bottom"/>
          </w:tcPr>
          <w:p>
            <w:pPr>
              <w:spacing w:after="0"/>
              <w:rPr>
                <w:sz w:val="15"/>
                <w:szCs w:val="15"/>
                <w:color w:val="auto"/>
              </w:rPr>
            </w:pPr>
          </w:p>
        </w:tc>
        <w:tc>
          <w:tcPr>
            <w:tcW w:w="25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1E1E1E"/>
              </w:rPr>
              <w:t>Excise taxes related to repurchases of</w:t>
            </w:r>
          </w:p>
        </w:tc>
        <w:tc>
          <w:tcPr>
            <w:tcW w:w="10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2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color w:val="1E1E1E"/>
              </w:rPr>
              <w:t>common stock</w:t>
            </w:r>
          </w:p>
        </w:tc>
        <w:tc>
          <w:tcPr>
            <w:tcW w:w="100" w:type="dxa"/>
            <w:vAlign w:val="bottom"/>
            <w:tcBorders>
              <w:bottom w:val="single" w:sz="8" w:color="E4E4E4"/>
            </w:tcBorders>
          </w:tcPr>
          <w:p>
            <w:pPr>
              <w:spacing w:after="0"/>
              <w:rPr>
                <w:sz w:val="17"/>
                <w:szCs w:val="17"/>
                <w:color w:val="auto"/>
              </w:rPr>
            </w:pPr>
          </w:p>
        </w:tc>
        <w:tc>
          <w:tcPr>
            <w:tcW w:w="100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1E1E1E"/>
              </w:rPr>
              <w:t>(88)</w:t>
            </w:r>
          </w:p>
        </w:tc>
        <w:tc>
          <w:tcPr>
            <w:tcW w:w="100" w:type="dxa"/>
            <w:vAlign w:val="bottom"/>
            <w:tcBorders>
              <w:bottom w:val="single" w:sz="8" w:color="E4E4E4"/>
            </w:tcBorders>
          </w:tcPr>
          <w:p>
            <w:pPr>
              <w:spacing w:after="0"/>
              <w:rPr>
                <w:sz w:val="17"/>
                <w:szCs w:val="17"/>
                <w:color w:val="auto"/>
              </w:rPr>
            </w:pPr>
          </w:p>
        </w:tc>
        <w:tc>
          <w:tcPr>
            <w:tcW w:w="1140" w:type="dxa"/>
            <w:vAlign w:val="bottom"/>
            <w:tcBorders>
              <w:bottom w:val="single" w:sz="8" w:color="E4E4E4"/>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6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tcPr>
          <w:p>
            <w:pPr>
              <w:spacing w:after="0"/>
              <w:rPr>
                <w:sz w:val="17"/>
                <w:szCs w:val="17"/>
                <w:color w:val="auto"/>
              </w:rPr>
            </w:pPr>
          </w:p>
        </w:tc>
        <w:tc>
          <w:tcPr>
            <w:tcW w:w="9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6"/>
                <w:szCs w:val="16"/>
                <w:color w:val="1E1E1E"/>
              </w:rPr>
              <w:t>(88)</w:t>
            </w:r>
          </w:p>
        </w:tc>
      </w:tr>
      <w:tr>
        <w:trPr>
          <w:trHeight w:val="182"/>
        </w:trPr>
        <w:tc>
          <w:tcPr>
            <w:tcW w:w="20" w:type="dxa"/>
            <w:vAlign w:val="bottom"/>
          </w:tcPr>
          <w:p>
            <w:pPr>
              <w:spacing w:after="0"/>
              <w:rPr>
                <w:sz w:val="15"/>
                <w:szCs w:val="15"/>
                <w:color w:val="auto"/>
              </w:rPr>
            </w:pPr>
          </w:p>
        </w:tc>
        <w:tc>
          <w:tcPr>
            <w:tcW w:w="2580" w:type="dxa"/>
            <w:vAlign w:val="bottom"/>
            <w:tcBorders>
              <w:bottom w:val="single" w:sz="8" w:color="1E1E1E"/>
            </w:tcBorders>
            <w:shd w:val="clear" w:color="auto" w:fill="E4E4E4"/>
          </w:tcPr>
          <w:p>
            <w:pPr>
              <w:spacing w:after="0" w:line="181" w:lineRule="exact"/>
              <w:rPr>
                <w:sz w:val="20"/>
                <w:szCs w:val="20"/>
                <w:color w:val="auto"/>
              </w:rPr>
            </w:pPr>
            <w:r>
              <w:rPr>
                <w:rFonts w:ascii="Times New Roman" w:cs="Times New Roman" w:eastAsia="Times New Roman" w:hAnsi="Times New Roman"/>
                <w:sz w:val="16"/>
                <w:szCs w:val="16"/>
                <w:color w:val="1E1E1E"/>
              </w:rPr>
              <w:t>Other</w:t>
            </w:r>
          </w:p>
        </w:tc>
        <w:tc>
          <w:tcPr>
            <w:tcW w:w="100" w:type="dxa"/>
            <w:vAlign w:val="bottom"/>
            <w:tcBorders>
              <w:bottom w:val="single" w:sz="8" w:color="1E1E1E"/>
            </w:tcBorders>
            <w:shd w:val="clear" w:color="auto" w:fill="E4E4E4"/>
          </w:tcPr>
          <w:p>
            <w:pPr>
              <w:spacing w:after="0"/>
              <w:rPr>
                <w:sz w:val="15"/>
                <w:szCs w:val="15"/>
                <w:color w:val="auto"/>
              </w:rPr>
            </w:pPr>
          </w:p>
        </w:tc>
        <w:tc>
          <w:tcPr>
            <w:tcW w:w="910" w:type="dxa"/>
            <w:vAlign w:val="bottom"/>
            <w:tcBorders>
              <w:bottom w:val="single" w:sz="8" w:color="1E1E1E"/>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9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60" w:type="dxa"/>
            <w:vAlign w:val="bottom"/>
            <w:tcBorders>
              <w:bottom w:val="single" w:sz="8" w:color="1E1E1E"/>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(13)</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70" w:type="dxa"/>
            <w:vAlign w:val="bottom"/>
            <w:tcBorders>
              <w:bottom w:val="single" w:sz="8" w:color="1E1E1E"/>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14</w:t>
            </w:r>
          </w:p>
        </w:tc>
        <w:tc>
          <w:tcPr>
            <w:tcW w:w="9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60" w:type="dxa"/>
            <w:vAlign w:val="bottom"/>
            <w:tcBorders>
              <w:bottom w:val="single" w:sz="8" w:color="1E1E1E"/>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1040" w:type="dxa"/>
            <w:vAlign w:val="bottom"/>
            <w:tcBorders>
              <w:bottom w:val="single" w:sz="8" w:color="1E1E1E"/>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60" w:type="dxa"/>
            <w:vAlign w:val="bottom"/>
            <w:tcBorders>
              <w:bottom w:val="single" w:sz="8" w:color="1E1E1E"/>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1E1E1E"/>
            </w:tcBorders>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880" w:type="dxa"/>
            <w:vAlign w:val="bottom"/>
            <w:tcBorders>
              <w:bottom w:val="single" w:sz="8" w:color="1E1E1E"/>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6"/>
                <w:szCs w:val="16"/>
                <w:color w:val="1E1E1E"/>
              </w:rPr>
              <w:t>1</w:t>
            </w:r>
          </w:p>
        </w:tc>
        <w:tc>
          <w:tcPr>
            <w:tcW w:w="100" w:type="dxa"/>
            <w:vAlign w:val="bottom"/>
            <w:tcBorders>
              <w:bottom w:val="single" w:sz="8" w:color="1E1E1E"/>
            </w:tcBorders>
            <w:shd w:val="clear" w:color="auto" w:fill="E4E4E4"/>
          </w:tcPr>
          <w:p>
            <w:pPr>
              <w:spacing w:after="0"/>
              <w:rPr>
                <w:sz w:val="15"/>
                <w:szCs w:val="15"/>
                <w:color w:val="auto"/>
              </w:rPr>
            </w:pPr>
          </w:p>
        </w:tc>
      </w:tr>
      <w:tr>
        <w:trPr>
          <w:trHeight w:val="186"/>
        </w:trPr>
        <w:tc>
          <w:tcPr>
            <w:tcW w:w="20" w:type="dxa"/>
            <w:vAlign w:val="bottom"/>
            <w:tcBorders>
              <w:bottom w:val="single" w:sz="8" w:color="1E1E1E"/>
            </w:tcBorders>
          </w:tcPr>
          <w:p>
            <w:pPr>
              <w:spacing w:after="0"/>
              <w:rPr>
                <w:sz w:val="16"/>
                <w:szCs w:val="16"/>
                <w:color w:val="auto"/>
              </w:rPr>
            </w:pPr>
          </w:p>
        </w:tc>
        <w:tc>
          <w:tcPr>
            <w:tcW w:w="25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Balance January 31, 2026</w:t>
            </w: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74"/>
              </w:rPr>
              <w:t>$</w:t>
            </w:r>
          </w:p>
        </w:tc>
        <w:tc>
          <w:tcPr>
            <w:tcW w:w="9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835</w:t>
            </w:r>
          </w:p>
        </w:tc>
        <w:tc>
          <w:tcPr>
            <w:tcW w:w="9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w:t>
            </w: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11,277</w:t>
            </w:r>
          </w:p>
        </w:tc>
        <w:tc>
          <w:tcPr>
            <w:tcW w:w="10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w:t>
            </w:r>
          </w:p>
        </w:tc>
        <w:tc>
          <w:tcPr>
            <w:tcW w:w="87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343,889</w:t>
            </w:r>
          </w:p>
        </w:tc>
        <w:tc>
          <w:tcPr>
            <w:tcW w:w="9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w:t>
            </w: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265,790</w:t>
            </w:r>
          </w:p>
        </w:tc>
        <w:tc>
          <w:tcPr>
            <w:tcW w:w="10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w:t>
            </w:r>
          </w:p>
        </w:tc>
        <w:tc>
          <w:tcPr>
            <w:tcW w:w="114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(36,890)</w:t>
            </w: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74"/>
              </w:rPr>
              <w:t>$</w:t>
            </w:r>
          </w:p>
        </w:tc>
        <w:tc>
          <w:tcPr>
            <w:tcW w:w="960" w:type="dxa"/>
            <w:vAlign w:val="bottom"/>
            <w:tcBorders>
              <w:bottom w:val="single" w:sz="8" w:color="1E1E1E"/>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(17,857)</w:t>
            </w: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w:t>
            </w: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567,044</w:t>
            </w:r>
          </w:p>
        </w:tc>
        <w:tc>
          <w:tcPr>
            <w:tcW w:w="100" w:type="dxa"/>
            <w:vAlign w:val="bottom"/>
            <w:tcBorders>
              <w:bottom w:val="single" w:sz="8" w:color="1E1E1E"/>
            </w:tcBorders>
          </w:tcPr>
          <w:p>
            <w:pPr>
              <w:spacing w:after="0"/>
              <w:rPr>
                <w:sz w:val="16"/>
                <w:szCs w:val="16"/>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25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1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7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-3783965</wp:posOffset>
                </wp:positionV>
                <wp:extent cx="651065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97.9499pt" to="513.3pt,-297.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-2661920</wp:posOffset>
                </wp:positionV>
                <wp:extent cx="651065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09.5999pt" to="513.3pt,-209.5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-2412365</wp:posOffset>
                </wp:positionV>
                <wp:extent cx="651065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89.9499pt" to="513.3pt,-189.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-1909445</wp:posOffset>
                </wp:positionV>
                <wp:extent cx="651065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50.3499pt" to="513.3pt,-150.3499pt" o:allowincell="f" strokecolor="#FFFFFF" strokeweight="0.72pt"/>
            </w:pict>
          </mc:Fallback>
        </mc:AlternateConten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accompanying Notes are an integral part of these Consolidated Financial Statements.</w:t>
      </w:r>
    </w:p>
    <w:p>
      <w:pPr>
        <w:sectPr>
          <w:pgSz w:w="12240" w:h="15840" w:orient="portrait"/>
          <w:cols w:equalWidth="0" w:num="1">
            <w:col w:w="10260"/>
          </w:cols>
          <w:pgMar w:left="980" w:top="1440"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52</w:t>
      </w:r>
    </w:p>
    <w:p>
      <w:pPr>
        <w:sectPr>
          <w:pgSz w:w="12240" w:h="15840" w:orient="portrait"/>
          <w:cols w:equalWidth="0" w:num="1">
            <w:col w:w="10260"/>
          </w:cols>
          <w:pgMar w:left="980" w:top="1440" w:right="1000" w:bottom="178" w:gutter="0" w:footer="0" w:header="0"/>
          <w:type w:val="continuous"/>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Nature of Operations</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1E1E1E"/>
        </w:rPr>
        <w:t>Genesco Inc. and its subsidiaries' business includes the sourcing and design, marketing and distribution of footwear, apparel and accessories through retail stores in the U.S., Puerto Rico and Canada primarily under the Journeys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Journeys Kidz</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Little Burgundy</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and Johnston &amp; Murphy</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banners and under the Schuh banner in the U.K. and the ROI; through e-commerce websites including the following: journeys.com, journeyskidz.com, journeys.ca, schuh.co.uk, schuh.ie, schuh.eu, littleburgundyshoes.com, johnstonmurphy.com and nashvilleshoewarehouse.com as well as the Johnston &amp; Murphy catalog and at wholesale, primarily under our Johnston &amp; Murphy brand, the licensed Dockers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the licensed Wrangler</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the licensed Levi's</w:t>
      </w:r>
      <w:r>
        <w:rPr>
          <w:rFonts w:ascii="Times New Roman" w:cs="Times New Roman" w:eastAsia="Times New Roman" w:hAnsi="Times New Roman"/>
          <w:sz w:val="25"/>
          <w:szCs w:val="25"/>
          <w:color w:val="1E1E1E"/>
          <w:vertAlign w:val="superscript"/>
        </w:rPr>
        <w:t>®</w:t>
      </w:r>
      <w:r>
        <w:rPr>
          <w:rFonts w:ascii="Times New Roman" w:cs="Times New Roman" w:eastAsia="Times New Roman" w:hAnsi="Times New Roman"/>
          <w:sz w:val="20"/>
          <w:szCs w:val="20"/>
          <w:color w:val="1E1E1E"/>
        </w:rPr>
        <w:t xml:space="preserve"> brand, and other brands that we license for footwear. At January 31, 2026, we operated 1,236 retail stores in the U.S., Puerto Rico, Canada, the U.K. and the ROI.</w:t>
      </w:r>
    </w:p>
    <w:p>
      <w:pPr>
        <w:spacing w:after="0" w:line="18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1E1E1E"/>
        </w:rPr>
        <w:t>During Fiscal 2026,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Genesco Brands Group, comprised of the licensed Dockers and Levi's brands, as well as other brands we license for footwear. The license for the Levi's brand expires in May 2026 and we are in the process of exiting that business. During the second quarter of Fiscal 2026, we signed a multi-year licensing agreement with Kontoor Brands, Inc. to design, source, market and distribute footwear under the Wrangler</w:t>
      </w:r>
      <w:r>
        <w:rPr>
          <w:rFonts w:ascii="Times New Roman" w:cs="Times New Roman" w:eastAsia="Times New Roman" w:hAnsi="Times New Roman"/>
          <w:sz w:val="24"/>
          <w:szCs w:val="24"/>
          <w:color w:val="1E1E1E"/>
          <w:vertAlign w:val="superscript"/>
        </w:rPr>
        <w:t>®</w:t>
      </w:r>
      <w:r>
        <w:rPr>
          <w:rFonts w:ascii="Times New Roman" w:cs="Times New Roman" w:eastAsia="Times New Roman" w:hAnsi="Times New Roman"/>
          <w:sz w:val="19"/>
          <w:szCs w:val="19"/>
          <w:color w:val="1E1E1E"/>
        </w:rPr>
        <w:t xml:space="preserve"> brand. We expect to launch the first Wrangler footwear collection in the fall of calendar year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Principles of Consolidation</w:t>
      </w:r>
    </w:p>
    <w:p>
      <w:pPr>
        <w:spacing w:after="0" w:line="24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All subsidiaries are consolidated in our Consolidated Financial Statements. All significant intercompany transactions and accounts have been eliminated.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Fiscal Year</w:t>
      </w:r>
    </w:p>
    <w:p>
      <w:pPr>
        <w:spacing w:after="0" w:line="2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Our fiscal year ends on the Saturday closest to January 31st in the named year. This reporting schedule is followed by many national retail companies and typically results in a 52-week fiscal year, but occasionally will contain an additional week resulting in a 53-week fiscal year. The periods presented in these financial statements each consisted of 52 weeks, except for Fiscal 2024, which consisted of 53 weeks. Fiscal 2026 ended on January 31, 2026, Fiscal 2025 ended on February 1, 2025 and Fiscal 2024 ended on February 3,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Use of Estimates</w:t>
      </w:r>
    </w:p>
    <w:p>
      <w:pPr>
        <w:spacing w:after="0" w:line="24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53</w:t>
      </w:r>
    </w:p>
    <w:p>
      <w:pPr>
        <w:sectPr>
          <w:pgSz w:w="12240" w:h="15840" w:orient="portrait"/>
          <w:cols w:equalWidth="0" w:num="1">
            <w:col w:w="10260"/>
          </w:cols>
          <w:pgMar w:left="1000" w:top="1156" w:right="980" w:bottom="178" w:gutter="0" w:footer="0" w:header="0"/>
          <w:type w:val="continuous"/>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 Continued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and Cash Equivalents</w:t>
      </w:r>
    </w:p>
    <w:p>
      <w:pPr>
        <w:spacing w:after="0" w:line="2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1E1E1E"/>
        </w:rPr>
        <w:t>Our foreign subsidiaries held cash of approximately $20.2 million and $13.9 million as of January 31, 2026 and February 1, 2025, respectively, which is included in cash and cash equivalents on the Consolidated Balance Sheets. Based upon evaluation of our worldwide operations and specific plans to remit foreign earnings back to the U.S., we can no longer assert that earnings from certain U.K. subsidiaries will be indefinitely reinvested and have recorded U.S. taxes in accordance with applicable U.S. tax rules and regulations.</w:t>
      </w:r>
    </w:p>
    <w:p>
      <w:pPr>
        <w:spacing w:after="0" w:line="1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1E1E1E"/>
        </w:rPr>
        <w:t>There were $71.8 million and $7.5 million of cash equivalents at January 31, 2026 and February 1, 2025, respectively. Cash equivalents include highly-liquid financial instruments, which we define as those having an original maturity of three months or less. Our $71.8 million of cash equivalents at January 31, 2026 were invested in institutional money market funds which invest exclusively in highly rated, short-term securities that are issued, guaranteed or collateralized by the U.S. government or by U.S. government agencies and instrumentalities. The majority of payments due from banks for customer credit cards are classified as cash, as they generally settle within 24 to 48 hours.</w:t>
      </w:r>
    </w:p>
    <w:p>
      <w:pPr>
        <w:spacing w:after="0" w:line="15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At January 31, 2026 and February 1, 2025, outstanding checks drawn on zero-balance accounts at certain banks exceeded book cash balances at those banks by approximately $2.6 million and $3.2 million, respectively. These amounts are included in accounts payable in our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Concentration of Credit Risk and Allowances on Accounts Receivable</w:t>
      </w:r>
    </w:p>
    <w:p>
      <w:pPr>
        <w:spacing w:after="0" w:line="2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1E1E1E"/>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22%, one customer accounted for 13% and two customers each accounted for 10% of our total trade receivables balance, while no other customer accounted for more than 8% of our total trade receivables balance as of January 31, 2026.</w:t>
      </w:r>
    </w:p>
    <w:p>
      <w:pPr>
        <w:spacing w:after="0" w:line="156"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1E1E1E"/>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Inventory Valuation</w:t>
      </w:r>
    </w:p>
    <w:p>
      <w:pPr>
        <w:spacing w:after="0" w:line="243"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9"/>
          <w:szCs w:val="19"/>
          <w:color w:val="1E1E1E"/>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54</w:t>
      </w:r>
    </w:p>
    <w:p>
      <w:pPr>
        <w:sectPr>
          <w:pgSz w:w="12240" w:h="15840" w:orient="portrait"/>
          <w:cols w:equalWidth="0" w:num="1">
            <w:col w:w="10260"/>
          </w:cols>
          <w:pgMar w:left="1000" w:top="1156" w:right="980" w:bottom="178" w:gutter="0" w:footer="0" w:header="0"/>
          <w:type w:val="continuous"/>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 Continued</w:t>
      </w:r>
    </w:p>
    <w:p>
      <w:pPr>
        <w:spacing w:after="0" w:line="24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4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1E1E1E"/>
        </w:rPr>
        <w:t>Inherent in the retail inventory method are subjective judgments and estimates about the recoverability of the inventory and its market value,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We analyze markdown requirements at the stock number level based on factors such as inventory turn, average selling price and inventory age and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4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Inherent in the analysis of both wholesale and retail inventory valuation are subjective judgments about current market conditions, fashion trends and overall economic conditions as well as expectations surrounding future sales. Failure to make appropriate conclusions regarding these factors may result in an overstatement or understatement of inventory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Property and Equipment</w:t>
      </w:r>
    </w:p>
    <w:p>
      <w:pPr>
        <w:spacing w:after="0" w:line="2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1E1E1E"/>
        </w:rPr>
        <w:t>Property and equipment are recorded at cost and depreciated or amortized over the estimated useful life of related assets. We capitalize certain costs incurred in connection with developing or obtaining internal-use software. Capitalized software costs are included in property and equipment, net on the Consolidated Balance Sheets and are generally amortized over five years. Depreciation and amortization expense are computed principally by the straight-line method over the following estimated useful lives: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Buildings and building equipment</w:t>
            </w:r>
          </w:p>
        </w:tc>
        <w:tc>
          <w:tcPr>
            <w:tcW w:w="3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20-45 years</w:t>
            </w:r>
          </w:p>
        </w:tc>
      </w:tr>
      <w:tr>
        <w:trPr>
          <w:trHeight w:val="272"/>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1E1E1E"/>
              </w:rPr>
              <w:t>Computer hardware, software and equipment</w:t>
            </w:r>
          </w:p>
        </w:tc>
        <w:tc>
          <w:tcPr>
            <w:tcW w:w="3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3-10 years</w:t>
            </w:r>
          </w:p>
        </w:tc>
      </w:tr>
      <w:tr>
        <w:trPr>
          <w:trHeight w:val="280"/>
        </w:trPr>
        <w:tc>
          <w:tcPr>
            <w:tcW w:w="6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Furniture and fixtures</w:t>
            </w:r>
          </w:p>
        </w:tc>
        <w:tc>
          <w:tcPr>
            <w:tcW w:w="37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 years</w:t>
            </w:r>
          </w:p>
        </w:tc>
      </w:tr>
    </w:tbl>
    <w:p>
      <w:pPr>
        <w:spacing w:after="0" w:line="251"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20"/>
          <w:szCs w:val="20"/>
          <w:color w:val="1E1E1E"/>
        </w:rPr>
        <w:t>Depreciation expense related to property and equipment was approximately $52.8 million, $51.9 million and $48.9 million for Fiscal 2026, 2025 and 2024,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Leases</w:t>
      </w:r>
    </w:p>
    <w:p>
      <w:pPr>
        <w:spacing w:after="0" w:line="2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3%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55</w:t>
      </w:r>
    </w:p>
    <w:p>
      <w:pPr>
        <w:sectPr>
          <w:pgSz w:w="12240" w:h="15840" w:orient="portrait"/>
          <w:cols w:equalWidth="0" w:num="1">
            <w:col w:w="10260"/>
          </w:cols>
          <w:pgMar w:left="1000" w:top="1156" w:right="980" w:bottom="178" w:gutter="0" w:footer="0" w:header="0"/>
          <w:type w:val="continuous"/>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 Continued</w:t>
      </w:r>
    </w:p>
    <w:p>
      <w:pPr>
        <w:spacing w:after="0" w:line="24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Net lease costs are included within selling and administrative expenses on the Consolidated Statements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Asset Retirement Obligations</w:t>
      </w:r>
    </w:p>
    <w:p>
      <w:pPr>
        <w:spacing w:after="0" w:line="24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 conditions if a reasonable estimate of fair value can be made. Asset retirement obligations are recorded in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63" w:lineRule="exact"/>
        <w:rPr>
          <w:sz w:val="20"/>
          <w:szCs w:val="20"/>
          <w:color w:val="auto"/>
        </w:rPr>
      </w:pPr>
    </w:p>
    <w:p>
      <w:pPr>
        <w:ind w:right="560"/>
        <w:spacing w:after="0" w:line="326" w:lineRule="auto"/>
        <w:rPr>
          <w:sz w:val="20"/>
          <w:szCs w:val="20"/>
          <w:color w:val="auto"/>
        </w:rPr>
      </w:pPr>
      <w:r>
        <w:rPr>
          <w:rFonts w:ascii="Times New Roman" w:cs="Times New Roman" w:eastAsia="Times New Roman" w:hAnsi="Times New Roman"/>
          <w:sz w:val="20"/>
          <w:szCs w:val="20"/>
          <w:color w:val="1E1E1E"/>
        </w:rPr>
        <w:t>Our Consolidated Balance Sheets include asset retirement obligations related to leases in other long-term liabilities in the amount of $11.1 million and $10.9 million as of January 31, 2026 and February 1, 2025,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Impairment of Long-Lived Assets</w:t>
      </w:r>
    </w:p>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1E1E1E"/>
        </w:rPr>
        <w:t>We periodically assess the recoverability of our long-lived assets, other than goodwill, and evaluate such assets for impairment whenever events or changes in circumstances indicate that the carrying amount of an asset may not be recoverable. Asset impairment is determined to exist if an asset's fair value is less than the carrying amount. Fair value of our long-lived assets is determined by estimated future cash flows, undiscounted and without interest charges, and comparable market rents. Inherent in the analysis of impairment are subjective judgments about future cash flows. Failure to make appropriate conclusions regarding these judgments may result in an overstatement or understatement of the value of long-lived assets.</w:t>
      </w:r>
    </w:p>
    <w:p>
      <w:pPr>
        <w:spacing w:after="0" w:line="15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w:t>
      </w:r>
    </w:p>
    <w:p>
      <w:pPr>
        <w:sectPr>
          <w:pgSz w:w="12240" w:h="15840" w:orient="portrait"/>
          <w:cols w:equalWidth="0" w:num="1">
            <w:col w:w="10260"/>
          </w:cols>
          <w:pgMar w:left="1000" w:top="1156" w:right="980" w:bottom="178" w:gutter="0" w:footer="0" w:header="0"/>
        </w:sect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56</w:t>
      </w:r>
    </w:p>
    <w:p>
      <w:pPr>
        <w:sectPr>
          <w:pgSz w:w="12240" w:h="15840" w:orient="portrait"/>
          <w:cols w:equalWidth="0" w:num="1">
            <w:col w:w="10260"/>
          </w:cols>
          <w:pgMar w:left="1000" w:top="1156" w:right="980" w:bottom="178" w:gutter="0" w:footer="0" w:header="0"/>
          <w:type w:val="continuous"/>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 Continued</w:t>
      </w:r>
    </w:p>
    <w:p>
      <w:pPr>
        <w:spacing w:after="0" w:line="24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0"/>
          <w:szCs w:val="20"/>
          <w:color w:val="1E1E1E"/>
        </w:rPr>
        <w:t>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Fair Value</w:t>
      </w:r>
    </w:p>
    <w:p>
      <w:pPr>
        <w:spacing w:after="0" w:line="2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 xml:space="preserve">Level 1 </w:t>
      </w:r>
      <w:r>
        <w:rPr>
          <w:rFonts w:ascii="Times New Roman" w:cs="Times New Roman" w:eastAsia="Times New Roman" w:hAnsi="Times New Roman"/>
          <w:sz w:val="20"/>
          <w:szCs w:val="20"/>
          <w:color w:val="1E1E1E"/>
        </w:rPr>
        <w:t>- Quoted prices in active markets for identical assets or liabilities.</w:t>
      </w:r>
    </w:p>
    <w:p>
      <w:pPr>
        <w:spacing w:after="0" w:line="245"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i w:val="1"/>
          <w:iCs w:val="1"/>
          <w:color w:val="1E1E1E"/>
        </w:rPr>
        <w:t xml:space="preserve">Level 2 </w:t>
      </w:r>
      <w:r>
        <w:rPr>
          <w:rFonts w:ascii="Times New Roman" w:cs="Times New Roman" w:eastAsia="Times New Roman" w:hAnsi="Times New Roman"/>
          <w:sz w:val="20"/>
          <w:szCs w:val="20"/>
          <w:color w:val="1E1E1E"/>
        </w:rPr>
        <w:t>- Observable inputs other than Level 1 prices such as quoted prices for similar assets or liabilities; quoted prices in markets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that are not active; or other inputs that are observable or can be corroborated by observable market data for substantially the full term of the assets or liabilities.</w:t>
      </w:r>
    </w:p>
    <w:p>
      <w:pPr>
        <w:spacing w:after="0" w:line="14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i w:val="1"/>
          <w:iCs w:val="1"/>
          <w:color w:val="1E1E1E"/>
        </w:rPr>
        <w:t xml:space="preserve">Level 3 </w:t>
      </w:r>
      <w:r>
        <w:rPr>
          <w:rFonts w:ascii="Times New Roman" w:cs="Times New Roman" w:eastAsia="Times New Roman" w:hAnsi="Times New Roman"/>
          <w:sz w:val="20"/>
          <w:szCs w:val="20"/>
          <w:color w:val="1E1E1E"/>
        </w:rPr>
        <w:t>- Unobservable inputs that are supported by little or no market activity and that are significant to the fair value of the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assets or liabilities.</w:t>
      </w:r>
    </w:p>
    <w:p>
      <w:pPr>
        <w:spacing w:after="0" w:line="12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A financial asset or liability’s classification within the hierarchy is determined based on the lowest level input that is significant to the fair value measurement.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exclude sales and value added tax collected on behalf of third parties from the transaction price.</w:t>
      </w:r>
    </w:p>
    <w:p>
      <w:pPr>
        <w:sectPr>
          <w:pgSz w:w="12240" w:h="15840" w:orient="portrait"/>
          <w:cols w:equalWidth="0" w:num="1">
            <w:col w:w="10260"/>
          </w:cols>
          <w:pgMar w:left="1000" w:top="1156" w:right="980" w:bottom="178" w:gutter="0" w:footer="0" w:header="0"/>
        </w:sect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57</w:t>
      </w:r>
    </w:p>
    <w:p>
      <w:pPr>
        <w:sectPr>
          <w:pgSz w:w="12240" w:h="15840" w:orient="portrait"/>
          <w:cols w:equalWidth="0" w:num="1">
            <w:col w:w="10260"/>
          </w:cols>
          <w:pgMar w:left="1000" w:top="1156" w:right="980" w:bottom="178" w:gutter="0" w:footer="0" w:header="0"/>
          <w:type w:val="continuous"/>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 Continued</w:t>
      </w:r>
    </w:p>
    <w:p>
      <w:pPr>
        <w:spacing w:after="0" w:line="247"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1E1E1E"/>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expected to be exercised by the customer in future periods. We perform an evaluation of historical redemption patterns from the date of original issuance to estimate future period redemption activity.</w:t>
      </w:r>
    </w:p>
    <w:p>
      <w:pPr>
        <w:spacing w:after="0" w:line="14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Our Consolidated Balance Sheets include an accrued liability for gift cards of $6.1 million and $5.0 million as of January 31, 2026 and February 1, 2025, respectively. Gift card breakage recognized as revenue was $1.5 million, $1.2 million and $1.1 million for Fiscal 2026, 2025 and 2024, respectively. During Fiscal 2026, we recognized $3.7 million of gift card redemptions and gift card breakage revenue that were included in the gift card liability as of February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Cost of Sales</w:t>
      </w:r>
    </w:p>
    <w:p>
      <w:pPr>
        <w:spacing w:after="0" w:line="24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For our retail operations, the cost of sales includes actual product cost, the cost of transportation to our warehouses from suppliers, the cost of transportation from our warehouses to the stores and the cost of transportation from our warehouses to the customer. Additionally, the cost of our distribution facilities inclusive of the related depreciation and amortization allocated to our retail operations is included in cost of sales.</w:t>
      </w:r>
    </w:p>
    <w:p>
      <w:pPr>
        <w:spacing w:after="0" w:line="15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For our wholesale operations, the cost of sales includes the actual product cost and the cost of transportation to the Company’s warehouses from suppliers.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Selling and Administrative Expenses</w:t>
      </w:r>
    </w:p>
    <w:p>
      <w:pPr>
        <w:spacing w:after="0" w:line="2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$10.6 million, $11.1 million and $12.1 million for Fiscal 2026, 2025 and 2024, respectively.</w:t>
      </w:r>
    </w:p>
    <w:p>
      <w:pPr>
        <w:spacing w:after="0" w:line="15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$296.5 million, $298.2 million and $309.8 million for Fiscal 2026, 2025 and 2024,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Shipping and Handling Costs</w:t>
      </w:r>
    </w:p>
    <w:p>
      <w:pPr>
        <w:spacing w:after="0" w:line="243"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in our Consolidated Statements of Operations.</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58</w:t>
      </w:r>
    </w:p>
    <w:p>
      <w:pPr>
        <w:sectPr>
          <w:pgSz w:w="12240" w:h="15840" w:orient="portrait"/>
          <w:cols w:equalWidth="0" w:num="1">
            <w:col w:w="10260"/>
          </w:cols>
          <w:pgMar w:left="1000" w:top="1156" w:right="980" w:bottom="178" w:gutter="0" w:footer="0" w:header="0"/>
          <w:type w:val="continuous"/>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 Continued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Advertising Costs</w:t>
      </w:r>
    </w:p>
    <w:p>
      <w:pPr>
        <w:spacing w:after="0" w:line="24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20"/>
          <w:szCs w:val="20"/>
          <w:color w:val="1E1E1E"/>
        </w:rPr>
        <w:t>Advertising costs are predominantly expensed as incurred. Advertising costs were $141.5 million, $132.8 million and $124.7 million for Fiscal 2026, 2025 and 2024,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Consideration to Resellers</w:t>
      </w:r>
    </w:p>
    <w:p>
      <w:pPr>
        <w:spacing w:after="0" w:line="2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In our wholesale businesses, we do not have any written buy-down programs with retailers, but we have provided certain retailers with markdown allowances for obsolete and slow-moving products that are in the retailer’s inventory. We estimate these allowances and provide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Vendor Allowances</w:t>
      </w:r>
    </w:p>
    <w:p>
      <w:pPr>
        <w:spacing w:after="0" w:line="24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We receive support from some of our vendors in the form of reimbursements for cooperative advertising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6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Vendor reimbursements of cooperative advertising costs recognized as a reduction of selling and administrative expenses were $13.9 million, $9.0 million and $13.1 million for Fiscal 2026, 2025 and 2024, respectively. During Fiscal 2026, 2025 and 2024, our vendor reimbursements of cooperative advertising received were not in excess of the costs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Share-Based Compensation</w:t>
      </w:r>
    </w:p>
    <w:p>
      <w:pPr>
        <w:spacing w:after="0" w:line="24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20"/>
          <w:szCs w:val="20"/>
          <w:color w:val="1E1E1E"/>
        </w:rPr>
        <w:t>We have a share-based compensation plan, the Genesco Inc. Third Amended and Restated 2020 Equity Incentive Plan (the "2020 Plan"), which originally became effective June 25, 2020, was amended and restated on June 22, 2023 and further amended and restated on June 25, 2024 and June 26, 2025. Under the 2020 Plan, we may grant non-qualified stock options, restricted stock awards ("RSAs"), restricted stock units ("RSUs") and performance-based share units ("PSUs") and other stock-based awards to our key employees, non-employee directors and consultants.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Compensation expense for RSAs, RSUs and PSUs, net of forfeitures, is recognized on a straight-line basis over the requisite service period. For PSUs, at the end of each reporting period, compensation expense is</w:t>
      </w:r>
    </w:p>
    <w:p>
      <w:pPr>
        <w:sectPr>
          <w:pgSz w:w="12240" w:h="15840" w:orient="portrait"/>
          <w:cols w:equalWidth="0" w:num="1">
            <w:col w:w="10260"/>
          </w:cols>
          <w:pgMar w:left="1000" w:top="1156" w:right="980" w:bottom="178" w:gutter="0" w:footer="0" w:header="0"/>
        </w:sectPr>
      </w:pP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59</w:t>
      </w:r>
    </w:p>
    <w:p>
      <w:pPr>
        <w:sectPr>
          <w:pgSz w:w="12240" w:h="15840" w:orient="portrait"/>
          <w:cols w:equalWidth="0" w:num="1">
            <w:col w:w="10260"/>
          </w:cols>
          <w:pgMar w:left="1000" w:top="1156" w:right="980" w:bottom="178" w:gutter="0" w:footer="0" w:header="0"/>
          <w:type w:val="continuous"/>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Note 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Summary of Significant Accounting Policies, Continued</w:t>
      </w:r>
    </w:p>
    <w:p>
      <w:pPr>
        <w:spacing w:after="0" w:line="247"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20"/>
          <w:szCs w:val="20"/>
          <w:color w:val="1E1E1E"/>
        </w:rPr>
        <w:t>updated for our expected performance level against the performance goals, which involves judgment as to the achievement of certain performance metrics.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Translation</w:t>
      </w:r>
    </w:p>
    <w:p>
      <w:pPr>
        <w:spacing w:after="0" w:line="24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foreign currency transactions were not material for Fiscal 2026, 2025 and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New Accounting Pronouncements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New Accounting Pronouncements Adopted</w:t>
      </w:r>
    </w:p>
    <w:p>
      <w:pPr>
        <w:spacing w:after="0" w:line="24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In December 2023, the Financial Accounting Standards Board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adopted ASU 2023-09 for the year ended January 31, 2026 on a prospective basis. The adoption did not have a material impact on our Consolidated Financial Statements, but it did require increased income tax disclosures within the notes to our Consolidated Financial Statements. See Note 11, "Income Taxes"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New Accounting Pronouncements Not Yet Adopted</w:t>
      </w:r>
    </w:p>
    <w:p>
      <w:pPr>
        <w:spacing w:after="0" w:line="24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1E1E1E"/>
        </w:rPr>
        <w:t>In September 2025, the FASB issued ASU 2025-06, "Intangibles - Goodwill and Other - Internal-Use Software (Subtopic 350-40)." The ASU is intended to modernize the accounting for internal-use software costs with how software is developed today, clarify when to begin capitalizing costs and enhance disclosure requirements. The ASU is effective on either a retrospective, prospective or modified prospective basis for fiscal years beginning after December 15, 2027, including interim periods within those fiscal years. Early adoption is permitted. We are currently evaluating the impact of the adoption of this ASU on our financial disclosures but do not expect it to have a material impact on our Consolidated Financial Statements.</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In November 2024, the FASB issued ASU 2024-03, “Income Statement - Reporting Comprehensive Income - Expense Disaggregation Disclosures (Subtopic 220-40): Disaggregation of Income Statement Expenses.” The ASU is intended to improve the disclosures about a public business entity’s expenses and address requests from investors for more detailed information about the types of expenses in commonly presented expense captions. The ASU is required to be adopted for fiscal years beginning after December 15, 2026 and interim reporting periods beginning after December 15, 2027. Early adoption is permitted. The amendments should be applied on either a prospective basis to financial statements issued for reporting periods after the effective date of the update, or on a retrospective basis to any or all prior periods presented in the financial statements.</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60</w:t>
      </w:r>
    </w:p>
    <w:p>
      <w:pPr>
        <w:sectPr>
          <w:pgSz w:w="12240" w:h="15840" w:orient="portrait"/>
          <w:cols w:equalWidth="0" w:num="1">
            <w:col w:w="10260"/>
          </w:cols>
          <w:pgMar w:left="1000" w:top="1156" w:right="980" w:bottom="178"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2</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New Accounting Pronouncements, Continued</w:t>
      </w:r>
    </w:p>
    <w:p>
      <w:pPr>
        <w:spacing w:after="0" w:line="247" w:lineRule="exact"/>
        <w:rPr>
          <w:sz w:val="20"/>
          <w:szCs w:val="20"/>
          <w:color w:val="auto"/>
        </w:rPr>
      </w:pPr>
    </w:p>
    <w:p>
      <w:pPr>
        <w:jc w:val="both"/>
        <w:ind w:left="20"/>
        <w:spacing w:after="0" w:line="331" w:lineRule="auto"/>
        <w:rPr>
          <w:sz w:val="20"/>
          <w:szCs w:val="20"/>
          <w:color w:val="auto"/>
        </w:rPr>
      </w:pPr>
      <w:r>
        <w:rPr>
          <w:rFonts w:ascii="Times New Roman" w:cs="Times New Roman" w:eastAsia="Times New Roman" w:hAnsi="Times New Roman"/>
          <w:sz w:val="20"/>
          <w:szCs w:val="20"/>
          <w:color w:val="1E1E1E"/>
        </w:rPr>
        <w:t>We are currently evaluating the impact of adoption on our financial disclosures but do not expect this ASU to have a material impact on our Consolidated Financial Statements.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3</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Goodwill and Other Intangible Assets</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Goodwill</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change in the carrying amount of goodwill for Journeys Group was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163830</wp:posOffset>
                </wp:positionV>
                <wp:extent cx="651065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6095">
                          <a:solidFill>
                            <a:srgbClr val="1E1E1E"/>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2.9pt" to="513.3pt,12.9pt" o:allowincell="f" strokecolor="#1E1E1E" strokeweight="0.4799pt"/>
            </w:pict>
          </mc:Fallback>
        </mc:AlternateConten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10" w:type="dxa"/>
            <w:vAlign w:val="bottom"/>
          </w:tcPr>
          <w:p>
            <w:pPr>
              <w:spacing w:after="0"/>
              <w:rPr>
                <w:sz w:val="20"/>
                <w:szCs w:val="20"/>
                <w:color w:val="auto"/>
              </w:rPr>
            </w:pPr>
          </w:p>
        </w:tc>
        <w:tc>
          <w:tcPr>
            <w:tcW w:w="2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1E1E1E"/>
              </w:rPr>
              <w:t>Total</w:t>
            </w:r>
          </w:p>
        </w:tc>
      </w:tr>
      <w:tr>
        <w:trPr>
          <w:trHeight w:val="278"/>
        </w:trPr>
        <w:tc>
          <w:tcPr>
            <w:tcW w:w="20" w:type="dxa"/>
            <w:vAlign w:val="bottom"/>
          </w:tcPr>
          <w:p>
            <w:pPr>
              <w:spacing w:after="0"/>
              <w:rPr>
                <w:sz w:val="23"/>
                <w:szCs w:val="23"/>
                <w:color w:val="auto"/>
              </w:rPr>
            </w:pPr>
          </w:p>
        </w:tc>
        <w:tc>
          <w:tcPr>
            <w:tcW w:w="821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210" w:type="dxa"/>
            <w:vAlign w:val="bottom"/>
            <w:tcBorders>
              <w:bottom w:val="single" w:sz="8" w:color="1E1E1E"/>
            </w:tcBorders>
          </w:tcPr>
          <w:p>
            <w:pPr>
              <w:spacing w:after="0"/>
              <w:rPr>
                <w:sz w:val="23"/>
                <w:szCs w:val="23"/>
                <w:color w:val="auto"/>
              </w:rPr>
            </w:pPr>
          </w:p>
        </w:tc>
        <w:tc>
          <w:tcPr>
            <w:tcW w:w="100" w:type="dxa"/>
            <w:vAlign w:val="bottom"/>
            <w:tcBorders>
              <w:bottom w:val="single" w:sz="8" w:color="1E1E1E"/>
            </w:tcBorders>
          </w:tcPr>
          <w:p>
            <w:pPr>
              <w:spacing w:after="0"/>
              <w:rPr>
                <w:sz w:val="23"/>
                <w:szCs w:val="23"/>
                <w:color w:val="auto"/>
              </w:rPr>
            </w:pPr>
          </w:p>
        </w:tc>
        <w:tc>
          <w:tcPr>
            <w:tcW w:w="1740" w:type="dxa"/>
            <w:vAlign w:val="bottom"/>
            <w:tcBorders>
              <w:bottom w:val="single" w:sz="8" w:color="1E1E1E"/>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1E1E1E"/>
              </w:rPr>
              <w:t>Goodwill</w:t>
            </w:r>
          </w:p>
        </w:tc>
      </w:tr>
      <w:tr>
        <w:trPr>
          <w:trHeight w:val="214"/>
        </w:trPr>
        <w:tc>
          <w:tcPr>
            <w:tcW w:w="20" w:type="dxa"/>
            <w:vAlign w:val="bottom"/>
          </w:tcPr>
          <w:p>
            <w:pPr>
              <w:spacing w:after="0"/>
              <w:rPr>
                <w:sz w:val="18"/>
                <w:szCs w:val="18"/>
                <w:color w:val="auto"/>
              </w:rPr>
            </w:pPr>
          </w:p>
        </w:tc>
        <w:tc>
          <w:tcPr>
            <w:tcW w:w="8210" w:type="dxa"/>
            <w:vAlign w:val="bottom"/>
            <w:tcBorders>
              <w:top w:val="single" w:sz="8" w:color="E4E4E4"/>
            </w:tcBorders>
            <w:shd w:val="clear" w:color="auto" w:fill="E4E4E4"/>
          </w:tcPr>
          <w:p>
            <w:pPr>
              <w:spacing w:after="0" w:line="214" w:lineRule="exact"/>
              <w:rPr>
                <w:sz w:val="20"/>
                <w:szCs w:val="20"/>
                <w:color w:val="auto"/>
              </w:rPr>
            </w:pPr>
            <w:r>
              <w:rPr>
                <w:rFonts w:ascii="Times New Roman" w:cs="Times New Roman" w:eastAsia="Times New Roman" w:hAnsi="Times New Roman"/>
                <w:sz w:val="20"/>
                <w:szCs w:val="20"/>
                <w:color w:val="1E1E1E"/>
              </w:rPr>
              <w:t>Balance, February 1, 2025</w:t>
            </w:r>
          </w:p>
        </w:tc>
        <w:tc>
          <w:tcPr>
            <w:tcW w:w="21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62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color w:val="1E1E1E"/>
              </w:rPr>
              <w:t>8,863</w:t>
            </w:r>
          </w:p>
        </w:tc>
        <w:tc>
          <w:tcPr>
            <w:tcW w:w="10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1E1E1E"/>
            </w:tcBorders>
            <w:shd w:val="clear" w:color="auto" w:fill="E4E4E4"/>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821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Effect of foreign currency exchange rates</w:t>
            </w:r>
          </w:p>
        </w:tc>
        <w:tc>
          <w:tcPr>
            <w:tcW w:w="21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1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596</w:t>
            </w:r>
          </w:p>
        </w:tc>
        <w:tc>
          <w:tcPr>
            <w:tcW w:w="100" w:type="dxa"/>
            <w:vAlign w:val="bottom"/>
            <w:tcBorders>
              <w:bottom w:val="single" w:sz="8" w:color="1E1E1E"/>
            </w:tcBorders>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r>
      <w:tr>
        <w:trPr>
          <w:trHeight w:val="234"/>
        </w:trPr>
        <w:tc>
          <w:tcPr>
            <w:tcW w:w="20" w:type="dxa"/>
            <w:vAlign w:val="bottom"/>
            <w:tcBorders>
              <w:bottom w:val="single" w:sz="8" w:color="1E1E1E"/>
            </w:tcBorders>
          </w:tcPr>
          <w:p>
            <w:pPr>
              <w:spacing w:after="0"/>
              <w:rPr>
                <w:sz w:val="20"/>
                <w:szCs w:val="20"/>
                <w:color w:val="auto"/>
              </w:rPr>
            </w:pPr>
          </w:p>
        </w:tc>
        <w:tc>
          <w:tcPr>
            <w:tcW w:w="821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Balance, January 31, 2026</w:t>
            </w:r>
          </w:p>
        </w:tc>
        <w:tc>
          <w:tcPr>
            <w:tcW w:w="21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6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9,459</w:t>
            </w:r>
          </w:p>
        </w:tc>
        <w:tc>
          <w:tcPr>
            <w:tcW w:w="100" w:type="dxa"/>
            <w:vAlign w:val="bottom"/>
            <w:tcBorders>
              <w:bottom w:val="single" w:sz="8" w:color="1E1E1E"/>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r>
    </w:tbl>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Goodwill Valuation (Genesco Brands Group)</w:t>
      </w:r>
    </w:p>
    <w:p>
      <w:pPr>
        <w:spacing w:after="0" w:line="173" w:lineRule="exact"/>
        <w:rPr>
          <w:sz w:val="20"/>
          <w:szCs w:val="20"/>
          <w:color w:val="auto"/>
        </w:rPr>
      </w:pPr>
    </w:p>
    <w:p>
      <w:pPr>
        <w:jc w:val="both"/>
        <w:ind w:left="20" w:right="20"/>
        <w:spacing w:after="0" w:line="298" w:lineRule="auto"/>
        <w:rPr>
          <w:sz w:val="20"/>
          <w:szCs w:val="20"/>
          <w:color w:val="auto"/>
        </w:rPr>
      </w:pPr>
      <w:r>
        <w:rPr>
          <w:rFonts w:ascii="Times New Roman" w:cs="Times New Roman" w:eastAsia="Times New Roman" w:hAnsi="Times New Roman"/>
          <w:sz w:val="20"/>
          <w:szCs w:val="20"/>
          <w:color w:val="1E1E1E"/>
        </w:rPr>
        <w:t>As required under ASC 350, "Intangibles - Goodwill and Other," we annually assess our goodwill and indefinite lived trade names for impairment and on an interim basis if indicators of impairment are present. Our annual assessment date of goodwill and indefinite lived trade names is the first day of the fourth quarter. In accordance with ASC 350, when indicators of impairment are present on an interim basis, we must assess whether it is “more likely than not” (i.e., a greater than 50% chance) that an impairment has occurred.</w:t>
      </w:r>
    </w:p>
    <w:p>
      <w:pPr>
        <w:spacing w:after="0" w:line="228" w:lineRule="exact"/>
        <w:rPr>
          <w:sz w:val="20"/>
          <w:szCs w:val="20"/>
          <w:color w:val="auto"/>
        </w:rPr>
      </w:pPr>
    </w:p>
    <w:p>
      <w:pPr>
        <w:jc w:val="both"/>
        <w:ind w:left="20"/>
        <w:spacing w:after="0" w:line="309" w:lineRule="auto"/>
        <w:rPr>
          <w:sz w:val="20"/>
          <w:szCs w:val="20"/>
          <w:color w:val="auto"/>
        </w:rPr>
      </w:pPr>
      <w:r>
        <w:rPr>
          <w:rFonts w:ascii="Times New Roman" w:cs="Times New Roman" w:eastAsia="Times New Roman" w:hAnsi="Times New Roman"/>
          <w:sz w:val="19"/>
          <w:szCs w:val="19"/>
          <w:color w:val="1E1E1E"/>
        </w:rPr>
        <w:t>Due to a dispute during the second quarter of Fiscal 2024 with a Genesco Brands Group licensor regarding renewal of their current license in the normal course, which was resolved in Fiscal 2025, and based on the requirements of ASC 350, we identified indicators of impairment in the second quarter of Fiscal 2024 and determined that it was "more likely than not" that an impairment had occurred and performed a full valuation of our Togast reporting unit. Consistent with our Fiscal 2023 annual assessment, our analyses included preparing an income approach and a market approach model. The fair value estimates under the income approach were sensitive to significant assumptions required to develop prospective financial information related to growth rates in sales, costs, and estimates of future expected changes in operating margins. Other significant assumptions related to estimating the weighted average cost of capital utilized for discounting cash flow estimates and terminal period growth rates. These significant assumptions were affected by expectations about future market or economic conditions. The market approach model considered valuations of comparable companies as an input in the determination of the value of the reporting unit.</w:t>
      </w:r>
    </w:p>
    <w:p>
      <w:pPr>
        <w:spacing w:after="0" w:line="225" w:lineRule="exact"/>
        <w:rPr>
          <w:sz w:val="20"/>
          <w:szCs w:val="20"/>
          <w:color w:val="auto"/>
        </w:rPr>
      </w:pPr>
    </w:p>
    <w:p>
      <w:pPr>
        <w:jc w:val="both"/>
        <w:ind w:left="20" w:right="20"/>
        <w:spacing w:after="0" w:line="326" w:lineRule="auto"/>
        <w:rPr>
          <w:sz w:val="20"/>
          <w:szCs w:val="20"/>
          <w:color w:val="auto"/>
        </w:rPr>
      </w:pPr>
      <w:r>
        <w:rPr>
          <w:rFonts w:ascii="Times New Roman" w:cs="Times New Roman" w:eastAsia="Times New Roman" w:hAnsi="Times New Roman"/>
          <w:sz w:val="20"/>
          <w:szCs w:val="20"/>
          <w:color w:val="1E1E1E"/>
        </w:rPr>
        <w:t>Based upon the results of these analyses, we concluded the goodwill attributed to Togast was fully impaired. As a result, we recorded a non-cash impairment charge of $28.5 million in the second quarter of Fiscal 2024.</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61</w:t>
      </w:r>
    </w:p>
    <w:p>
      <w:pPr>
        <w:sectPr>
          <w:pgSz w:w="12240" w:h="15840" w:orient="portrait"/>
          <w:cols w:equalWidth="0" w:num="1">
            <w:col w:w="10280"/>
          </w:cols>
          <w:pgMar w:left="980" w:top="1156" w:right="980" w:bottom="178"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3</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Goodwill and Other Intangible Assets, Continued</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Other intangibles by major classes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1420" w:type="dxa"/>
            <w:vAlign w:val="bottom"/>
            <w:tcBorders>
              <w:bottom w:val="single" w:sz="8" w:color="1E1E1E"/>
            </w:tcBorders>
            <w:gridSpan w:val="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w w:val="98"/>
              </w:rPr>
              <w:t>Trademarks</w:t>
            </w:r>
            <w:r>
              <w:rPr>
                <w:rFonts w:ascii="Times New Roman" w:cs="Times New Roman" w:eastAsia="Times New Roman" w:hAnsi="Times New Roman"/>
                <w:sz w:val="25"/>
                <w:szCs w:val="25"/>
                <w:b w:val="1"/>
                <w:bCs w:val="1"/>
                <w:color w:val="1E1E1E"/>
                <w:w w:val="98"/>
                <w:vertAlign w:val="superscript"/>
              </w:rPr>
              <w:t>(1)</w:t>
            </w:r>
          </w:p>
        </w:tc>
        <w:tc>
          <w:tcPr>
            <w:tcW w:w="100" w:type="dxa"/>
            <w:vAlign w:val="bottom"/>
            <w:tcBorders>
              <w:bottom w:val="single" w:sz="8" w:color="1E1E1E"/>
            </w:tcBorders>
          </w:tcPr>
          <w:p>
            <w:pPr>
              <w:spacing w:after="0"/>
              <w:rPr>
                <w:sz w:val="24"/>
                <w:szCs w:val="24"/>
                <w:color w:val="auto"/>
              </w:rPr>
            </w:pPr>
          </w:p>
        </w:tc>
        <w:tc>
          <w:tcPr>
            <w:tcW w:w="1660" w:type="dxa"/>
            <w:vAlign w:val="bottom"/>
            <w:tcBorders>
              <w:bottom w:val="single" w:sz="8" w:color="1E1E1E"/>
            </w:tcBorders>
            <w:gridSpan w:val="6"/>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w w:val="98"/>
              </w:rPr>
              <w:t>Customer Lists</w:t>
            </w:r>
            <w:r>
              <w:rPr>
                <w:rFonts w:ascii="Times New Roman" w:cs="Times New Roman" w:eastAsia="Times New Roman" w:hAnsi="Times New Roman"/>
                <w:sz w:val="25"/>
                <w:szCs w:val="25"/>
                <w:b w:val="1"/>
                <w:bCs w:val="1"/>
                <w:color w:val="1E1E1E"/>
                <w:w w:val="98"/>
                <w:vertAlign w:val="superscript"/>
              </w:rPr>
              <w:t>(2)</w:t>
            </w:r>
          </w:p>
        </w:tc>
        <w:tc>
          <w:tcPr>
            <w:tcW w:w="100" w:type="dxa"/>
            <w:vAlign w:val="bottom"/>
            <w:tcBorders>
              <w:bottom w:val="single" w:sz="8" w:color="1E1E1E"/>
            </w:tcBorders>
          </w:tcPr>
          <w:p>
            <w:pPr>
              <w:spacing w:after="0"/>
              <w:rPr>
                <w:sz w:val="24"/>
                <w:szCs w:val="24"/>
                <w:color w:val="auto"/>
              </w:rPr>
            </w:pPr>
          </w:p>
        </w:tc>
        <w:tc>
          <w:tcPr>
            <w:tcW w:w="1560" w:type="dxa"/>
            <w:vAlign w:val="bottom"/>
            <w:tcBorders>
              <w:bottom w:val="single" w:sz="8" w:color="1E1E1E"/>
            </w:tcBorders>
            <w:gridSpan w:val="5"/>
          </w:tcPr>
          <w:p>
            <w:pPr>
              <w:jc w:val="right"/>
              <w:ind w:right="540"/>
              <w:spacing w:after="0"/>
              <w:rPr>
                <w:sz w:val="20"/>
                <w:szCs w:val="20"/>
                <w:color w:val="auto"/>
              </w:rPr>
            </w:pPr>
            <w:r>
              <w:rPr>
                <w:rFonts w:ascii="Times New Roman" w:cs="Times New Roman" w:eastAsia="Times New Roman" w:hAnsi="Times New Roman"/>
                <w:sz w:val="20"/>
                <w:szCs w:val="20"/>
                <w:b w:val="1"/>
                <w:bCs w:val="1"/>
                <w:color w:val="1E1E1E"/>
              </w:rPr>
              <w:t>Other</w:t>
            </w:r>
            <w:r>
              <w:rPr>
                <w:rFonts w:ascii="Times New Roman" w:cs="Times New Roman" w:eastAsia="Times New Roman" w:hAnsi="Times New Roman"/>
                <w:sz w:val="25"/>
                <w:szCs w:val="25"/>
                <w:b w:val="1"/>
                <w:bCs w:val="1"/>
                <w:color w:val="1E1E1E"/>
                <w:vertAlign w:val="superscript"/>
              </w:rPr>
              <w:t>(3)</w:t>
            </w:r>
          </w:p>
        </w:tc>
        <w:tc>
          <w:tcPr>
            <w:tcW w:w="120" w:type="dxa"/>
            <w:vAlign w:val="bottom"/>
            <w:tcBorders>
              <w:bottom w:val="single" w:sz="8" w:color="1E1E1E"/>
            </w:tcBorders>
          </w:tcPr>
          <w:p>
            <w:pPr>
              <w:spacing w:after="0"/>
              <w:rPr>
                <w:sz w:val="24"/>
                <w:szCs w:val="24"/>
                <w:color w:val="auto"/>
              </w:rPr>
            </w:pPr>
          </w:p>
        </w:tc>
        <w:tc>
          <w:tcPr>
            <w:tcW w:w="1520" w:type="dxa"/>
            <w:vAlign w:val="bottom"/>
            <w:tcBorders>
              <w:bottom w:val="single" w:sz="8" w:color="1E1E1E"/>
            </w:tcBorders>
            <w:gridSpan w:val="5"/>
          </w:tcPr>
          <w:p>
            <w:pPr>
              <w:jc w:val="right"/>
              <w:ind w:right="640"/>
              <w:spacing w:after="0"/>
              <w:rPr>
                <w:sz w:val="20"/>
                <w:szCs w:val="20"/>
                <w:color w:val="auto"/>
              </w:rPr>
            </w:pPr>
            <w:r>
              <w:rPr>
                <w:rFonts w:ascii="Times New Roman" w:cs="Times New Roman" w:eastAsia="Times New Roman" w:hAnsi="Times New Roman"/>
                <w:sz w:val="20"/>
                <w:szCs w:val="20"/>
                <w:b w:val="1"/>
                <w:bCs w:val="1"/>
                <w:color w:val="1E1E1E"/>
              </w:rPr>
              <w:t>Total</w:t>
            </w: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0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1E1E1E"/>
              </w:rPr>
              <w:t>Jan. 31,</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1E1E1E"/>
              </w:rPr>
              <w:t>Feb 1,</w:t>
            </w:r>
          </w:p>
        </w:tc>
        <w:tc>
          <w:tcPr>
            <w:tcW w:w="100" w:type="dxa"/>
            <w:vAlign w:val="bottom"/>
          </w:tcPr>
          <w:p>
            <w:pPr>
              <w:spacing w:after="0"/>
              <w:rPr>
                <w:sz w:val="18"/>
                <w:szCs w:val="18"/>
                <w:color w:val="auto"/>
              </w:rPr>
            </w:pPr>
          </w:p>
        </w:tc>
        <w:tc>
          <w:tcPr>
            <w:tcW w:w="850" w:type="dxa"/>
            <w:vAlign w:val="bottom"/>
            <w:gridSpan w:val="3"/>
          </w:tcPr>
          <w:p>
            <w:pPr>
              <w:jc w:val="right"/>
              <w:ind w:right="110"/>
              <w:spacing w:after="0" w:line="210" w:lineRule="exact"/>
              <w:rPr>
                <w:sz w:val="20"/>
                <w:szCs w:val="20"/>
                <w:color w:val="auto"/>
              </w:rPr>
            </w:pPr>
            <w:r>
              <w:rPr>
                <w:rFonts w:ascii="Times New Roman" w:cs="Times New Roman" w:eastAsia="Times New Roman" w:hAnsi="Times New Roman"/>
                <w:sz w:val="20"/>
                <w:szCs w:val="20"/>
                <w:b w:val="1"/>
                <w:bCs w:val="1"/>
                <w:color w:val="1E1E1E"/>
              </w:rPr>
              <w:t>Jan. 31,</w:t>
            </w:r>
          </w:p>
        </w:tc>
        <w:tc>
          <w:tcPr>
            <w:tcW w:w="110" w:type="dxa"/>
            <w:vAlign w:val="bottom"/>
          </w:tcPr>
          <w:p>
            <w:pPr>
              <w:spacing w:after="0"/>
              <w:rPr>
                <w:sz w:val="18"/>
                <w:szCs w:val="18"/>
                <w:color w:val="auto"/>
              </w:rPr>
            </w:pPr>
          </w:p>
        </w:tc>
        <w:tc>
          <w:tcPr>
            <w:tcW w:w="700" w:type="dxa"/>
            <w:vAlign w:val="bottom"/>
            <w:gridSpan w:val="2"/>
          </w:tcPr>
          <w:p>
            <w:pPr>
              <w:jc w:val="right"/>
              <w:ind w:right="100"/>
              <w:spacing w:after="0" w:line="210" w:lineRule="exact"/>
              <w:rPr>
                <w:sz w:val="20"/>
                <w:szCs w:val="20"/>
                <w:color w:val="auto"/>
              </w:rPr>
            </w:pPr>
            <w:r>
              <w:rPr>
                <w:rFonts w:ascii="Times New Roman" w:cs="Times New Roman" w:eastAsia="Times New Roman" w:hAnsi="Times New Roman"/>
                <w:sz w:val="20"/>
                <w:szCs w:val="20"/>
                <w:color w:val="1E1E1E"/>
              </w:rPr>
              <w:t>Feb 1,</w:t>
            </w:r>
          </w:p>
        </w:tc>
        <w:tc>
          <w:tcPr>
            <w:tcW w:w="850" w:type="dxa"/>
            <w:vAlign w:val="bottom"/>
            <w:gridSpan w:val="3"/>
          </w:tcPr>
          <w:p>
            <w:pPr>
              <w:jc w:val="right"/>
              <w:ind w:right="110"/>
              <w:spacing w:after="0" w:line="210" w:lineRule="exact"/>
              <w:rPr>
                <w:sz w:val="20"/>
                <w:szCs w:val="20"/>
                <w:color w:val="auto"/>
              </w:rPr>
            </w:pPr>
            <w:r>
              <w:rPr>
                <w:rFonts w:ascii="Times New Roman" w:cs="Times New Roman" w:eastAsia="Times New Roman" w:hAnsi="Times New Roman"/>
                <w:sz w:val="20"/>
                <w:szCs w:val="20"/>
                <w:b w:val="1"/>
                <w:bCs w:val="1"/>
                <w:color w:val="1E1E1E"/>
              </w:rPr>
              <w:t>Jan. 31,</w:t>
            </w:r>
          </w:p>
        </w:tc>
        <w:tc>
          <w:tcPr>
            <w:tcW w:w="110" w:type="dxa"/>
            <w:vAlign w:val="bottom"/>
          </w:tcPr>
          <w:p>
            <w:pPr>
              <w:spacing w:after="0"/>
              <w:rPr>
                <w:sz w:val="18"/>
                <w:szCs w:val="18"/>
                <w:color w:val="auto"/>
              </w:rPr>
            </w:pPr>
          </w:p>
        </w:tc>
        <w:tc>
          <w:tcPr>
            <w:tcW w:w="700" w:type="dxa"/>
            <w:vAlign w:val="bottom"/>
            <w:gridSpan w:val="2"/>
          </w:tcPr>
          <w:p>
            <w:pPr>
              <w:jc w:val="right"/>
              <w:ind w:right="100"/>
              <w:spacing w:after="0" w:line="210" w:lineRule="exact"/>
              <w:rPr>
                <w:sz w:val="20"/>
                <w:szCs w:val="20"/>
                <w:color w:val="auto"/>
              </w:rPr>
            </w:pPr>
            <w:r>
              <w:rPr>
                <w:rFonts w:ascii="Times New Roman" w:cs="Times New Roman" w:eastAsia="Times New Roman" w:hAnsi="Times New Roman"/>
                <w:sz w:val="20"/>
                <w:szCs w:val="20"/>
                <w:color w:val="1E1E1E"/>
              </w:rPr>
              <w:t>Feb 1,</w:t>
            </w:r>
          </w:p>
        </w:tc>
        <w:tc>
          <w:tcPr>
            <w:tcW w:w="820" w:type="dxa"/>
            <w:vAlign w:val="bottom"/>
            <w:gridSpan w:val="3"/>
          </w:tcPr>
          <w:p>
            <w:pPr>
              <w:jc w:val="right"/>
              <w:ind w:right="100"/>
              <w:spacing w:after="0" w:line="210" w:lineRule="exact"/>
              <w:rPr>
                <w:sz w:val="20"/>
                <w:szCs w:val="20"/>
                <w:color w:val="auto"/>
              </w:rPr>
            </w:pPr>
            <w:r>
              <w:rPr>
                <w:rFonts w:ascii="Times New Roman" w:cs="Times New Roman" w:eastAsia="Times New Roman" w:hAnsi="Times New Roman"/>
                <w:sz w:val="20"/>
                <w:szCs w:val="20"/>
                <w:b w:val="1"/>
                <w:bCs w:val="1"/>
                <w:color w:val="1E1E1E"/>
              </w:rPr>
              <w:t>Jan. 31,</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line="210" w:lineRule="exact"/>
              <w:rPr>
                <w:sz w:val="20"/>
                <w:szCs w:val="20"/>
                <w:color w:val="auto"/>
              </w:rPr>
            </w:pPr>
            <w:r>
              <w:rPr>
                <w:rFonts w:ascii="Times New Roman" w:cs="Times New Roman" w:eastAsia="Times New Roman" w:hAnsi="Times New Roman"/>
                <w:sz w:val="20"/>
                <w:szCs w:val="20"/>
                <w:color w:val="1E1E1E"/>
              </w:rPr>
              <w:t>Feb 1,</w:t>
            </w:r>
          </w:p>
        </w:tc>
      </w:tr>
      <w:tr>
        <w:trPr>
          <w:trHeight w:val="280"/>
        </w:trPr>
        <w:tc>
          <w:tcPr>
            <w:tcW w:w="20" w:type="dxa"/>
            <w:vAlign w:val="bottom"/>
          </w:tcPr>
          <w:p>
            <w:pPr>
              <w:spacing w:after="0"/>
              <w:rPr>
                <w:sz w:val="23"/>
                <w:szCs w:val="23"/>
                <w:color w:val="auto"/>
              </w:rPr>
            </w:pPr>
          </w:p>
        </w:tc>
        <w:tc>
          <w:tcPr>
            <w:tcW w:w="36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7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820" w:type="dxa"/>
            <w:vAlign w:val="bottom"/>
            <w:tcBorders>
              <w:bottom w:val="single" w:sz="8" w:color="1E1E1E"/>
            </w:tcBorders>
            <w:gridSpan w:val="3"/>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tcBorders>
              <w:bottom w:val="single" w:sz="8" w:color="1E1E1E"/>
            </w:tcBorders>
          </w:tcPr>
          <w:p>
            <w:pPr>
              <w:spacing w:after="0"/>
              <w:rPr>
                <w:sz w:val="23"/>
                <w:szCs w:val="23"/>
                <w:color w:val="auto"/>
              </w:rPr>
            </w:pPr>
          </w:p>
        </w:tc>
        <w:tc>
          <w:tcPr>
            <w:tcW w:w="110" w:type="dxa"/>
            <w:vAlign w:val="bottom"/>
            <w:tcBorders>
              <w:bottom w:val="single" w:sz="8" w:color="1E1E1E"/>
            </w:tcBorders>
          </w:tcPr>
          <w:p>
            <w:pPr>
              <w:spacing w:after="0"/>
              <w:rPr>
                <w:sz w:val="23"/>
                <w:szCs w:val="23"/>
                <w:color w:val="auto"/>
              </w:rPr>
            </w:pPr>
          </w:p>
        </w:tc>
        <w:tc>
          <w:tcPr>
            <w:tcW w:w="65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90" w:type="dxa"/>
            <w:vAlign w:val="bottom"/>
            <w:tcBorders>
              <w:bottom w:val="single" w:sz="8" w:color="1E1E1E"/>
            </w:tcBorders>
          </w:tcPr>
          <w:p>
            <w:pPr>
              <w:spacing w:after="0"/>
              <w:rPr>
                <w:sz w:val="23"/>
                <w:szCs w:val="23"/>
                <w:color w:val="auto"/>
              </w:rPr>
            </w:pPr>
          </w:p>
        </w:tc>
        <w:tc>
          <w:tcPr>
            <w:tcW w:w="110" w:type="dxa"/>
            <w:vAlign w:val="bottom"/>
            <w:tcBorders>
              <w:bottom w:val="single" w:sz="8" w:color="1E1E1E"/>
            </w:tcBorders>
          </w:tcPr>
          <w:p>
            <w:pPr>
              <w:spacing w:after="0"/>
              <w:rPr>
                <w:sz w:val="23"/>
                <w:szCs w:val="23"/>
                <w:color w:val="auto"/>
              </w:rPr>
            </w:pPr>
          </w:p>
        </w:tc>
        <w:tc>
          <w:tcPr>
            <w:tcW w:w="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tcBorders>
              <w:bottom w:val="single" w:sz="8" w:color="1E1E1E"/>
            </w:tcBorders>
          </w:tcPr>
          <w:p>
            <w:pPr>
              <w:spacing w:after="0"/>
              <w:rPr>
                <w:sz w:val="23"/>
                <w:szCs w:val="23"/>
                <w:color w:val="auto"/>
              </w:rPr>
            </w:pPr>
          </w:p>
        </w:tc>
        <w:tc>
          <w:tcPr>
            <w:tcW w:w="100" w:type="dxa"/>
            <w:vAlign w:val="bottom"/>
            <w:tcBorders>
              <w:bottom w:val="single" w:sz="8" w:color="1E1E1E"/>
            </w:tcBorders>
          </w:tcPr>
          <w:p>
            <w:pPr>
              <w:spacing w:after="0"/>
              <w:rPr>
                <w:sz w:val="23"/>
                <w:szCs w:val="23"/>
                <w:color w:val="auto"/>
              </w:rPr>
            </w:pPr>
          </w:p>
        </w:tc>
        <w:tc>
          <w:tcPr>
            <w:tcW w:w="65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100" w:type="dxa"/>
            <w:vAlign w:val="bottom"/>
            <w:tcBorders>
              <w:bottom w:val="single" w:sz="8" w:color="1E1E1E"/>
            </w:tcBorders>
          </w:tcPr>
          <w:p>
            <w:pPr>
              <w:spacing w:after="0"/>
              <w:rPr>
                <w:sz w:val="23"/>
                <w:szCs w:val="23"/>
                <w:color w:val="auto"/>
              </w:rPr>
            </w:pPr>
          </w:p>
        </w:tc>
        <w:tc>
          <w:tcPr>
            <w:tcW w:w="110" w:type="dxa"/>
            <w:vAlign w:val="bottom"/>
            <w:tcBorders>
              <w:bottom w:val="single" w:sz="8" w:color="1E1E1E"/>
            </w:tcBorders>
          </w:tcPr>
          <w:p>
            <w:pPr>
              <w:spacing w:after="0"/>
              <w:rPr>
                <w:sz w:val="23"/>
                <w:szCs w:val="23"/>
                <w:color w:val="auto"/>
              </w:rPr>
            </w:pPr>
          </w:p>
        </w:tc>
        <w:tc>
          <w:tcPr>
            <w:tcW w:w="6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90" w:type="dxa"/>
            <w:vAlign w:val="bottom"/>
            <w:tcBorders>
              <w:bottom w:val="single" w:sz="8" w:color="1E1E1E"/>
            </w:tcBorders>
          </w:tcPr>
          <w:p>
            <w:pPr>
              <w:spacing w:after="0"/>
              <w:rPr>
                <w:sz w:val="23"/>
                <w:szCs w:val="23"/>
                <w:color w:val="auto"/>
              </w:rPr>
            </w:pPr>
          </w:p>
        </w:tc>
        <w:tc>
          <w:tcPr>
            <w:tcW w:w="7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100" w:type="dxa"/>
            <w:vAlign w:val="bottom"/>
            <w:tcBorders>
              <w:bottom w:val="single" w:sz="8" w:color="1E1E1E"/>
            </w:tcBorders>
          </w:tcPr>
          <w:p>
            <w:pPr>
              <w:spacing w:after="0"/>
              <w:rPr>
                <w:sz w:val="23"/>
                <w:szCs w:val="23"/>
                <w:color w:val="auto"/>
              </w:rPr>
            </w:pPr>
          </w:p>
        </w:tc>
        <w:tc>
          <w:tcPr>
            <w:tcW w:w="7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100" w:type="dxa"/>
            <w:vAlign w:val="bottom"/>
            <w:tcBorders>
              <w:bottom w:val="single" w:sz="8" w:color="1E1E1E"/>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E4E4E4"/>
            </w:tcBorders>
            <w:shd w:val="clear" w:color="auto" w:fill="E4E4E4"/>
          </w:tcPr>
          <w:p>
            <w:pPr>
              <w:spacing w:after="0" w:line="209" w:lineRule="exact"/>
              <w:rPr>
                <w:sz w:val="20"/>
                <w:szCs w:val="20"/>
                <w:color w:val="auto"/>
              </w:rPr>
            </w:pPr>
            <w:r>
              <w:rPr>
                <w:rFonts w:ascii="Times New Roman" w:cs="Times New Roman" w:eastAsia="Times New Roman" w:hAnsi="Times New Roman"/>
                <w:sz w:val="20"/>
                <w:szCs w:val="20"/>
                <w:color w:val="1E1E1E"/>
              </w:rPr>
              <w:t>Gross other intangibles</w:t>
            </w:r>
          </w:p>
        </w:tc>
        <w:tc>
          <w:tcPr>
            <w:tcW w:w="10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60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shd w:val="clear" w:color="auto" w:fill="E4E4E4"/>
              </w:rPr>
              <w:t>26,214</w:t>
            </w:r>
          </w:p>
        </w:tc>
        <w:tc>
          <w:tcPr>
            <w:tcW w:w="100" w:type="dxa"/>
            <w:vAlign w:val="bottom"/>
            <w:tcBorders>
              <w:top w:val="single" w:sz="8" w:color="E4E4E4"/>
            </w:tcBorders>
            <w:shd w:val="clear" w:color="auto" w:fill="E4E4E4"/>
          </w:tcPr>
          <w:p>
            <w:pPr>
              <w:spacing w:after="0"/>
              <w:rPr>
                <w:sz w:val="18"/>
                <w:szCs w:val="18"/>
                <w:color w:val="auto"/>
              </w:rPr>
            </w:pPr>
          </w:p>
        </w:tc>
        <w:tc>
          <w:tcPr>
            <w:tcW w:w="11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1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shd w:val="clear" w:color="auto" w:fill="E4E4E4"/>
              </w:rPr>
              <w:t>23,839</w:t>
            </w:r>
          </w:p>
        </w:tc>
        <w:tc>
          <w:tcPr>
            <w:tcW w:w="100" w:type="dxa"/>
            <w:vAlign w:val="bottom"/>
            <w:tcBorders>
              <w:top w:val="single" w:sz="8" w:color="E4E4E4"/>
            </w:tcBorders>
            <w:shd w:val="clear" w:color="auto" w:fill="E4E4E4"/>
          </w:tcPr>
          <w:p>
            <w:pPr>
              <w:spacing w:after="0"/>
              <w:rPr>
                <w:sz w:val="18"/>
                <w:szCs w:val="18"/>
                <w:color w:val="auto"/>
              </w:rPr>
            </w:pPr>
          </w:p>
        </w:tc>
        <w:tc>
          <w:tcPr>
            <w:tcW w:w="11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65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rPr>
              <w:t>6,611</w:t>
            </w:r>
          </w:p>
        </w:tc>
        <w:tc>
          <w:tcPr>
            <w:tcW w:w="90" w:type="dxa"/>
            <w:vAlign w:val="bottom"/>
            <w:tcBorders>
              <w:top w:val="single" w:sz="8" w:color="E4E4E4"/>
            </w:tcBorders>
            <w:shd w:val="clear" w:color="auto" w:fill="E4E4E4"/>
          </w:tcPr>
          <w:p>
            <w:pPr>
              <w:spacing w:after="0"/>
              <w:rPr>
                <w:sz w:val="18"/>
                <w:szCs w:val="18"/>
                <w:color w:val="auto"/>
              </w:rPr>
            </w:pPr>
          </w:p>
        </w:tc>
        <w:tc>
          <w:tcPr>
            <w:tcW w:w="11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0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rPr>
              <w:t>6,471</w:t>
            </w:r>
          </w:p>
        </w:tc>
        <w:tc>
          <w:tcPr>
            <w:tcW w:w="10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65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rPr>
              <w:t>400</w:t>
            </w:r>
          </w:p>
        </w:tc>
        <w:tc>
          <w:tcPr>
            <w:tcW w:w="100" w:type="dxa"/>
            <w:vAlign w:val="bottom"/>
            <w:tcBorders>
              <w:top w:val="single" w:sz="8" w:color="E4E4E4"/>
            </w:tcBorders>
            <w:shd w:val="clear" w:color="auto" w:fill="E4E4E4"/>
          </w:tcPr>
          <w:p>
            <w:pPr>
              <w:spacing w:after="0"/>
              <w:rPr>
                <w:sz w:val="18"/>
                <w:szCs w:val="18"/>
                <w:color w:val="auto"/>
              </w:rPr>
            </w:pPr>
          </w:p>
        </w:tc>
        <w:tc>
          <w:tcPr>
            <w:tcW w:w="11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1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rPr>
              <w:t>400</w:t>
            </w:r>
          </w:p>
        </w:tc>
        <w:tc>
          <w:tcPr>
            <w:tcW w:w="9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w w:val="99"/>
                <w:shd w:val="clear" w:color="auto" w:fill="E4E4E4"/>
              </w:rPr>
              <w:t>$</w:t>
            </w:r>
          </w:p>
        </w:tc>
        <w:tc>
          <w:tcPr>
            <w:tcW w:w="60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shd w:val="clear" w:color="auto" w:fill="E4E4E4"/>
              </w:rPr>
              <w:t>33,225</w:t>
            </w:r>
          </w:p>
        </w:tc>
        <w:tc>
          <w:tcPr>
            <w:tcW w:w="10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60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shd w:val="clear" w:color="auto" w:fill="E4E4E4"/>
              </w:rPr>
              <w:t>30,710</w:t>
            </w:r>
          </w:p>
        </w:tc>
        <w:tc>
          <w:tcPr>
            <w:tcW w:w="100" w:type="dxa"/>
            <w:vAlign w:val="bottom"/>
            <w:tcBorders>
              <w:top w:val="single" w:sz="8" w:color="E4E4E4"/>
            </w:tcBorders>
            <w:shd w:val="clear" w:color="auto" w:fill="E4E4E4"/>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36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Accumulated amortization</w:t>
            </w:r>
          </w:p>
        </w:tc>
        <w:tc>
          <w:tcPr>
            <w:tcW w:w="100" w:type="dxa"/>
            <w:vAlign w:val="bottom"/>
            <w:tcBorders>
              <w:bottom w:val="single" w:sz="8" w:color="1E1E1E"/>
            </w:tcBorders>
          </w:tcPr>
          <w:p>
            <w:pPr>
              <w:spacing w:after="0"/>
              <w:rPr>
                <w:sz w:val="23"/>
                <w:szCs w:val="23"/>
                <w:color w:val="auto"/>
              </w:rPr>
            </w:pPr>
          </w:p>
        </w:tc>
        <w:tc>
          <w:tcPr>
            <w:tcW w:w="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00" w:type="dxa"/>
            <w:vAlign w:val="bottom"/>
            <w:tcBorders>
              <w:bottom w:val="single" w:sz="8" w:color="1E1E1E"/>
            </w:tcBorders>
          </w:tcPr>
          <w:p>
            <w:pPr>
              <w:spacing w:after="0"/>
              <w:rPr>
                <w:sz w:val="23"/>
                <w:szCs w:val="23"/>
                <w:color w:val="auto"/>
              </w:rPr>
            </w:pPr>
          </w:p>
        </w:tc>
        <w:tc>
          <w:tcPr>
            <w:tcW w:w="110" w:type="dxa"/>
            <w:vAlign w:val="bottom"/>
            <w:tcBorders>
              <w:bottom w:val="single" w:sz="8" w:color="1E1E1E"/>
            </w:tcBorders>
          </w:tcPr>
          <w:p>
            <w:pPr>
              <w:spacing w:after="0"/>
              <w:rPr>
                <w:sz w:val="23"/>
                <w:szCs w:val="23"/>
                <w:color w:val="auto"/>
              </w:rPr>
            </w:pPr>
          </w:p>
        </w:tc>
        <w:tc>
          <w:tcPr>
            <w:tcW w:w="6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bottom w:val="single" w:sz="8" w:color="1E1E1E"/>
            </w:tcBorders>
          </w:tcPr>
          <w:p>
            <w:pPr>
              <w:spacing w:after="0"/>
              <w:rPr>
                <w:sz w:val="23"/>
                <w:szCs w:val="23"/>
                <w:color w:val="auto"/>
              </w:rPr>
            </w:pPr>
          </w:p>
        </w:tc>
        <w:tc>
          <w:tcPr>
            <w:tcW w:w="110" w:type="dxa"/>
            <w:vAlign w:val="bottom"/>
            <w:tcBorders>
              <w:bottom w:val="single" w:sz="8" w:color="1E1E1E"/>
            </w:tcBorders>
          </w:tcPr>
          <w:p>
            <w:pPr>
              <w:spacing w:after="0"/>
              <w:rPr>
                <w:sz w:val="23"/>
                <w:szCs w:val="23"/>
                <w:color w:val="auto"/>
              </w:rPr>
            </w:pPr>
          </w:p>
        </w:tc>
        <w:tc>
          <w:tcPr>
            <w:tcW w:w="740" w:type="dxa"/>
            <w:vAlign w:val="bottom"/>
            <w:tcBorders>
              <w:bottom w:val="single" w:sz="8" w:color="1E1E1E"/>
            </w:tcBorders>
            <w:gridSpan w:val="2"/>
          </w:tcPr>
          <w:p>
            <w:pPr>
              <w:jc w:val="right"/>
              <w:ind w:right="30"/>
              <w:spacing w:after="0"/>
              <w:rPr>
                <w:sz w:val="20"/>
                <w:szCs w:val="20"/>
                <w:color w:val="auto"/>
              </w:rPr>
            </w:pPr>
            <w:r>
              <w:rPr>
                <w:rFonts w:ascii="Times New Roman" w:cs="Times New Roman" w:eastAsia="Times New Roman" w:hAnsi="Times New Roman"/>
                <w:sz w:val="20"/>
                <w:szCs w:val="20"/>
                <w:b w:val="1"/>
                <w:bCs w:val="1"/>
                <w:color w:val="1E1E1E"/>
              </w:rPr>
              <w:t>(4,958)</w:t>
            </w:r>
          </w:p>
        </w:tc>
        <w:tc>
          <w:tcPr>
            <w:tcW w:w="110" w:type="dxa"/>
            <w:vAlign w:val="bottom"/>
            <w:tcBorders>
              <w:bottom w:val="single" w:sz="8" w:color="1E1E1E"/>
            </w:tcBorders>
          </w:tcPr>
          <w:p>
            <w:pPr>
              <w:spacing w:after="0"/>
              <w:rPr>
                <w:sz w:val="23"/>
                <w:szCs w:val="23"/>
                <w:color w:val="auto"/>
              </w:rPr>
            </w:pPr>
          </w:p>
        </w:tc>
        <w:tc>
          <w:tcPr>
            <w:tcW w:w="7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(4,251)</w:t>
            </w:r>
          </w:p>
        </w:tc>
        <w:tc>
          <w:tcPr>
            <w:tcW w:w="100" w:type="dxa"/>
            <w:vAlign w:val="bottom"/>
            <w:tcBorders>
              <w:bottom w:val="single" w:sz="8" w:color="1E1E1E"/>
            </w:tcBorders>
          </w:tcPr>
          <w:p>
            <w:pPr>
              <w:spacing w:after="0"/>
              <w:rPr>
                <w:sz w:val="23"/>
                <w:szCs w:val="23"/>
                <w:color w:val="auto"/>
              </w:rPr>
            </w:pPr>
          </w:p>
        </w:tc>
        <w:tc>
          <w:tcPr>
            <w:tcW w:w="750" w:type="dxa"/>
            <w:vAlign w:val="bottom"/>
            <w:tcBorders>
              <w:bottom w:val="single" w:sz="8" w:color="1E1E1E"/>
            </w:tcBorders>
            <w:gridSpan w:val="2"/>
          </w:tcPr>
          <w:p>
            <w:pPr>
              <w:jc w:val="right"/>
              <w:ind w:right="30"/>
              <w:spacing w:after="0"/>
              <w:rPr>
                <w:sz w:val="20"/>
                <w:szCs w:val="20"/>
                <w:color w:val="auto"/>
              </w:rPr>
            </w:pPr>
            <w:r>
              <w:rPr>
                <w:rFonts w:ascii="Times New Roman" w:cs="Times New Roman" w:eastAsia="Times New Roman" w:hAnsi="Times New Roman"/>
                <w:sz w:val="20"/>
                <w:szCs w:val="20"/>
                <w:b w:val="1"/>
                <w:bCs w:val="1"/>
                <w:color w:val="1E1E1E"/>
              </w:rPr>
              <w:t>(400)</w:t>
            </w:r>
          </w:p>
        </w:tc>
        <w:tc>
          <w:tcPr>
            <w:tcW w:w="110" w:type="dxa"/>
            <w:vAlign w:val="bottom"/>
            <w:tcBorders>
              <w:bottom w:val="single" w:sz="8" w:color="1E1E1E"/>
            </w:tcBorders>
          </w:tcPr>
          <w:p>
            <w:pPr>
              <w:spacing w:after="0"/>
              <w:rPr>
                <w:sz w:val="23"/>
                <w:szCs w:val="23"/>
                <w:color w:val="auto"/>
              </w:rPr>
            </w:pPr>
          </w:p>
        </w:tc>
        <w:tc>
          <w:tcPr>
            <w:tcW w:w="7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(400)</w:t>
            </w:r>
          </w:p>
        </w:tc>
        <w:tc>
          <w:tcPr>
            <w:tcW w:w="820" w:type="dxa"/>
            <w:vAlign w:val="bottom"/>
            <w:tcBorders>
              <w:bottom w:val="single" w:sz="8" w:color="1E1E1E"/>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(5,358)</w:t>
            </w:r>
          </w:p>
        </w:tc>
        <w:tc>
          <w:tcPr>
            <w:tcW w:w="820" w:type="dxa"/>
            <w:vAlign w:val="bottom"/>
            <w:tcBorders>
              <w:bottom w:val="single" w:sz="8" w:color="1E1E1E"/>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1E1E1E"/>
              </w:rPr>
              <w:t>(4,651)</w:t>
            </w:r>
          </w:p>
        </w:tc>
      </w:tr>
      <w:tr>
        <w:trPr>
          <w:trHeight w:val="217"/>
        </w:trPr>
        <w:tc>
          <w:tcPr>
            <w:tcW w:w="20" w:type="dxa"/>
            <w:vAlign w:val="bottom"/>
            <w:tcBorders>
              <w:bottom w:val="single" w:sz="8" w:color="1E1E1E"/>
            </w:tcBorders>
          </w:tcPr>
          <w:p>
            <w:pPr>
              <w:spacing w:after="0"/>
              <w:rPr>
                <w:sz w:val="18"/>
                <w:szCs w:val="18"/>
                <w:color w:val="auto"/>
              </w:rPr>
            </w:pPr>
          </w:p>
        </w:tc>
        <w:tc>
          <w:tcPr>
            <w:tcW w:w="3660" w:type="dxa"/>
            <w:vAlign w:val="bottom"/>
            <w:tcBorders>
              <w:top w:val="single" w:sz="8" w:color="E4E4E4"/>
              <w:bottom w:val="single" w:sz="8" w:color="1E1E1E"/>
            </w:tcBorders>
            <w:shd w:val="clear" w:color="auto" w:fill="E4E4E4"/>
          </w:tcPr>
          <w:p>
            <w:pPr>
              <w:spacing w:after="0" w:line="217" w:lineRule="exact"/>
              <w:rPr>
                <w:sz w:val="20"/>
                <w:szCs w:val="20"/>
                <w:color w:val="auto"/>
              </w:rPr>
            </w:pPr>
            <w:r>
              <w:rPr>
                <w:rFonts w:ascii="Times New Roman" w:cs="Times New Roman" w:eastAsia="Times New Roman" w:hAnsi="Times New Roman"/>
                <w:sz w:val="20"/>
                <w:szCs w:val="20"/>
                <w:b w:val="1"/>
                <w:bCs w:val="1"/>
                <w:color w:val="1E1E1E"/>
              </w:rPr>
              <w:t>Other Intangibles, net</w:t>
            </w:r>
          </w:p>
        </w:tc>
        <w:tc>
          <w:tcPr>
            <w:tcW w:w="1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6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shd w:val="clear" w:color="auto" w:fill="E4E4E4"/>
              </w:rPr>
              <w:t>26,214</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c>
          <w:tcPr>
            <w:tcW w:w="1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shd w:val="clear" w:color="auto" w:fill="E4E4E4"/>
              </w:rPr>
              <w:t>23,839</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c>
          <w:tcPr>
            <w:tcW w:w="1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65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rPr>
              <w:t>1,653</w:t>
            </w:r>
          </w:p>
        </w:tc>
        <w:tc>
          <w:tcPr>
            <w:tcW w:w="90" w:type="dxa"/>
            <w:vAlign w:val="bottom"/>
            <w:tcBorders>
              <w:top w:val="single" w:sz="8" w:color="E4E4E4"/>
              <w:bottom w:val="single" w:sz="8" w:color="1E1E1E"/>
            </w:tcBorders>
            <w:shd w:val="clear" w:color="auto" w:fill="E4E4E4"/>
          </w:tcPr>
          <w:p>
            <w:pPr>
              <w:spacing w:after="0"/>
              <w:rPr>
                <w:sz w:val="18"/>
                <w:szCs w:val="18"/>
                <w:color w:val="auto"/>
              </w:rPr>
            </w:pPr>
          </w:p>
        </w:tc>
        <w:tc>
          <w:tcPr>
            <w:tcW w:w="1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rPr>
              <w:t>2,220</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c>
          <w:tcPr>
            <w:tcW w:w="1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65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rPr>
              <w:t>—</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c>
          <w:tcPr>
            <w:tcW w:w="1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rPr>
              <w:t>—</w:t>
            </w:r>
          </w:p>
        </w:tc>
        <w:tc>
          <w:tcPr>
            <w:tcW w:w="90" w:type="dxa"/>
            <w:vAlign w:val="bottom"/>
            <w:tcBorders>
              <w:top w:val="single" w:sz="8" w:color="E4E4E4"/>
              <w:bottom w:val="single" w:sz="8" w:color="1E1E1E"/>
            </w:tcBorders>
            <w:shd w:val="clear" w:color="auto" w:fill="E4E4E4"/>
          </w:tcPr>
          <w:p>
            <w:pPr>
              <w:spacing w:after="0"/>
              <w:rPr>
                <w:sz w:val="18"/>
                <w:szCs w:val="18"/>
                <w:color w:val="auto"/>
              </w:rPr>
            </w:pPr>
          </w:p>
        </w:tc>
        <w:tc>
          <w:tcPr>
            <w:tcW w:w="12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w w:val="99"/>
                <w:shd w:val="clear" w:color="auto" w:fill="E4E4E4"/>
              </w:rPr>
              <w:t>$</w:t>
            </w:r>
          </w:p>
        </w:tc>
        <w:tc>
          <w:tcPr>
            <w:tcW w:w="6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shd w:val="clear" w:color="auto" w:fill="E4E4E4"/>
              </w:rPr>
              <w:t>27,867</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c>
          <w:tcPr>
            <w:tcW w:w="12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6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shd w:val="clear" w:color="auto" w:fill="E4E4E4"/>
              </w:rPr>
              <w:t>26,059</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36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61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65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65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61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-342900</wp:posOffset>
                </wp:positionV>
                <wp:extent cx="651065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7pt" to="513.3pt,-27pt" o:allowincell="f" strokecolor="#FFFFFF" strokeweight="0.7199pt"/>
            </w:pict>
          </mc:Fallback>
        </mc:AlternateContent>
      </w:r>
    </w:p>
    <w:p>
      <w:pPr>
        <w:spacing w:after="0" w:line="200" w:lineRule="exact"/>
        <w:rPr>
          <w:sz w:val="20"/>
          <w:szCs w:val="20"/>
          <w:color w:val="auto"/>
        </w:rPr>
      </w:pPr>
    </w:p>
    <w:p>
      <w:pPr>
        <w:ind w:left="380" w:hanging="366"/>
        <w:spacing w:after="0"/>
        <w:tabs>
          <w:tab w:leader="none" w:pos="380" w:val="left"/>
        </w:tabs>
        <w:numPr>
          <w:ilvl w:val="0"/>
          <w:numId w:val="21"/>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8"/>
          <w:szCs w:val="18"/>
          <w:color w:val="1E1E1E"/>
        </w:rPr>
        <w:t>Includes a $23.0 million trademark at January 31, 2026 related to Schuh Group and $3.2 million related to Journeys Group.</w:t>
      </w:r>
    </w:p>
    <w:p>
      <w:pPr>
        <w:spacing w:after="0" w:line="33" w:lineRule="exact"/>
        <w:rPr>
          <w:rFonts w:ascii="Times New Roman" w:cs="Times New Roman" w:eastAsia="Times New Roman" w:hAnsi="Times New Roman"/>
          <w:sz w:val="24"/>
          <w:szCs w:val="24"/>
          <w:color w:val="1E1E1E"/>
          <w:vertAlign w:val="superscript"/>
        </w:rPr>
      </w:pPr>
    </w:p>
    <w:p>
      <w:pPr>
        <w:ind w:left="380" w:hanging="366"/>
        <w:spacing w:after="0" w:line="188" w:lineRule="auto"/>
        <w:tabs>
          <w:tab w:leader="none" w:pos="380" w:val="left"/>
        </w:tabs>
        <w:numPr>
          <w:ilvl w:val="0"/>
          <w:numId w:val="21"/>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8"/>
          <w:szCs w:val="18"/>
          <w:color w:val="1E1E1E"/>
        </w:rPr>
        <w:t>Includes $5.1 million for the Togast acquisition.</w:t>
      </w:r>
    </w:p>
    <w:p>
      <w:pPr>
        <w:spacing w:after="0" w:line="33" w:lineRule="exact"/>
        <w:rPr>
          <w:rFonts w:ascii="Times New Roman" w:cs="Times New Roman" w:eastAsia="Times New Roman" w:hAnsi="Times New Roman"/>
          <w:sz w:val="24"/>
          <w:szCs w:val="24"/>
          <w:color w:val="1E1E1E"/>
          <w:vertAlign w:val="superscript"/>
        </w:rPr>
      </w:pPr>
    </w:p>
    <w:p>
      <w:pPr>
        <w:ind w:left="380" w:hanging="366"/>
        <w:spacing w:after="0" w:line="188" w:lineRule="auto"/>
        <w:tabs>
          <w:tab w:leader="none" w:pos="380" w:val="left"/>
        </w:tabs>
        <w:numPr>
          <w:ilvl w:val="0"/>
          <w:numId w:val="21"/>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8"/>
          <w:szCs w:val="18"/>
          <w:color w:val="1E1E1E"/>
        </w:rPr>
        <w:t>Backlog for Togast.</w:t>
      </w:r>
    </w:p>
    <w:p>
      <w:pPr>
        <w:spacing w:after="0" w:line="202" w:lineRule="exact"/>
        <w:rPr>
          <w:sz w:val="20"/>
          <w:szCs w:val="20"/>
          <w:color w:val="auto"/>
        </w:rPr>
      </w:pPr>
    </w:p>
    <w:p>
      <w:pPr>
        <w:jc w:val="both"/>
        <w:ind w:left="20" w:right="20"/>
        <w:spacing w:after="0" w:line="308" w:lineRule="auto"/>
        <w:rPr>
          <w:sz w:val="20"/>
          <w:szCs w:val="20"/>
          <w:color w:val="auto"/>
        </w:rPr>
      </w:pPr>
      <w:r>
        <w:rPr>
          <w:rFonts w:ascii="Times New Roman" w:cs="Times New Roman" w:eastAsia="Times New Roman" w:hAnsi="Times New Roman"/>
          <w:sz w:val="20"/>
          <w:szCs w:val="20"/>
          <w:color w:val="1E1E1E"/>
        </w:rPr>
        <w:t>The amortization of intangibles was $0.6 million for each of Fiscal 2026, Fiscal 2025 and Fiscal 2024. Currently, amortization of intangibles is expected to be $0.6 million for each of the next two years, $0.5 million in three years and no intangible amortization expected after Fiscal 2029.</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4</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Asset Impairments and Other Charges</w:t>
      </w:r>
    </w:p>
    <w:p>
      <w:pPr>
        <w:spacing w:after="0" w:line="204" w:lineRule="exact"/>
        <w:rPr>
          <w:sz w:val="20"/>
          <w:szCs w:val="20"/>
          <w:color w:val="auto"/>
        </w:rPr>
      </w:pPr>
    </w:p>
    <w:p>
      <w:pPr>
        <w:jc w:val="both"/>
        <w:ind w:left="20"/>
        <w:spacing w:after="0" w:line="326" w:lineRule="auto"/>
        <w:rPr>
          <w:sz w:val="20"/>
          <w:szCs w:val="20"/>
          <w:color w:val="auto"/>
        </w:rPr>
      </w:pPr>
      <w:r>
        <w:rPr>
          <w:rFonts w:ascii="Times New Roman" w:cs="Times New Roman" w:eastAsia="Times New Roman" w:hAnsi="Times New Roman"/>
          <w:sz w:val="20"/>
          <w:szCs w:val="20"/>
          <w:color w:val="1E1E1E"/>
        </w:rPr>
        <w:t>Asset impairment charges are reflected as a reduction of the net carrying value of property and equipment and operating lease right of use assets, in asset impairments and other, net in the accompanying Consolidated Statements of Operations.</w:t>
      </w:r>
    </w:p>
    <w:p>
      <w:pPr>
        <w:spacing w:after="0" w:line="124" w:lineRule="exact"/>
        <w:rPr>
          <w:sz w:val="20"/>
          <w:szCs w:val="20"/>
          <w:color w:val="auto"/>
        </w:rPr>
      </w:pPr>
    </w:p>
    <w:p>
      <w:pPr>
        <w:jc w:val="both"/>
        <w:ind w:left="20"/>
        <w:spacing w:after="0" w:line="308" w:lineRule="auto"/>
        <w:rPr>
          <w:sz w:val="20"/>
          <w:szCs w:val="20"/>
          <w:color w:val="auto"/>
        </w:rPr>
      </w:pPr>
      <w:r>
        <w:rPr>
          <w:rFonts w:ascii="Times New Roman" w:cs="Times New Roman" w:eastAsia="Times New Roman" w:hAnsi="Times New Roman"/>
          <w:sz w:val="20"/>
          <w:szCs w:val="20"/>
          <w:color w:val="1E1E1E"/>
        </w:rPr>
        <w:t>We recorded a pretax charge to earnings of $8.1 million in Fiscal 2026, including $3.9 million for store restructuring, $2.9 million for costs associated with information technology transformation, $0.7 million for asset impairments and $0.6 million for severance.</w:t>
      </w:r>
    </w:p>
    <w:p>
      <w:pPr>
        <w:spacing w:after="0" w:line="142" w:lineRule="exact"/>
        <w:rPr>
          <w:sz w:val="20"/>
          <w:szCs w:val="20"/>
          <w:color w:val="auto"/>
        </w:rPr>
      </w:pPr>
    </w:p>
    <w:p>
      <w:pPr>
        <w:jc w:val="both"/>
        <w:ind w:left="20" w:right="20"/>
        <w:spacing w:after="0" w:line="331" w:lineRule="auto"/>
        <w:rPr>
          <w:sz w:val="20"/>
          <w:szCs w:val="20"/>
          <w:color w:val="auto"/>
        </w:rPr>
      </w:pPr>
      <w:r>
        <w:rPr>
          <w:rFonts w:ascii="Times New Roman" w:cs="Times New Roman" w:eastAsia="Times New Roman" w:hAnsi="Times New Roman"/>
          <w:sz w:val="20"/>
          <w:szCs w:val="20"/>
          <w:color w:val="1E1E1E"/>
        </w:rPr>
        <w:t>We recorded a pretax charge to earnings of $3.2 million in Fiscal 2025, including $1.8 million for severance and $1.4 million for asset impairments.</w:t>
      </w:r>
    </w:p>
    <w:p>
      <w:pPr>
        <w:spacing w:after="0" w:line="119" w:lineRule="exact"/>
        <w:rPr>
          <w:sz w:val="20"/>
          <w:szCs w:val="20"/>
          <w:color w:val="auto"/>
        </w:rPr>
      </w:pPr>
    </w:p>
    <w:p>
      <w:pPr>
        <w:ind w:left="20" w:right="220"/>
        <w:spacing w:after="0" w:line="326" w:lineRule="auto"/>
        <w:rPr>
          <w:sz w:val="20"/>
          <w:szCs w:val="20"/>
          <w:color w:val="auto"/>
        </w:rPr>
      </w:pPr>
      <w:r>
        <w:rPr>
          <w:rFonts w:ascii="Times New Roman" w:cs="Times New Roman" w:eastAsia="Times New Roman" w:hAnsi="Times New Roman"/>
          <w:sz w:val="20"/>
          <w:szCs w:val="20"/>
          <w:color w:val="1E1E1E"/>
        </w:rPr>
        <w:t>We recorded a pretax charge to earnings of $1.8 million in Fiscal 2024, including $1.1 million for severance and $1.0 million for asset impairments, partially offset by a $0.3 million insurance gain.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Note 5</w:t>
            </w: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Inventories</w:t>
            </w: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1E1E1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vMerge w:val="restart"/>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00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2240" w:type="dxa"/>
            <w:vAlign w:val="bottom"/>
            <w:tcBorders>
              <w:bottom w:val="single" w:sz="8" w:color="1E1E1E"/>
            </w:tcBorders>
          </w:tcPr>
          <w:p>
            <w:pPr>
              <w:spacing w:after="0"/>
              <w:rPr>
                <w:sz w:val="24"/>
                <w:szCs w:val="24"/>
                <w:color w:val="auto"/>
              </w:rPr>
            </w:pPr>
          </w:p>
        </w:tc>
        <w:tc>
          <w:tcPr>
            <w:tcW w:w="1800" w:type="dxa"/>
            <w:vAlign w:val="bottom"/>
            <w:tcBorders>
              <w:bottom w:val="single" w:sz="8" w:color="1E1E1E"/>
            </w:tcBorders>
            <w:vMerge w:val="continue"/>
          </w:tcPr>
          <w:p>
            <w:pPr>
              <w:spacing w:after="0"/>
              <w:rPr>
                <w:sz w:val="24"/>
                <w:szCs w:val="24"/>
                <w:color w:val="auto"/>
              </w:rPr>
            </w:pPr>
          </w:p>
        </w:tc>
        <w:tc>
          <w:tcPr>
            <w:tcW w:w="480" w:type="dxa"/>
            <w:vAlign w:val="bottom"/>
            <w:tcBorders>
              <w:bottom w:val="single" w:sz="8" w:color="1E1E1E"/>
            </w:tcBorders>
          </w:tcPr>
          <w:p>
            <w:pPr>
              <w:spacing w:after="0"/>
              <w:rPr>
                <w:sz w:val="24"/>
                <w:szCs w:val="24"/>
                <w:color w:val="auto"/>
              </w:rPr>
            </w:pP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February 1, 2025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0" w:type="dxa"/>
            <w:vAlign w:val="bottom"/>
            <w:gridSpan w:val="2"/>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Wholesale finished goods</w:t>
            </w:r>
          </w:p>
        </w:tc>
        <w:tc>
          <w:tcPr>
            <w:tcW w:w="2240" w:type="dxa"/>
            <w:vAlign w:val="bottom"/>
            <w:shd w:val="clear" w:color="auto" w:fill="E4E4E4"/>
          </w:tcPr>
          <w:p>
            <w:pPr>
              <w:jc w:val="right"/>
              <w:ind w:right="99"/>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800" w:type="dxa"/>
            <w:vAlign w:val="bottom"/>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68,976</w:t>
            </w:r>
          </w:p>
        </w:tc>
        <w:tc>
          <w:tcPr>
            <w:tcW w:w="480" w:type="dxa"/>
            <w:vAlign w:val="bottom"/>
            <w:shd w:val="clear" w:color="auto" w:fill="E4E4E4"/>
          </w:tcPr>
          <w:p>
            <w:pPr>
              <w:jc w:val="right"/>
              <w:ind w:right="139"/>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7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82,784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Retail merchandise</w:t>
            </w:r>
          </w:p>
        </w:tc>
        <w:tc>
          <w:tcPr>
            <w:tcW w:w="2240" w:type="dxa"/>
            <w:vAlign w:val="bottom"/>
            <w:tcBorders>
              <w:bottom w:val="single" w:sz="8" w:color="1E1E1E"/>
            </w:tcBorders>
          </w:tcPr>
          <w:p>
            <w:pPr>
              <w:spacing w:after="0"/>
              <w:rPr>
                <w:sz w:val="20"/>
                <w:szCs w:val="20"/>
                <w:color w:val="auto"/>
              </w:rPr>
            </w:pPr>
          </w:p>
        </w:tc>
        <w:tc>
          <w:tcPr>
            <w:tcW w:w="1800" w:type="dxa"/>
            <w:vAlign w:val="bottom"/>
            <w:tcBorders>
              <w:bottom w:val="single" w:sz="8" w:color="1E1E1E"/>
            </w:tcBorders>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364,902</w:t>
            </w:r>
          </w:p>
        </w:tc>
        <w:tc>
          <w:tcPr>
            <w:tcW w:w="480" w:type="dxa"/>
            <w:vAlign w:val="bottom"/>
            <w:tcBorders>
              <w:bottom w:val="single" w:sz="8" w:color="1E1E1E"/>
            </w:tcBorders>
          </w:tcPr>
          <w:p>
            <w:pPr>
              <w:spacing w:after="0"/>
              <w:rPr>
                <w:sz w:val="20"/>
                <w:szCs w:val="20"/>
                <w:color w:val="auto"/>
              </w:rPr>
            </w:pPr>
          </w:p>
        </w:tc>
        <w:tc>
          <w:tcPr>
            <w:tcW w:w="1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342,440</w:t>
            </w:r>
          </w:p>
        </w:tc>
        <w:tc>
          <w:tcPr>
            <w:tcW w:w="0" w:type="dxa"/>
            <w:vAlign w:val="bottom"/>
          </w:tcPr>
          <w:p>
            <w:pPr>
              <w:spacing w:after="0"/>
              <w:rPr>
                <w:sz w:val="1"/>
                <w:szCs w:val="1"/>
                <w:color w:val="auto"/>
              </w:rPr>
            </w:pPr>
          </w:p>
        </w:tc>
      </w:tr>
      <w:tr>
        <w:trPr>
          <w:trHeight w:val="220"/>
        </w:trPr>
        <w:tc>
          <w:tcPr>
            <w:tcW w:w="20" w:type="dxa"/>
            <w:vAlign w:val="bottom"/>
            <w:tcBorders>
              <w:bottom w:val="single" w:sz="8" w:color="1E1E1E"/>
            </w:tcBorders>
          </w:tcPr>
          <w:p>
            <w:pPr>
              <w:spacing w:after="0"/>
              <w:rPr>
                <w:sz w:val="19"/>
                <w:szCs w:val="19"/>
                <w:color w:val="auto"/>
              </w:rPr>
            </w:pPr>
          </w:p>
        </w:tc>
        <w:tc>
          <w:tcPr>
            <w:tcW w:w="4000" w:type="dxa"/>
            <w:vAlign w:val="bottom"/>
            <w:tcBorders>
              <w:bottom w:val="single" w:sz="8" w:color="1E1E1E"/>
            </w:tcBorders>
            <w:gridSpan w:val="2"/>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Inventories</w:t>
            </w:r>
          </w:p>
        </w:tc>
        <w:tc>
          <w:tcPr>
            <w:tcW w:w="2240" w:type="dxa"/>
            <w:vAlign w:val="bottom"/>
            <w:tcBorders>
              <w:bottom w:val="single" w:sz="8" w:color="1E1E1E"/>
            </w:tcBorders>
            <w:shd w:val="clear" w:color="auto" w:fill="E4E4E4"/>
          </w:tcPr>
          <w:p>
            <w:pPr>
              <w:jc w:val="right"/>
              <w:ind w:right="99"/>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800" w:type="dxa"/>
            <w:vAlign w:val="bottom"/>
            <w:tcBorders>
              <w:bottom w:val="single" w:sz="8" w:color="1E1E1E"/>
            </w:tcBorders>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433,878</w:t>
            </w:r>
          </w:p>
        </w:tc>
        <w:tc>
          <w:tcPr>
            <w:tcW w:w="480" w:type="dxa"/>
            <w:vAlign w:val="bottom"/>
            <w:tcBorders>
              <w:bottom w:val="single" w:sz="8" w:color="1E1E1E"/>
            </w:tcBorders>
            <w:shd w:val="clear" w:color="auto" w:fill="E4E4E4"/>
          </w:tcPr>
          <w:p>
            <w:pPr>
              <w:jc w:val="right"/>
              <w:ind w:right="139"/>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7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425,224</w:t>
            </w: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3040" w:type="dxa"/>
            <w:vAlign w:val="bottom"/>
            <w:tcBorders>
              <w:bottom w:val="single" w:sz="8" w:color="1E1E1E"/>
            </w:tcBorders>
          </w:tcPr>
          <w:p>
            <w:pPr>
              <w:spacing w:after="0" w:line="20" w:lineRule="exact"/>
              <w:rPr>
                <w:sz w:val="1"/>
                <w:szCs w:val="1"/>
                <w:color w:val="auto"/>
              </w:rPr>
            </w:pPr>
          </w:p>
        </w:tc>
        <w:tc>
          <w:tcPr>
            <w:tcW w:w="2240" w:type="dxa"/>
            <w:vAlign w:val="bottom"/>
            <w:tcBorders>
              <w:bottom w:val="single" w:sz="8" w:color="1E1E1E"/>
            </w:tcBorders>
          </w:tcPr>
          <w:p>
            <w:pPr>
              <w:spacing w:after="0" w:line="20" w:lineRule="exact"/>
              <w:rPr>
                <w:sz w:val="1"/>
                <w:szCs w:val="1"/>
                <w:color w:val="auto"/>
              </w:rPr>
            </w:pPr>
          </w:p>
        </w:tc>
        <w:tc>
          <w:tcPr>
            <w:tcW w:w="180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17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62</w:t>
      </w:r>
    </w:p>
    <w:p>
      <w:pPr>
        <w:sectPr>
          <w:pgSz w:w="12240" w:h="15840" w:orient="portrait"/>
          <w:cols w:equalWidth="0" w:num="1">
            <w:col w:w="10280"/>
          </w:cols>
          <w:pgMar w:left="980" w:top="1156" w:right="980" w:bottom="178" w:gutter="0" w:footer="0" w:header="0"/>
          <w:type w:val="continuous"/>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6</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Property and Equipment and Other Current Accrued Liabilities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3"/>
                <w:szCs w:val="23"/>
                <w:color w:val="auto"/>
              </w:rPr>
            </w:pPr>
          </w:p>
        </w:tc>
        <w:tc>
          <w:tcPr>
            <w:tcW w:w="65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20" w:type="dxa"/>
            <w:vAlign w:val="bottom"/>
            <w:tcBorders>
              <w:bottom w:val="single" w:sz="8" w:color="1E1E1E"/>
            </w:tcBorders>
          </w:tcPr>
          <w:p>
            <w:pPr>
              <w:spacing w:after="0"/>
              <w:rPr>
                <w:sz w:val="23"/>
                <w:szCs w:val="23"/>
                <w:color w:val="auto"/>
              </w:rPr>
            </w:pPr>
          </w:p>
        </w:tc>
        <w:tc>
          <w:tcPr>
            <w:tcW w:w="1720" w:type="dxa"/>
            <w:vAlign w:val="bottom"/>
            <w:tcBorders>
              <w:bottom w:val="single" w:sz="8" w:color="1E1E1E"/>
            </w:tcBorders>
            <w:gridSpan w:val="2"/>
          </w:tcPr>
          <w:p>
            <w:pPr>
              <w:ind w:left="160"/>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20" w:type="dxa"/>
            <w:vAlign w:val="bottom"/>
            <w:tcBorders>
              <w:bottom w:val="single" w:sz="8" w:color="1E1E1E"/>
            </w:tcBorders>
          </w:tcPr>
          <w:p>
            <w:pPr>
              <w:spacing w:after="0"/>
              <w:rPr>
                <w:sz w:val="23"/>
                <w:szCs w:val="23"/>
                <w:color w:val="auto"/>
              </w:rPr>
            </w:pPr>
          </w:p>
        </w:tc>
        <w:tc>
          <w:tcPr>
            <w:tcW w:w="100" w:type="dxa"/>
            <w:vAlign w:val="bottom"/>
            <w:tcBorders>
              <w:bottom w:val="single" w:sz="8" w:color="1E1E1E"/>
            </w:tcBorders>
          </w:tcPr>
          <w:p>
            <w:pPr>
              <w:spacing w:after="0"/>
              <w:rPr>
                <w:sz w:val="23"/>
                <w:szCs w:val="23"/>
                <w:color w:val="auto"/>
              </w:rPr>
            </w:pPr>
          </w:p>
        </w:tc>
        <w:tc>
          <w:tcPr>
            <w:tcW w:w="1760" w:type="dxa"/>
            <w:vAlign w:val="bottom"/>
            <w:tcBorders>
              <w:bottom w:val="single" w:sz="8" w:color="1E1E1E"/>
            </w:tcBorders>
            <w:gridSpan w:val="3"/>
          </w:tcPr>
          <w:p>
            <w:pPr>
              <w:ind w:left="260"/>
              <w:spacing w:after="0"/>
              <w:rPr>
                <w:sz w:val="20"/>
                <w:szCs w:val="20"/>
                <w:color w:val="auto"/>
              </w:rPr>
            </w:pPr>
            <w:r>
              <w:rPr>
                <w:rFonts w:ascii="Times New Roman" w:cs="Times New Roman" w:eastAsia="Times New Roman" w:hAnsi="Times New Roman"/>
                <w:sz w:val="20"/>
                <w:szCs w:val="20"/>
                <w:color w:val="1E1E1E"/>
              </w:rPr>
              <w:t>February 1, 2025</w:t>
            </w:r>
          </w:p>
        </w:tc>
      </w:tr>
      <w:tr>
        <w:trPr>
          <w:trHeight w:val="214"/>
        </w:trPr>
        <w:tc>
          <w:tcPr>
            <w:tcW w:w="20" w:type="dxa"/>
            <w:vAlign w:val="bottom"/>
          </w:tcPr>
          <w:p>
            <w:pPr>
              <w:spacing w:after="0"/>
              <w:rPr>
                <w:sz w:val="18"/>
                <w:szCs w:val="18"/>
                <w:color w:val="auto"/>
              </w:rPr>
            </w:pPr>
          </w:p>
        </w:tc>
        <w:tc>
          <w:tcPr>
            <w:tcW w:w="6540" w:type="dxa"/>
            <w:vAlign w:val="bottom"/>
            <w:tcBorders>
              <w:top w:val="single" w:sz="8" w:color="E4E4E4"/>
            </w:tcBorders>
            <w:shd w:val="clear" w:color="auto" w:fill="E4E4E4"/>
          </w:tcPr>
          <w:p>
            <w:pPr>
              <w:spacing w:after="0" w:line="214" w:lineRule="exact"/>
              <w:rPr>
                <w:sz w:val="20"/>
                <w:szCs w:val="20"/>
                <w:color w:val="auto"/>
              </w:rPr>
            </w:pPr>
            <w:r>
              <w:rPr>
                <w:rFonts w:ascii="Times New Roman" w:cs="Times New Roman" w:eastAsia="Times New Roman" w:hAnsi="Times New Roman"/>
                <w:sz w:val="20"/>
                <w:szCs w:val="20"/>
                <w:color w:val="1E1E1E"/>
              </w:rPr>
              <w:t>Land</w:t>
            </w:r>
          </w:p>
        </w:tc>
        <w:tc>
          <w:tcPr>
            <w:tcW w:w="12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64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rPr>
              <w:t>7,126</w:t>
            </w:r>
          </w:p>
        </w:tc>
        <w:tc>
          <w:tcPr>
            <w:tcW w:w="8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64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color w:val="1E1E1E"/>
              </w:rPr>
              <w:t>7,050</w:t>
            </w:r>
          </w:p>
        </w:tc>
        <w:tc>
          <w:tcPr>
            <w:tcW w:w="10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1E1E1E"/>
            </w:tcBorders>
            <w:shd w:val="clear" w:color="auto" w:fill="E4E4E4"/>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Buildings and building equipment</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76,166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74,390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65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Computer hardware and equipment</w:t>
            </w:r>
          </w:p>
        </w:tc>
        <w:tc>
          <w:tcPr>
            <w:tcW w:w="120" w:type="dxa"/>
            <w:vAlign w:val="bottom"/>
            <w:shd w:val="clear" w:color="auto" w:fill="E4E4E4"/>
          </w:tcPr>
          <w:p>
            <w:pPr>
              <w:spacing w:after="0"/>
              <w:rPr>
                <w:sz w:val="21"/>
                <w:szCs w:val="21"/>
                <w:color w:val="auto"/>
              </w:rPr>
            </w:pPr>
          </w:p>
        </w:tc>
        <w:tc>
          <w:tcPr>
            <w:tcW w:w="1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111,458</w:t>
            </w: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102,694</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Computer software</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117,421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107,141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5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Furniture and fixtures</w:t>
            </w:r>
          </w:p>
        </w:tc>
        <w:tc>
          <w:tcPr>
            <w:tcW w:w="120" w:type="dxa"/>
            <w:vAlign w:val="bottom"/>
            <w:shd w:val="clear" w:color="auto" w:fill="E4E4E4"/>
          </w:tcPr>
          <w:p>
            <w:pPr>
              <w:spacing w:after="0"/>
              <w:rPr>
                <w:sz w:val="21"/>
                <w:szCs w:val="21"/>
                <w:color w:val="auto"/>
              </w:rPr>
            </w:pPr>
          </w:p>
        </w:tc>
        <w:tc>
          <w:tcPr>
            <w:tcW w:w="1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133,880</w:t>
            </w:r>
          </w:p>
        </w:tc>
        <w:tc>
          <w:tcPr>
            <w:tcW w:w="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128,388</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Construction in progress</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8,340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54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Improvements to leased property</w:t>
            </w:r>
          </w:p>
        </w:tc>
        <w:tc>
          <w:tcPr>
            <w:tcW w:w="120" w:type="dxa"/>
            <w:vAlign w:val="bottom"/>
            <w:tcBorders>
              <w:bottom w:val="single" w:sz="8" w:color="1E1E1E"/>
            </w:tcBorders>
            <w:shd w:val="clear" w:color="auto" w:fill="E4E4E4"/>
          </w:tcPr>
          <w:p>
            <w:pPr>
              <w:spacing w:after="0"/>
              <w:rPr>
                <w:sz w:val="21"/>
                <w:szCs w:val="21"/>
                <w:color w:val="auto"/>
              </w:rPr>
            </w:pPr>
          </w:p>
        </w:tc>
        <w:tc>
          <w:tcPr>
            <w:tcW w:w="16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358,652</w:t>
            </w:r>
          </w:p>
        </w:tc>
        <w:tc>
          <w:tcPr>
            <w:tcW w:w="80" w:type="dxa"/>
            <w:vAlign w:val="bottom"/>
            <w:tcBorders>
              <w:bottom w:val="single" w:sz="8" w:color="1E1E1E"/>
            </w:tcBorders>
            <w:shd w:val="clear" w:color="auto" w:fill="E4E4E4"/>
          </w:tcPr>
          <w:p>
            <w:pPr>
              <w:spacing w:after="0"/>
              <w:rPr>
                <w:sz w:val="21"/>
                <w:szCs w:val="21"/>
                <w:color w:val="auto"/>
              </w:rPr>
            </w:pPr>
          </w:p>
        </w:tc>
        <w:tc>
          <w:tcPr>
            <w:tcW w:w="20" w:type="dxa"/>
            <w:vAlign w:val="bottom"/>
            <w:tcBorders>
              <w:bottom w:val="single" w:sz="8" w:color="1E1E1E"/>
            </w:tcBorders>
            <w:shd w:val="clear" w:color="auto" w:fill="E4E4E4"/>
          </w:tcPr>
          <w:p>
            <w:pPr>
              <w:spacing w:after="0"/>
              <w:rPr>
                <w:sz w:val="21"/>
                <w:szCs w:val="21"/>
                <w:color w:val="auto"/>
              </w:rPr>
            </w:pPr>
          </w:p>
        </w:tc>
        <w:tc>
          <w:tcPr>
            <w:tcW w:w="100" w:type="dxa"/>
            <w:vAlign w:val="bottom"/>
            <w:tcBorders>
              <w:bottom w:val="single" w:sz="8" w:color="1E1E1E"/>
            </w:tcBorders>
            <w:shd w:val="clear" w:color="auto" w:fill="E4E4E4"/>
          </w:tcPr>
          <w:p>
            <w:pPr>
              <w:spacing w:after="0"/>
              <w:rPr>
                <w:sz w:val="21"/>
                <w:szCs w:val="21"/>
                <w:color w:val="auto"/>
              </w:rPr>
            </w:pPr>
          </w:p>
        </w:tc>
        <w:tc>
          <w:tcPr>
            <w:tcW w:w="16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345,370</w:t>
            </w:r>
          </w:p>
        </w:tc>
        <w:tc>
          <w:tcPr>
            <w:tcW w:w="100" w:type="dxa"/>
            <w:vAlign w:val="bottom"/>
            <w:tcBorders>
              <w:bottom w:val="single" w:sz="8" w:color="1E1E1E"/>
            </w:tcBorders>
            <w:shd w:val="clear" w:color="auto" w:fill="E4E4E4"/>
          </w:tcPr>
          <w:p>
            <w:pPr>
              <w:spacing w:after="0"/>
              <w:rPr>
                <w:sz w:val="21"/>
                <w:szCs w:val="21"/>
                <w:color w:val="auto"/>
              </w:rPr>
            </w:pPr>
          </w:p>
        </w:tc>
        <w:tc>
          <w:tcPr>
            <w:tcW w:w="20" w:type="dxa"/>
            <w:vAlign w:val="bottom"/>
            <w:tcBorders>
              <w:bottom w:val="single" w:sz="8" w:color="1E1E1E"/>
            </w:tcBorders>
            <w:shd w:val="clear" w:color="auto" w:fill="E4E4E4"/>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Property and equipment, at cost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813,043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775,395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54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Accumulated depreciation</w:t>
            </w:r>
          </w:p>
        </w:tc>
        <w:tc>
          <w:tcPr>
            <w:tcW w:w="120" w:type="dxa"/>
            <w:vAlign w:val="bottom"/>
            <w:tcBorders>
              <w:bottom w:val="single" w:sz="8" w:color="1E1E1E"/>
            </w:tcBorders>
            <w:shd w:val="clear" w:color="auto" w:fill="E4E4E4"/>
          </w:tcPr>
          <w:p>
            <w:pPr>
              <w:spacing w:after="0"/>
              <w:rPr>
                <w:sz w:val="21"/>
                <w:szCs w:val="21"/>
                <w:color w:val="auto"/>
              </w:rPr>
            </w:pPr>
          </w:p>
        </w:tc>
        <w:tc>
          <w:tcPr>
            <w:tcW w:w="16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(575,387)</w:t>
            </w:r>
          </w:p>
        </w:tc>
        <w:tc>
          <w:tcPr>
            <w:tcW w:w="80" w:type="dxa"/>
            <w:vAlign w:val="bottom"/>
            <w:tcBorders>
              <w:bottom w:val="single" w:sz="8" w:color="1E1E1E"/>
            </w:tcBorders>
            <w:shd w:val="clear" w:color="auto" w:fill="E4E4E4"/>
          </w:tcPr>
          <w:p>
            <w:pPr>
              <w:spacing w:after="0"/>
              <w:rPr>
                <w:sz w:val="21"/>
                <w:szCs w:val="21"/>
                <w:color w:val="auto"/>
              </w:rPr>
            </w:pPr>
          </w:p>
        </w:tc>
        <w:tc>
          <w:tcPr>
            <w:tcW w:w="20" w:type="dxa"/>
            <w:vAlign w:val="bottom"/>
            <w:tcBorders>
              <w:bottom w:val="single" w:sz="8" w:color="1E1E1E"/>
            </w:tcBorders>
            <w:shd w:val="clear" w:color="auto" w:fill="E4E4E4"/>
          </w:tcPr>
          <w:p>
            <w:pPr>
              <w:spacing w:after="0"/>
              <w:rPr>
                <w:sz w:val="21"/>
                <w:szCs w:val="21"/>
                <w:color w:val="auto"/>
              </w:rPr>
            </w:pPr>
          </w:p>
        </w:tc>
        <w:tc>
          <w:tcPr>
            <w:tcW w:w="100" w:type="dxa"/>
            <w:vAlign w:val="bottom"/>
            <w:tcBorders>
              <w:bottom w:val="single" w:sz="8" w:color="1E1E1E"/>
            </w:tcBorders>
            <w:shd w:val="clear" w:color="auto" w:fill="E4E4E4"/>
          </w:tcPr>
          <w:p>
            <w:pPr>
              <w:spacing w:after="0"/>
              <w:rPr>
                <w:sz w:val="21"/>
                <w:szCs w:val="21"/>
                <w:color w:val="auto"/>
              </w:rPr>
            </w:pPr>
          </w:p>
        </w:tc>
        <w:tc>
          <w:tcPr>
            <w:tcW w:w="16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(547,373)</w:t>
            </w:r>
          </w:p>
        </w:tc>
        <w:tc>
          <w:tcPr>
            <w:tcW w:w="100" w:type="dxa"/>
            <w:vAlign w:val="bottom"/>
            <w:tcBorders>
              <w:bottom w:val="single" w:sz="8" w:color="1E1E1E"/>
            </w:tcBorders>
            <w:shd w:val="clear" w:color="auto" w:fill="E4E4E4"/>
          </w:tcPr>
          <w:p>
            <w:pPr>
              <w:spacing w:after="0"/>
              <w:rPr>
                <w:sz w:val="21"/>
                <w:szCs w:val="21"/>
                <w:color w:val="auto"/>
              </w:rPr>
            </w:pPr>
          </w:p>
        </w:tc>
        <w:tc>
          <w:tcPr>
            <w:tcW w:w="20" w:type="dxa"/>
            <w:vAlign w:val="bottom"/>
            <w:tcBorders>
              <w:bottom w:val="single" w:sz="8" w:color="1E1E1E"/>
            </w:tcBorders>
            <w:shd w:val="clear" w:color="auto" w:fill="E4E4E4"/>
          </w:tcPr>
          <w:p>
            <w:pPr>
              <w:spacing w:after="0"/>
              <w:rPr>
                <w:sz w:val="21"/>
                <w:szCs w:val="21"/>
                <w:color w:val="auto"/>
              </w:rPr>
            </w:pPr>
          </w:p>
        </w:tc>
      </w:tr>
      <w:tr>
        <w:trPr>
          <w:trHeight w:val="239"/>
        </w:trPr>
        <w:tc>
          <w:tcPr>
            <w:tcW w:w="20" w:type="dxa"/>
            <w:vAlign w:val="bottom"/>
            <w:tcBorders>
              <w:bottom w:val="single" w:sz="8" w:color="1E1E1E"/>
            </w:tcBorders>
          </w:tcPr>
          <w:p>
            <w:pPr>
              <w:spacing w:after="0"/>
              <w:rPr>
                <w:sz w:val="20"/>
                <w:szCs w:val="20"/>
                <w:color w:val="auto"/>
              </w:rPr>
            </w:pPr>
          </w:p>
        </w:tc>
        <w:tc>
          <w:tcPr>
            <w:tcW w:w="65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Total Property and Equipment, net</w:t>
            </w: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w w:val="79"/>
              </w:rPr>
              <w:t>$</w:t>
            </w:r>
          </w:p>
        </w:tc>
        <w:tc>
          <w:tcPr>
            <w:tcW w:w="16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237,656</w:t>
            </w:r>
          </w:p>
        </w:tc>
        <w:tc>
          <w:tcPr>
            <w:tcW w:w="8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6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228,022</w:t>
            </w:r>
          </w:p>
        </w:tc>
        <w:tc>
          <w:tcPr>
            <w:tcW w:w="100" w:type="dxa"/>
            <w:vAlign w:val="bottom"/>
            <w:tcBorders>
              <w:bottom w:val="single" w:sz="8" w:color="1E1E1E"/>
            </w:tcBorders>
          </w:tcPr>
          <w:p>
            <w:pPr>
              <w:spacing w:after="0"/>
              <w:rPr>
                <w:sz w:val="20"/>
                <w:szCs w:val="20"/>
                <w:color w:val="auto"/>
              </w:rPr>
            </w:pPr>
          </w:p>
        </w:tc>
        <w:tc>
          <w:tcPr>
            <w:tcW w:w="20" w:type="dxa"/>
            <w:vAlign w:val="bottom"/>
            <w:tcBorders>
              <w:bottom w:val="single" w:sz="8" w:color="1E1E1E"/>
            </w:tcBorders>
          </w:tcPr>
          <w:p>
            <w:pPr>
              <w:spacing w:after="0"/>
              <w:rPr>
                <w:sz w:val="20"/>
                <w:szCs w:val="20"/>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654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64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6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65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20" w:type="dxa"/>
            <w:vAlign w:val="bottom"/>
            <w:tcBorders>
              <w:bottom w:val="single" w:sz="8" w:color="1E1E1E"/>
            </w:tcBorders>
          </w:tcPr>
          <w:p>
            <w:pPr>
              <w:spacing w:after="0"/>
              <w:rPr>
                <w:sz w:val="24"/>
                <w:szCs w:val="24"/>
                <w:color w:val="auto"/>
              </w:rPr>
            </w:pPr>
          </w:p>
        </w:tc>
        <w:tc>
          <w:tcPr>
            <w:tcW w:w="1720" w:type="dxa"/>
            <w:vAlign w:val="bottom"/>
            <w:tcBorders>
              <w:bottom w:val="single" w:sz="8" w:color="1E1E1E"/>
            </w:tcBorders>
            <w:gridSpan w:val="2"/>
          </w:tcPr>
          <w:p>
            <w:pPr>
              <w:ind w:left="180"/>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2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1760" w:type="dxa"/>
            <w:vAlign w:val="bottom"/>
            <w:tcBorders>
              <w:bottom w:val="single" w:sz="8" w:color="1E1E1E"/>
            </w:tcBorders>
            <w:gridSpan w:val="3"/>
          </w:tcPr>
          <w:p>
            <w:pPr>
              <w:ind w:left="280"/>
              <w:spacing w:after="0"/>
              <w:rPr>
                <w:sz w:val="20"/>
                <w:szCs w:val="20"/>
                <w:color w:val="auto"/>
              </w:rPr>
            </w:pPr>
            <w:r>
              <w:rPr>
                <w:rFonts w:ascii="Times New Roman" w:cs="Times New Roman" w:eastAsia="Times New Roman" w:hAnsi="Times New Roman"/>
                <w:sz w:val="20"/>
                <w:szCs w:val="20"/>
                <w:color w:val="1E1E1E"/>
              </w:rPr>
              <w:t>February 1, 2025</w:t>
            </w:r>
          </w:p>
        </w:tc>
      </w:tr>
      <w:tr>
        <w:trPr>
          <w:trHeight w:val="220"/>
        </w:trPr>
        <w:tc>
          <w:tcPr>
            <w:tcW w:w="20" w:type="dxa"/>
            <w:vAlign w:val="bottom"/>
          </w:tcPr>
          <w:p>
            <w:pPr>
              <w:spacing w:after="0"/>
              <w:rPr>
                <w:sz w:val="19"/>
                <w:szCs w:val="19"/>
                <w:color w:val="auto"/>
              </w:rPr>
            </w:pPr>
          </w:p>
        </w:tc>
        <w:tc>
          <w:tcPr>
            <w:tcW w:w="65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Accrued employee compensation</w:t>
            </w:r>
          </w:p>
        </w:tc>
        <w:tc>
          <w:tcPr>
            <w:tcW w:w="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w w:val="79"/>
              </w:rPr>
              <w:t>$</w:t>
            </w:r>
          </w:p>
        </w:tc>
        <w:tc>
          <w:tcPr>
            <w:tcW w:w="1720" w:type="dxa"/>
            <w:vAlign w:val="bottom"/>
            <w:gridSpan w:val="2"/>
            <w:shd w:val="clear" w:color="auto" w:fill="E4E4E4"/>
          </w:tcPr>
          <w:p>
            <w:pPr>
              <w:jc w:val="right"/>
              <w:ind w:right="80"/>
              <w:spacing w:after="0" w:line="220" w:lineRule="exact"/>
              <w:rPr>
                <w:sz w:val="20"/>
                <w:szCs w:val="20"/>
                <w:color w:val="auto"/>
              </w:rPr>
            </w:pPr>
            <w:r>
              <w:rPr>
                <w:rFonts w:ascii="Times New Roman" w:cs="Times New Roman" w:eastAsia="Times New Roman" w:hAnsi="Times New Roman"/>
                <w:sz w:val="20"/>
                <w:szCs w:val="20"/>
                <w:b w:val="1"/>
                <w:bCs w:val="1"/>
                <w:color w:val="1E1E1E"/>
              </w:rPr>
              <w:t>33,220</w:t>
            </w:r>
          </w:p>
        </w:tc>
        <w:tc>
          <w:tcPr>
            <w:tcW w:w="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6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28,081</w:t>
            </w: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Accrued other taxes</w:t>
            </w:r>
          </w:p>
        </w:tc>
        <w:tc>
          <w:tcPr>
            <w:tcW w:w="12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13,159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Accrued income taxes</w:t>
            </w:r>
          </w:p>
        </w:tc>
        <w:tc>
          <w:tcPr>
            <w:tcW w:w="120" w:type="dxa"/>
            <w:vAlign w:val="bottom"/>
            <w:shd w:val="clear" w:color="auto" w:fill="E4E4E4"/>
          </w:tcPr>
          <w:p>
            <w:pPr>
              <w:spacing w:after="0"/>
              <w:rPr>
                <w:sz w:val="20"/>
                <w:szCs w:val="20"/>
                <w:color w:val="auto"/>
              </w:rPr>
            </w:pPr>
          </w:p>
        </w:tc>
        <w:tc>
          <w:tcPr>
            <w:tcW w:w="172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1,323</w:t>
            </w:r>
          </w:p>
        </w:tc>
        <w:tc>
          <w:tcPr>
            <w:tcW w:w="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1,287</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20"/>
                <w:szCs w:val="20"/>
                <w:color w:val="1E1E1E"/>
              </w:rPr>
              <w:t>Provision for discontinued operations</w:t>
            </w:r>
          </w:p>
        </w:tc>
        <w:tc>
          <w:tcPr>
            <w:tcW w:w="12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413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54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 accrued liabilities</w:t>
            </w:r>
          </w:p>
        </w:tc>
        <w:tc>
          <w:tcPr>
            <w:tcW w:w="120" w:type="dxa"/>
            <w:vAlign w:val="bottom"/>
            <w:tcBorders>
              <w:bottom w:val="single" w:sz="8" w:color="1E1E1E"/>
            </w:tcBorders>
            <w:shd w:val="clear" w:color="auto" w:fill="E4E4E4"/>
          </w:tcPr>
          <w:p>
            <w:pPr>
              <w:spacing w:after="0"/>
              <w:rPr>
                <w:sz w:val="20"/>
                <w:szCs w:val="20"/>
                <w:color w:val="auto"/>
              </w:rPr>
            </w:pPr>
          </w:p>
        </w:tc>
        <w:tc>
          <w:tcPr>
            <w:tcW w:w="1720" w:type="dxa"/>
            <w:vAlign w:val="bottom"/>
            <w:tcBorders>
              <w:bottom w:val="single" w:sz="8" w:color="1E1E1E"/>
            </w:tcBorders>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52,276</w:t>
            </w:r>
          </w:p>
        </w:tc>
        <w:tc>
          <w:tcPr>
            <w:tcW w:w="2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6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47,671</w:t>
            </w:r>
          </w:p>
        </w:tc>
        <w:tc>
          <w:tcPr>
            <w:tcW w:w="100" w:type="dxa"/>
            <w:vAlign w:val="bottom"/>
            <w:tcBorders>
              <w:bottom w:val="single" w:sz="8" w:color="1E1E1E"/>
            </w:tcBorders>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r>
      <w:tr>
        <w:trPr>
          <w:trHeight w:val="220"/>
        </w:trPr>
        <w:tc>
          <w:tcPr>
            <w:tcW w:w="20" w:type="dxa"/>
            <w:vAlign w:val="bottom"/>
            <w:tcBorders>
              <w:bottom w:val="single" w:sz="8" w:color="1E1E1E"/>
            </w:tcBorders>
          </w:tcPr>
          <w:p>
            <w:pPr>
              <w:spacing w:after="0"/>
              <w:rPr>
                <w:sz w:val="19"/>
                <w:szCs w:val="19"/>
                <w:color w:val="auto"/>
              </w:rPr>
            </w:pPr>
          </w:p>
        </w:tc>
        <w:tc>
          <w:tcPr>
            <w:tcW w:w="654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Other Current Accrued Liabilities</w:t>
            </w:r>
          </w:p>
        </w:tc>
        <w:tc>
          <w:tcPr>
            <w:tcW w:w="12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w w:val="79"/>
              </w:rPr>
              <w:t>$</w:t>
            </w:r>
          </w:p>
        </w:tc>
        <w:tc>
          <w:tcPr>
            <w:tcW w:w="1720" w:type="dxa"/>
            <w:vAlign w:val="bottom"/>
            <w:tcBorders>
              <w:bottom w:val="single" w:sz="8" w:color="1E1E1E"/>
            </w:tcBorders>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b w:val="1"/>
                <w:bCs w:val="1"/>
                <w:color w:val="1E1E1E"/>
              </w:rPr>
              <w:t>100,391</w:t>
            </w:r>
          </w:p>
        </w:tc>
        <w:tc>
          <w:tcPr>
            <w:tcW w:w="2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6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87,695</w:t>
            </w:r>
          </w:p>
        </w:tc>
        <w:tc>
          <w:tcPr>
            <w:tcW w:w="100" w:type="dxa"/>
            <w:vAlign w:val="bottom"/>
            <w:tcBorders>
              <w:bottom w:val="single" w:sz="8" w:color="1E1E1E"/>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654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64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6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7</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Fair Value</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carrying amounts and fair values of our financial instruments at January 31, 2026 and February 1, 2025 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1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20" w:type="dxa"/>
            <w:vAlign w:val="bottom"/>
            <w:tcBorders>
              <w:bottom w:val="single" w:sz="8" w:color="1E1E1E"/>
            </w:tcBorders>
          </w:tcPr>
          <w:p>
            <w:pPr>
              <w:spacing w:after="0"/>
              <w:rPr>
                <w:sz w:val="22"/>
                <w:szCs w:val="22"/>
                <w:color w:val="auto"/>
              </w:rPr>
            </w:pPr>
          </w:p>
        </w:tc>
        <w:tc>
          <w:tcPr>
            <w:tcW w:w="110" w:type="dxa"/>
            <w:vAlign w:val="bottom"/>
            <w:tcBorders>
              <w:bottom w:val="single" w:sz="8" w:color="1E1E1E"/>
            </w:tcBorders>
          </w:tcPr>
          <w:p>
            <w:pPr>
              <w:spacing w:after="0"/>
              <w:rPr>
                <w:sz w:val="22"/>
                <w:szCs w:val="22"/>
                <w:color w:val="auto"/>
              </w:rPr>
            </w:pPr>
          </w:p>
        </w:tc>
        <w:tc>
          <w:tcPr>
            <w:tcW w:w="2200" w:type="dxa"/>
            <w:vAlign w:val="bottom"/>
            <w:tcBorders>
              <w:bottom w:val="single" w:sz="8" w:color="1E1E1E"/>
            </w:tcBorders>
            <w:gridSpan w:val="4"/>
          </w:tcPr>
          <w:p>
            <w:pPr>
              <w:jc w:val="right"/>
              <w:ind w:right="329"/>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230" w:type="dxa"/>
            <w:vAlign w:val="bottom"/>
            <w:tcBorders>
              <w:bottom w:val="single" w:sz="8" w:color="1E1E1E"/>
            </w:tcBorders>
          </w:tcPr>
          <w:p>
            <w:pPr>
              <w:spacing w:after="0"/>
              <w:rPr>
                <w:sz w:val="22"/>
                <w:szCs w:val="22"/>
                <w:color w:val="auto"/>
              </w:rPr>
            </w:pPr>
          </w:p>
        </w:tc>
        <w:tc>
          <w:tcPr>
            <w:tcW w:w="110" w:type="dxa"/>
            <w:vAlign w:val="bottom"/>
            <w:tcBorders>
              <w:bottom w:val="single" w:sz="8" w:color="1E1E1E"/>
            </w:tcBorders>
          </w:tcPr>
          <w:p>
            <w:pPr>
              <w:spacing w:after="0"/>
              <w:rPr>
                <w:sz w:val="22"/>
                <w:szCs w:val="22"/>
                <w:color w:val="auto"/>
              </w:rPr>
            </w:pPr>
          </w:p>
        </w:tc>
        <w:tc>
          <w:tcPr>
            <w:tcW w:w="2310" w:type="dxa"/>
            <w:vAlign w:val="bottom"/>
            <w:tcBorders>
              <w:bottom w:val="single" w:sz="8" w:color="1E1E1E"/>
            </w:tcBorders>
            <w:gridSpan w:val="5"/>
          </w:tcPr>
          <w:p>
            <w:pPr>
              <w:ind w:left="370"/>
              <w:spacing w:after="0"/>
              <w:rPr>
                <w:sz w:val="20"/>
                <w:szCs w:val="20"/>
                <w:color w:val="auto"/>
              </w:rPr>
            </w:pPr>
            <w:r>
              <w:rPr>
                <w:rFonts w:ascii="Times New Roman" w:cs="Times New Roman" w:eastAsia="Times New Roman" w:hAnsi="Times New Roman"/>
                <w:sz w:val="20"/>
                <w:szCs w:val="20"/>
                <w:color w:val="1E1E1E"/>
              </w:rPr>
              <w:t>February 1, 2025</w:t>
            </w:r>
          </w:p>
        </w:tc>
      </w:tr>
      <w:tr>
        <w:trPr>
          <w:trHeight w:val="205"/>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1E1E1E"/>
              </w:rPr>
              <w:t>Carrying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1E1E1E"/>
              </w:rPr>
              <w:t>Fair</w:t>
            </w:r>
          </w:p>
        </w:tc>
        <w:tc>
          <w:tcPr>
            <w:tcW w:w="23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70" w:type="dxa"/>
            <w:vAlign w:val="bottom"/>
            <w:gridSpan w:val="3"/>
          </w:tcPr>
          <w:p>
            <w:pPr>
              <w:jc w:val="right"/>
              <w:ind w:right="239"/>
              <w:spacing w:after="0" w:line="206" w:lineRule="exact"/>
              <w:rPr>
                <w:sz w:val="20"/>
                <w:szCs w:val="20"/>
                <w:color w:val="auto"/>
              </w:rPr>
            </w:pPr>
            <w:r>
              <w:rPr>
                <w:rFonts w:ascii="Times New Roman" w:cs="Times New Roman" w:eastAsia="Times New Roman" w:hAnsi="Times New Roman"/>
                <w:sz w:val="20"/>
                <w:szCs w:val="20"/>
                <w:color w:val="1E1E1E"/>
              </w:rPr>
              <w:t>Carrying</w:t>
            </w:r>
          </w:p>
        </w:tc>
        <w:tc>
          <w:tcPr>
            <w:tcW w:w="104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20"/>
                <w:szCs w:val="20"/>
                <w:color w:val="1E1E1E"/>
              </w:rPr>
              <w:t>Fair</w:t>
            </w:r>
          </w:p>
        </w:tc>
      </w:tr>
      <w:tr>
        <w:trPr>
          <w:trHeight w:val="280"/>
        </w:trPr>
        <w:tc>
          <w:tcPr>
            <w:tcW w:w="20" w:type="dxa"/>
            <w:vAlign w:val="bottom"/>
          </w:tcPr>
          <w:p>
            <w:pPr>
              <w:spacing w:after="0"/>
              <w:rPr>
                <w:sz w:val="23"/>
                <w:szCs w:val="23"/>
                <w:color w:val="auto"/>
              </w:rPr>
            </w:pPr>
          </w:p>
        </w:tc>
        <w:tc>
          <w:tcPr>
            <w:tcW w:w="5160" w:type="dxa"/>
            <w:vAlign w:val="bottom"/>
            <w:tcBorders>
              <w:bottom w:val="single" w:sz="8" w:color="1E1E1E"/>
            </w:tcBorders>
          </w:tcPr>
          <w:p>
            <w:pPr>
              <w:spacing w:after="0"/>
              <w:rPr>
                <w:sz w:val="23"/>
                <w:szCs w:val="23"/>
                <w:color w:val="auto"/>
              </w:rPr>
            </w:pPr>
          </w:p>
        </w:tc>
        <w:tc>
          <w:tcPr>
            <w:tcW w:w="120" w:type="dxa"/>
            <w:vAlign w:val="bottom"/>
            <w:tcBorders>
              <w:bottom w:val="single" w:sz="8" w:color="1E1E1E"/>
            </w:tcBorders>
          </w:tcPr>
          <w:p>
            <w:pPr>
              <w:spacing w:after="0"/>
              <w:rPr>
                <w:sz w:val="23"/>
                <w:szCs w:val="23"/>
                <w:color w:val="auto"/>
              </w:rPr>
            </w:pPr>
          </w:p>
        </w:tc>
        <w:tc>
          <w:tcPr>
            <w:tcW w:w="110" w:type="dxa"/>
            <w:vAlign w:val="bottom"/>
            <w:tcBorders>
              <w:bottom w:val="single" w:sz="8" w:color="1E1E1E"/>
            </w:tcBorders>
          </w:tcPr>
          <w:p>
            <w:pPr>
              <w:spacing w:after="0"/>
              <w:rPr>
                <w:sz w:val="23"/>
                <w:szCs w:val="23"/>
                <w:color w:val="auto"/>
              </w:rPr>
            </w:pPr>
          </w:p>
        </w:tc>
        <w:tc>
          <w:tcPr>
            <w:tcW w:w="93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Amount</w:t>
            </w:r>
          </w:p>
        </w:tc>
        <w:tc>
          <w:tcPr>
            <w:tcW w:w="240" w:type="dxa"/>
            <w:vAlign w:val="bottom"/>
            <w:tcBorders>
              <w:bottom w:val="single" w:sz="8" w:color="1E1E1E"/>
            </w:tcBorders>
          </w:tcPr>
          <w:p>
            <w:pPr>
              <w:spacing w:after="0"/>
              <w:rPr>
                <w:sz w:val="23"/>
                <w:szCs w:val="23"/>
                <w:color w:val="auto"/>
              </w:rPr>
            </w:pPr>
          </w:p>
        </w:tc>
        <w:tc>
          <w:tcPr>
            <w:tcW w:w="100" w:type="dxa"/>
            <w:vAlign w:val="bottom"/>
            <w:tcBorders>
              <w:bottom w:val="single" w:sz="8" w:color="1E1E1E"/>
            </w:tcBorders>
          </w:tcPr>
          <w:p>
            <w:pPr>
              <w:spacing w:after="0"/>
              <w:rPr>
                <w:sz w:val="23"/>
                <w:szCs w:val="23"/>
                <w:color w:val="auto"/>
              </w:rPr>
            </w:pPr>
          </w:p>
        </w:tc>
        <w:tc>
          <w:tcPr>
            <w:tcW w:w="93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Value</w:t>
            </w:r>
          </w:p>
        </w:tc>
        <w:tc>
          <w:tcPr>
            <w:tcW w:w="230" w:type="dxa"/>
            <w:vAlign w:val="bottom"/>
            <w:tcBorders>
              <w:bottom w:val="single" w:sz="8" w:color="1E1E1E"/>
            </w:tcBorders>
          </w:tcPr>
          <w:p>
            <w:pPr>
              <w:spacing w:after="0"/>
              <w:rPr>
                <w:sz w:val="23"/>
                <w:szCs w:val="23"/>
                <w:color w:val="auto"/>
              </w:rPr>
            </w:pPr>
          </w:p>
        </w:tc>
        <w:tc>
          <w:tcPr>
            <w:tcW w:w="110" w:type="dxa"/>
            <w:vAlign w:val="bottom"/>
            <w:tcBorders>
              <w:bottom w:val="single" w:sz="8" w:color="1E1E1E"/>
            </w:tcBorders>
          </w:tcPr>
          <w:p>
            <w:pPr>
              <w:spacing w:after="0"/>
              <w:rPr>
                <w:sz w:val="23"/>
                <w:szCs w:val="23"/>
                <w:color w:val="auto"/>
              </w:rPr>
            </w:pPr>
          </w:p>
        </w:tc>
        <w:tc>
          <w:tcPr>
            <w:tcW w:w="1270" w:type="dxa"/>
            <w:vAlign w:val="bottom"/>
            <w:tcBorders>
              <w:bottom w:val="single" w:sz="8" w:color="1E1E1E"/>
            </w:tcBorders>
            <w:gridSpan w:val="3"/>
          </w:tcPr>
          <w:p>
            <w:pPr>
              <w:jc w:val="right"/>
              <w:ind w:right="239"/>
              <w:spacing w:after="0"/>
              <w:rPr>
                <w:sz w:val="20"/>
                <w:szCs w:val="20"/>
                <w:color w:val="auto"/>
              </w:rPr>
            </w:pPr>
            <w:r>
              <w:rPr>
                <w:rFonts w:ascii="Times New Roman" w:cs="Times New Roman" w:eastAsia="Times New Roman" w:hAnsi="Times New Roman"/>
                <w:sz w:val="20"/>
                <w:szCs w:val="20"/>
                <w:color w:val="1E1E1E"/>
              </w:rPr>
              <w:t>Amount</w:t>
            </w:r>
          </w:p>
        </w:tc>
        <w:tc>
          <w:tcPr>
            <w:tcW w:w="1040" w:type="dxa"/>
            <w:vAlign w:val="bottom"/>
            <w:tcBorders>
              <w:bottom w:val="single" w:sz="8" w:color="1E1E1E"/>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Value</w:t>
            </w:r>
          </w:p>
        </w:tc>
      </w:tr>
      <w:tr>
        <w:trPr>
          <w:trHeight w:val="217"/>
        </w:trPr>
        <w:tc>
          <w:tcPr>
            <w:tcW w:w="20" w:type="dxa"/>
            <w:vAlign w:val="bottom"/>
            <w:tcBorders>
              <w:bottom w:val="single" w:sz="8" w:color="1E1E1E"/>
            </w:tcBorders>
          </w:tcPr>
          <w:p>
            <w:pPr>
              <w:spacing w:after="0"/>
              <w:rPr>
                <w:sz w:val="18"/>
                <w:szCs w:val="18"/>
                <w:color w:val="auto"/>
              </w:rPr>
            </w:pPr>
          </w:p>
        </w:tc>
        <w:tc>
          <w:tcPr>
            <w:tcW w:w="5160" w:type="dxa"/>
            <w:vAlign w:val="bottom"/>
            <w:tcBorders>
              <w:top w:val="single" w:sz="8" w:color="E4E4E4"/>
              <w:bottom w:val="single" w:sz="8" w:color="1E1E1E"/>
            </w:tcBorders>
            <w:shd w:val="clear" w:color="auto" w:fill="E4E4E4"/>
          </w:tcPr>
          <w:p>
            <w:pPr>
              <w:spacing w:after="0" w:line="217" w:lineRule="exact"/>
              <w:rPr>
                <w:sz w:val="20"/>
                <w:szCs w:val="20"/>
                <w:color w:val="auto"/>
              </w:rPr>
            </w:pPr>
            <w:r>
              <w:rPr>
                <w:rFonts w:ascii="Times New Roman" w:cs="Times New Roman" w:eastAsia="Times New Roman" w:hAnsi="Times New Roman"/>
                <w:sz w:val="20"/>
                <w:szCs w:val="20"/>
                <w:color w:val="1E1E1E"/>
              </w:rPr>
              <w:t>U.S. revolver borrowings</w:t>
            </w:r>
          </w:p>
        </w:tc>
        <w:tc>
          <w:tcPr>
            <w:tcW w:w="120" w:type="dxa"/>
            <w:vAlign w:val="bottom"/>
            <w:tcBorders>
              <w:top w:val="single" w:sz="8" w:color="E4E4E4"/>
              <w:bottom w:val="single" w:sz="8" w:color="1E1E1E"/>
            </w:tcBorders>
            <w:shd w:val="clear" w:color="auto" w:fill="E4E4E4"/>
          </w:tcPr>
          <w:p>
            <w:pPr>
              <w:spacing w:after="0"/>
              <w:rPr>
                <w:sz w:val="18"/>
                <w:szCs w:val="18"/>
                <w:color w:val="auto"/>
              </w:rPr>
            </w:pPr>
          </w:p>
        </w:tc>
        <w:tc>
          <w:tcPr>
            <w:tcW w:w="1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93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rPr>
              <w:t>3,379</w:t>
            </w:r>
          </w:p>
        </w:tc>
        <w:tc>
          <w:tcPr>
            <w:tcW w:w="240" w:type="dxa"/>
            <w:vAlign w:val="bottom"/>
            <w:tcBorders>
              <w:top w:val="single" w:sz="8" w:color="E4E4E4"/>
              <w:bottom w:val="single" w:sz="8" w:color="1E1E1E"/>
            </w:tcBorders>
            <w:shd w:val="clear" w:color="auto" w:fill="E4E4E4"/>
          </w:tcPr>
          <w:p>
            <w:pPr>
              <w:spacing w:after="0"/>
              <w:rPr>
                <w:sz w:val="18"/>
                <w:szCs w:val="18"/>
                <w:color w:val="auto"/>
              </w:rPr>
            </w:pPr>
          </w:p>
        </w:tc>
        <w:tc>
          <w:tcPr>
            <w:tcW w:w="1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93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1E1E1E"/>
              </w:rPr>
              <w:t>3,362</w:t>
            </w:r>
          </w:p>
        </w:tc>
        <w:tc>
          <w:tcPr>
            <w:tcW w:w="230" w:type="dxa"/>
            <w:vAlign w:val="bottom"/>
            <w:tcBorders>
              <w:top w:val="single" w:sz="8" w:color="E4E4E4"/>
              <w:bottom w:val="single" w:sz="8" w:color="1E1E1E"/>
            </w:tcBorders>
            <w:shd w:val="clear" w:color="auto" w:fill="E4E4E4"/>
          </w:tcPr>
          <w:p>
            <w:pPr>
              <w:spacing w:after="0"/>
              <w:rPr>
                <w:sz w:val="18"/>
                <w:szCs w:val="18"/>
                <w:color w:val="auto"/>
              </w:rPr>
            </w:pPr>
          </w:p>
        </w:tc>
        <w:tc>
          <w:tcPr>
            <w:tcW w:w="1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94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rPr>
              <w:t>—</w:t>
            </w:r>
          </w:p>
        </w:tc>
        <w:tc>
          <w:tcPr>
            <w:tcW w:w="230" w:type="dxa"/>
            <w:vAlign w:val="bottom"/>
            <w:tcBorders>
              <w:top w:val="single" w:sz="8" w:color="E4E4E4"/>
              <w:bottom w:val="single" w:sz="8" w:color="1E1E1E"/>
            </w:tcBorders>
            <w:shd w:val="clear" w:color="auto" w:fill="E4E4E4"/>
          </w:tcPr>
          <w:p>
            <w:pPr>
              <w:spacing w:after="0"/>
              <w:rPr>
                <w:sz w:val="18"/>
                <w:szCs w:val="18"/>
                <w:color w:val="auto"/>
              </w:rPr>
            </w:pPr>
          </w:p>
        </w:tc>
        <w:tc>
          <w:tcPr>
            <w:tcW w:w="10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94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E4E4E4"/>
              <w:bottom w:val="single" w:sz="8" w:color="1E1E1E"/>
            </w:tcBorders>
            <w:shd w:val="clear" w:color="auto" w:fill="E4E4E4"/>
          </w:tcPr>
          <w:p>
            <w:pPr>
              <w:spacing w:after="0"/>
              <w:rPr>
                <w:sz w:val="18"/>
                <w:szCs w:val="18"/>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516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93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30" w:type="dxa"/>
            <w:vAlign w:val="bottom"/>
            <w:tcBorders>
              <w:bottom w:val="single" w:sz="8" w:color="1E1E1E"/>
            </w:tcBorders>
          </w:tcPr>
          <w:p>
            <w:pPr>
              <w:spacing w:after="0" w:line="20" w:lineRule="exact"/>
              <w:rPr>
                <w:sz w:val="1"/>
                <w:szCs w:val="1"/>
                <w:color w:val="auto"/>
              </w:rPr>
            </w:pPr>
          </w:p>
        </w:tc>
        <w:tc>
          <w:tcPr>
            <w:tcW w:w="23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23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r>
    </w:tbl>
    <w:p>
      <w:pPr>
        <w:spacing w:after="0" w:line="174"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20"/>
          <w:szCs w:val="20"/>
          <w:color w:val="1E1E1E"/>
        </w:rPr>
        <w:t>Debt fair values were determined using a discount cash flow analysis based on current market interest rates for similar types of financial instruments and would be classified in Level 2 within the fair value hierarchy.</w:t>
      </w:r>
    </w:p>
    <w:p>
      <w:pPr>
        <w:spacing w:after="0" w:line="124"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20"/>
          <w:szCs w:val="20"/>
          <w:color w:val="1E1E1E"/>
        </w:rPr>
        <w:t>Carrying amounts reported on our Consolidated Balance Sheets for cash, receivables and accounts payable approximate fair value due to the short-term maturity of these instruments.</w:t>
      </w:r>
    </w:p>
    <w:p>
      <w:pPr>
        <w:spacing w:after="0" w:line="119" w:lineRule="exact"/>
        <w:rPr>
          <w:sz w:val="20"/>
          <w:szCs w:val="20"/>
          <w:color w:val="auto"/>
        </w:rPr>
      </w:pPr>
    </w:p>
    <w:p>
      <w:pPr>
        <w:jc w:val="both"/>
        <w:ind w:left="20"/>
        <w:spacing w:after="0" w:line="281" w:lineRule="auto"/>
        <w:rPr>
          <w:sz w:val="20"/>
          <w:szCs w:val="20"/>
          <w:color w:val="auto"/>
        </w:rPr>
      </w:pPr>
      <w:r>
        <w:rPr>
          <w:rFonts w:ascii="Times New Roman" w:cs="Times New Roman" w:eastAsia="Times New Roman" w:hAnsi="Times New Roman"/>
          <w:sz w:val="20"/>
          <w:szCs w:val="20"/>
          <w:color w:val="1E1E1E"/>
        </w:rPr>
        <w:t>As of January 31, 2026 and February 1, 2025, we have $3.9 million and $9.9 million, respectively, of long-lived assets held and used which were measured using Level 3 inputs within the fair value hierarchy.</w:t>
      </w:r>
    </w:p>
    <w:p>
      <w:pPr>
        <w:spacing w:after="0" w:line="124" w:lineRule="exact"/>
        <w:rPr>
          <w:sz w:val="20"/>
          <w:szCs w:val="20"/>
          <w:color w:val="auto"/>
        </w:rPr>
      </w:pPr>
    </w:p>
    <w:p>
      <w:pPr>
        <w:jc w:val="both"/>
        <w:ind w:left="20"/>
        <w:spacing w:after="0" w:line="326" w:lineRule="auto"/>
        <w:rPr>
          <w:sz w:val="20"/>
          <w:szCs w:val="20"/>
          <w:color w:val="auto"/>
        </w:rPr>
      </w:pPr>
      <w:r>
        <w:rPr>
          <w:rFonts w:ascii="Times New Roman" w:cs="Times New Roman" w:eastAsia="Times New Roman" w:hAnsi="Times New Roman"/>
          <w:sz w:val="20"/>
          <w:szCs w:val="20"/>
          <w:color w:val="1E1E1E"/>
        </w:rPr>
        <w:t>As of January 31, 2026 and February 1, 2025, we have $7.0 million and $6.7 million, respectively, of investments which were measured using Level 1 inputs within the fair value hierarchy.</w:t>
      </w:r>
    </w:p>
    <w:p>
      <w:pPr>
        <w:sectPr>
          <w:pgSz w:w="12240" w:h="15840" w:orient="portrait"/>
          <w:cols w:equalWidth="0" w:num="1">
            <w:col w:w="10260"/>
          </w:cols>
          <w:pgMar w:left="980" w:top="1156"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63</w:t>
      </w:r>
    </w:p>
    <w:p>
      <w:pPr>
        <w:sectPr>
          <w:pgSz w:w="12240" w:h="15840" w:orient="portrait"/>
          <w:cols w:equalWidth="0" w:num="1">
            <w:col w:w="10260"/>
          </w:cols>
          <w:pgMar w:left="980" w:top="1156" w:right="1000" w:bottom="178" w:gutter="0" w:footer="0" w:header="0"/>
          <w:type w:val="continuous"/>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Long-Term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Credit Facility</w:t>
      </w:r>
    </w:p>
    <w:p>
      <w:pPr>
        <w:spacing w:after="0" w:line="2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 xml:space="preserve">On January 16, 2026, we entered into the Fourth Amendment (the "Fourth Amendment") to the Fourth Amended and Restated Credit Agreement </w:t>
      </w:r>
      <w:r>
        <w:rPr>
          <w:rFonts w:ascii="Times New Roman" w:cs="Times New Roman" w:eastAsia="Times New Roman" w:hAnsi="Times New Roman"/>
          <w:sz w:val="20"/>
          <w:szCs w:val="20"/>
          <w:color w:val="1C1C1C"/>
        </w:rPr>
        <w:t>dated as of January 31, 2018 (as amended, the "Credit Facility" or the "Credit Agreement") by and among us,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color w:val="1C1C1C"/>
        </w:rPr>
        <w:t xml:space="preserve">certain of our subsidiaries, the lenders party thereto and Bank of America, N.A. as agent, to, </w:t>
      </w:r>
      <w:r>
        <w:rPr>
          <w:rFonts w:ascii="Times New Roman" w:cs="Times New Roman" w:eastAsia="Times New Roman" w:hAnsi="Times New Roman"/>
          <w:sz w:val="20"/>
          <w:szCs w:val="20"/>
          <w:color w:val="1E1E1E"/>
        </w:rPr>
        <w:t>among other things, extend the</w:t>
      </w:r>
      <w:r>
        <w:rPr>
          <w:rFonts w:ascii="Times New Roman" w:cs="Times New Roman" w:eastAsia="Times New Roman" w:hAnsi="Times New Roman"/>
          <w:sz w:val="20"/>
          <w:szCs w:val="20"/>
          <w:color w:val="1C1C1C"/>
        </w:rPr>
        <w:t xml:space="preserve"> </w:t>
      </w:r>
      <w:r>
        <w:rPr>
          <w:rFonts w:ascii="Times New Roman" w:cs="Times New Roman" w:eastAsia="Times New Roman" w:hAnsi="Times New Roman"/>
          <w:sz w:val="20"/>
          <w:szCs w:val="20"/>
          <w:color w:val="1E1E1E"/>
        </w:rPr>
        <w:t>maturity date to January 16, 2031. In addition, the Fourth Amendment (i) makes conforming changes to replace the Canadian Dollar Offered Rate with the Canadian Overnight Repo Rate Average ("CORRA") with respect to Canadian borrowings, and (ii) removes the credit spread adjustment and thereby reduces the Term SOFR (as defined in the Credit Agreement) interest rate with respect to domestic borrowings. The Fourth Amendment also adjusts the pricing grid for the Applicable Margin (as defined in the Credit Agreement) on our revolving credit facility by adding a new level III, with margins continuing to be based on average daily excess availability. The Total Commitments (as defined in the Credit Agreement) for the revolving loans remains at $332.5 million.</w:t>
      </w:r>
    </w:p>
    <w:p>
      <w:pPr>
        <w:spacing w:after="0" w:line="1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The Credit Facility continues to be secured by certain assets of the Company and certain subsidiaries of the Company, including accounts receivable, inventory, payment intangibles and deposit accounts. Equity interests, certain equipment, intellectual property and most leasehold interests are specifically excluded. The Credit Facility continues to provide for the borrowing base to include real estate as those assets are added or maintained as collateral and contains customary real estate covenants. As of January 31, 2026, we had outstanding revolver borrowings under the Credit Facility of $3.4 million (CAD $4.6 million) related to GCO Canada ULC. We had outstanding letters of credit of $6.2 million under the Credit Facility at January 31, 2026. These letters of credit support insurance and lease indemnifications.</w:t>
      </w:r>
    </w:p>
    <w:p>
      <w:pPr>
        <w:spacing w:after="0" w:line="1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0"/>
          <w:szCs w:val="20"/>
          <w:color w:val="1E1E1E"/>
        </w:rPr>
        <w:t>Deferred financing costs incurred in Fiscal 2026 of $1.6 million related to the amended Credit Facility were capitalized and are being amortized over the term of the new agreement. The remaining balance of deferred financing costs incurred related to the previous Credit Facility are being amortized over the term of the new agreement. These costs are included in other noncurrent assets on the Consolidated Balance Sheets.</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The Credit Facility is a revolving credit facility in the aggregate principal amount of $332.5 million, including (i) for the Company and other borrowers formed in the U.S., a $70.0 million sublimit for the issuance of letters of credit and a domestic swingline subfacility of up to $45.0 million, (ii) for GCO Canada ULC,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($332.5 million or, if increased as described above, up to $532.5 million) or the "Borrowing Base", as defined in the Credit Agreement.</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64</w:t>
      </w:r>
    </w:p>
    <w:p>
      <w:pPr>
        <w:sectPr>
          <w:pgSz w:w="12240" w:h="15840" w:orient="portrait"/>
          <w:cols w:equalWidth="0" w:num="1">
            <w:col w:w="10260"/>
          </w:cols>
          <w:pgMar w:left="1000" w:top="1156" w:right="980" w:bottom="178" w:gutter="0" w:footer="0" w:header="0"/>
          <w:type w:val="continuous"/>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8</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Long-Term Debt,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We are required to pay a commitment fee on the actual daily unused portions of the Credit Facility at a rate of 0.25% per annum.</w:t>
      </w:r>
    </w:p>
    <w:p>
      <w:pPr>
        <w:spacing w:after="0" w:line="262"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1E1E1E"/>
        </w:rPr>
        <w:t>The Credit Facility also permits us to incur senior debt in an amount up to the greater of $500.0 million or an amount that would not cause our ratio of consolidated total indebtedness to consolidated EBITDA to exceed 5.0:1.0 as of the date of incurrence (and after giving effect to any such incurrence), provided that certain terms and conditions are met.</w:t>
      </w:r>
    </w:p>
    <w:p>
      <w:pPr>
        <w:spacing w:after="0" w:line="14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51"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20"/>
          <w:szCs w:val="20"/>
          <w:color w:val="1E1E1E"/>
        </w:rPr>
        <w:t>The Credit Facility does not require us to comply with any financial covenants unless Excess Availability, as defined in the Credit Agreement, is less than the greater of $22.5 million or 10% of the loan cap. If and during such time as Excess Availability is less than the greater of $22.5 million or 10% of the loan cap, the Credit Facility requires us to have a fixed charge coverage ratio of not less than 1.0:1.0. Excess Availability was $305.7 million at January 31, 2026.</w:t>
      </w:r>
    </w:p>
    <w:p>
      <w:pPr>
        <w:spacing w:after="0" w:line="14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The Credit Facility contains customary events of default, which if any of them occurs, would permit or require the principal of and interest on the Credit Facility to be declared due and payable as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were in compliance with all the relevant terms and conditions of the Credit Facility as of January 31,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U.K. Facility Agreement</w:t>
      </w:r>
    </w:p>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1E1E1E"/>
        </w:rPr>
        <w:t>On November 2, 2022, Schuh entered into the Facility Agreement with Lloyds for a £19.0 million revolving credit facility. The Facility Agreement was extended through February 28, 2026 and bears interest at 2.35% over the SONIA Rate. The Facility Agreement was amended during the first quarter of Fiscal 2027 on February 20, 2026 to, among other things, increase the commitment of the credit facility to £20.0 million, extend the maturity date to August 20, 2027 and it will bear interest at 1.75% over the SONIA Rate. This Facility Agreement replaced Schuh's Facility Letter.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 As of January 31, 2026, we did not have any borrowings under the Schuh Facility Agreement and were in compliance with all the relevant terms and conditions of the Facility Agreement as of January 31, 2026.</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65</w:t>
      </w:r>
    </w:p>
    <w:p>
      <w:pPr>
        <w:sectPr>
          <w:pgSz w:w="12240" w:h="15840" w:orient="portrait"/>
          <w:cols w:equalWidth="0" w:num="1">
            <w:col w:w="10260"/>
          </w:cols>
          <w:pgMar w:left="1000" w:top="1156" w:right="980" w:bottom="178"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9</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Leases</w:t>
      </w:r>
    </w:p>
    <w:p>
      <w:pPr>
        <w:spacing w:after="0" w:line="247" w:lineRule="exact"/>
        <w:rPr>
          <w:sz w:val="20"/>
          <w:szCs w:val="20"/>
          <w:color w:val="auto"/>
        </w:rPr>
      </w:pPr>
    </w:p>
    <w:p>
      <w:pPr>
        <w:jc w:val="both"/>
        <w:ind w:left="20"/>
        <w:spacing w:after="0" w:line="292" w:lineRule="auto"/>
        <w:rPr>
          <w:sz w:val="20"/>
          <w:szCs w:val="20"/>
          <w:color w:val="auto"/>
        </w:rPr>
      </w:pPr>
      <w:r>
        <w:rPr>
          <w:rFonts w:ascii="Times New Roman" w:cs="Times New Roman" w:eastAsia="Times New Roman" w:hAnsi="Times New Roman"/>
          <w:sz w:val="20"/>
          <w:szCs w:val="20"/>
          <w:color w:val="1E1E1E"/>
        </w:rPr>
        <w:t>We lease our office space and all of our retail store locations, transportation equipment and other equipment under various noncancelable operating leases. The leases have varying terms and expire at various dates through 2037. The store leases in the United States, Puerto Rico and Canada typically have initial terms of approximately 10 years. The store leases in the U.K. and the ROI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We evaluate renewal options and break options at lease inception and on an ongoing basis, and include renewal options and break options that we are reasonably certain to exercise in our expected lease terms for calculations of our right-of-use assets and lease liabilities. Approximately 3% of our leases contain renewal options. Our lease agreements do not contain any material residual value guarantees or material restrictive covenants.</w:t>
      </w:r>
    </w:p>
    <w:p>
      <w:pPr>
        <w:spacing w:after="0" w:line="162" w:lineRule="exact"/>
        <w:rPr>
          <w:sz w:val="20"/>
          <w:szCs w:val="20"/>
          <w:color w:val="auto"/>
        </w:rPr>
      </w:pPr>
    </w:p>
    <w:p>
      <w:pPr>
        <w:jc w:val="both"/>
        <w:ind w:left="20" w:right="20"/>
        <w:spacing w:after="0" w:line="306" w:lineRule="auto"/>
        <w:rPr>
          <w:sz w:val="20"/>
          <w:szCs w:val="20"/>
          <w:color w:val="auto"/>
        </w:rPr>
      </w:pPr>
      <w:r>
        <w:rPr>
          <w:rFonts w:ascii="Times New Roman" w:cs="Times New Roman" w:eastAsia="Times New Roman" w:hAnsi="Times New Roman"/>
          <w:sz w:val="20"/>
          <w:szCs w:val="20"/>
          <w:color w:val="1E1E1E"/>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48" w:lineRule="exact"/>
        <w:rPr>
          <w:sz w:val="20"/>
          <w:szCs w:val="20"/>
          <w:color w:val="auto"/>
        </w:rPr>
      </w:pPr>
    </w:p>
    <w:p>
      <w:pPr>
        <w:jc w:val="both"/>
        <w:ind w:left="20"/>
        <w:spacing w:after="0" w:line="295" w:lineRule="auto"/>
        <w:rPr>
          <w:sz w:val="20"/>
          <w:szCs w:val="20"/>
          <w:color w:val="auto"/>
        </w:rPr>
      </w:pPr>
      <w:r>
        <w:rPr>
          <w:rFonts w:ascii="Times New Roman" w:cs="Times New Roman" w:eastAsia="Times New Roman" w:hAnsi="Times New Roman"/>
          <w:sz w:val="20"/>
          <w:szCs w:val="20"/>
          <w:color w:val="1E1E1E"/>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57" w:lineRule="exact"/>
        <w:rPr>
          <w:sz w:val="20"/>
          <w:szCs w:val="20"/>
          <w:color w:val="auto"/>
        </w:rPr>
      </w:pPr>
    </w:p>
    <w:p>
      <w:pPr>
        <w:jc w:val="both"/>
        <w:ind w:left="20"/>
        <w:spacing w:after="0" w:line="308" w:lineRule="auto"/>
        <w:rPr>
          <w:sz w:val="20"/>
          <w:szCs w:val="20"/>
          <w:color w:val="auto"/>
        </w:rPr>
      </w:pPr>
      <w:r>
        <w:rPr>
          <w:rFonts w:ascii="Times New Roman" w:cs="Times New Roman" w:eastAsia="Times New Roman" w:hAnsi="Times New Roman"/>
          <w:sz w:val="20"/>
          <w:szCs w:val="20"/>
          <w:color w:val="1E1E1E"/>
        </w:rPr>
        <w:t>Net lease costs are included within selling and administrative expenses on the Consolidated Statements of Operations. The table below presents the components of lease cost for operating leases for the years ended January 31, 2026, February 1, 2025 and February 3,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0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2380" w:type="dxa"/>
            <w:vAlign w:val="bottom"/>
            <w:tcBorders>
              <w:bottom w:val="single" w:sz="8" w:color="1E1E1E"/>
            </w:tcBorders>
          </w:tcPr>
          <w:p>
            <w:pPr>
              <w:spacing w:after="0"/>
              <w:rPr>
                <w:sz w:val="22"/>
                <w:szCs w:val="22"/>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Fiscal 2026</w:t>
            </w:r>
          </w:p>
        </w:tc>
        <w:tc>
          <w:tcPr>
            <w:tcW w:w="220" w:type="dxa"/>
            <w:vAlign w:val="bottom"/>
            <w:tcBorders>
              <w:bottom w:val="single" w:sz="8" w:color="1E1E1E"/>
            </w:tcBorders>
          </w:tcPr>
          <w:p>
            <w:pPr>
              <w:spacing w:after="0"/>
              <w:rPr>
                <w:sz w:val="22"/>
                <w:szCs w:val="22"/>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Fiscal 2025</w:t>
            </w:r>
          </w:p>
        </w:tc>
        <w:tc>
          <w:tcPr>
            <w:tcW w:w="220" w:type="dxa"/>
            <w:vAlign w:val="bottom"/>
            <w:tcBorders>
              <w:bottom w:val="single" w:sz="8" w:color="1E1E1E"/>
            </w:tcBorders>
          </w:tcPr>
          <w:p>
            <w:pPr>
              <w:spacing w:after="0"/>
              <w:rPr>
                <w:sz w:val="22"/>
                <w:szCs w:val="22"/>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Fiscal 2024</w:t>
            </w:r>
          </w:p>
        </w:tc>
      </w:tr>
      <w:tr>
        <w:trPr>
          <w:trHeight w:val="220"/>
        </w:trPr>
        <w:tc>
          <w:tcPr>
            <w:tcW w:w="20" w:type="dxa"/>
            <w:vAlign w:val="bottom"/>
          </w:tcPr>
          <w:p>
            <w:pPr>
              <w:spacing w:after="0"/>
              <w:rPr>
                <w:sz w:val="19"/>
                <w:szCs w:val="19"/>
                <w:color w:val="auto"/>
              </w:rPr>
            </w:pPr>
          </w:p>
        </w:tc>
        <w:tc>
          <w:tcPr>
            <w:tcW w:w="40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Operating lease cost</w:t>
            </w:r>
          </w:p>
        </w:tc>
        <w:tc>
          <w:tcPr>
            <w:tcW w:w="23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169,964</w:t>
            </w:r>
          </w:p>
        </w:tc>
        <w:tc>
          <w:tcPr>
            <w:tcW w:w="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w w:val="99"/>
              </w:rPr>
              <w:t>$</w:t>
            </w:r>
          </w:p>
        </w:tc>
        <w:tc>
          <w:tcPr>
            <w:tcW w:w="11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157,322</w:t>
            </w:r>
          </w:p>
        </w:tc>
        <w:tc>
          <w:tcPr>
            <w:tcW w:w="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w w:val="99"/>
              </w:rPr>
              <w:t>$</w:t>
            </w:r>
          </w:p>
        </w:tc>
        <w:tc>
          <w:tcPr>
            <w:tcW w:w="11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164,355</w:t>
            </w:r>
          </w:p>
        </w:tc>
      </w:tr>
      <w:tr>
        <w:trPr>
          <w:trHeight w:val="230"/>
        </w:trPr>
        <w:tc>
          <w:tcPr>
            <w:tcW w:w="20" w:type="dxa"/>
            <w:vAlign w:val="bottom"/>
          </w:tcPr>
          <w:p>
            <w:pPr>
              <w:spacing w:after="0"/>
              <w:rPr>
                <w:sz w:val="20"/>
                <w:szCs w:val="20"/>
                <w:color w:val="auto"/>
              </w:rPr>
            </w:pPr>
          </w:p>
        </w:tc>
        <w:tc>
          <w:tcPr>
            <w:tcW w:w="40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Variable lease cost</w:t>
            </w:r>
          </w:p>
        </w:tc>
        <w:tc>
          <w:tcPr>
            <w:tcW w:w="238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14,756</w:t>
            </w:r>
          </w:p>
        </w:tc>
        <w:tc>
          <w:tcPr>
            <w:tcW w:w="220" w:type="dxa"/>
            <w:vAlign w:val="bottom"/>
            <w:shd w:val="clear" w:color="auto" w:fill="E4E4E4"/>
          </w:tcPr>
          <w:p>
            <w:pPr>
              <w:spacing w:after="0"/>
              <w:rPr>
                <w:sz w:val="20"/>
                <w:szCs w:val="20"/>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11,702</w:t>
            </w:r>
          </w:p>
        </w:tc>
        <w:tc>
          <w:tcPr>
            <w:tcW w:w="220" w:type="dxa"/>
            <w:vAlign w:val="bottom"/>
            <w:shd w:val="clear" w:color="auto" w:fill="E4E4E4"/>
          </w:tcPr>
          <w:p>
            <w:pPr>
              <w:spacing w:after="0"/>
              <w:rPr>
                <w:sz w:val="20"/>
                <w:szCs w:val="20"/>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14,582</w:t>
            </w:r>
          </w:p>
        </w:tc>
      </w:tr>
      <w:tr>
        <w:trPr>
          <w:trHeight w:val="230"/>
        </w:trPr>
        <w:tc>
          <w:tcPr>
            <w:tcW w:w="20" w:type="dxa"/>
            <w:vAlign w:val="bottom"/>
          </w:tcPr>
          <w:p>
            <w:pPr>
              <w:spacing w:after="0"/>
              <w:rPr>
                <w:sz w:val="20"/>
                <w:szCs w:val="20"/>
                <w:color w:val="auto"/>
              </w:rPr>
            </w:pPr>
          </w:p>
        </w:tc>
        <w:tc>
          <w:tcPr>
            <w:tcW w:w="40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Less: Sublease income</w:t>
            </w:r>
          </w:p>
        </w:tc>
        <w:tc>
          <w:tcPr>
            <w:tcW w:w="238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(148)</w:t>
            </w:r>
          </w:p>
        </w:tc>
        <w:tc>
          <w:tcPr>
            <w:tcW w:w="22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2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(173)</w:t>
            </w:r>
          </w:p>
        </w:tc>
      </w:tr>
      <w:tr>
        <w:trPr>
          <w:trHeight w:val="220"/>
        </w:trPr>
        <w:tc>
          <w:tcPr>
            <w:tcW w:w="20" w:type="dxa"/>
            <w:vAlign w:val="bottom"/>
            <w:tcBorders>
              <w:bottom w:val="single" w:sz="8" w:color="1E1E1E"/>
            </w:tcBorders>
          </w:tcPr>
          <w:p>
            <w:pPr>
              <w:spacing w:after="0"/>
              <w:rPr>
                <w:sz w:val="19"/>
                <w:szCs w:val="19"/>
                <w:color w:val="auto"/>
              </w:rPr>
            </w:pPr>
          </w:p>
        </w:tc>
        <w:tc>
          <w:tcPr>
            <w:tcW w:w="404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Net Lease Cost</w:t>
            </w:r>
          </w:p>
        </w:tc>
        <w:tc>
          <w:tcPr>
            <w:tcW w:w="23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184,572</w:t>
            </w:r>
          </w:p>
        </w:tc>
        <w:tc>
          <w:tcPr>
            <w:tcW w:w="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99"/>
              </w:rPr>
              <w:t>$</w:t>
            </w:r>
          </w:p>
        </w:tc>
        <w:tc>
          <w:tcPr>
            <w:tcW w:w="11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169,007</w:t>
            </w:r>
          </w:p>
        </w:tc>
        <w:tc>
          <w:tcPr>
            <w:tcW w:w="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99"/>
              </w:rPr>
              <w:t>$</w:t>
            </w:r>
          </w:p>
        </w:tc>
        <w:tc>
          <w:tcPr>
            <w:tcW w:w="11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178,764</w:t>
            </w:r>
          </w:p>
        </w:tc>
      </w:tr>
    </w:tbl>
    <w:p>
      <w:pPr>
        <w:spacing w:after="0" w:line="200" w:lineRule="exact"/>
        <w:rPr>
          <w:sz w:val="20"/>
          <w:szCs w:val="20"/>
          <w:color w:val="auto"/>
        </w:rPr>
      </w:pP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66</w:t>
      </w:r>
    </w:p>
    <w:p>
      <w:pPr>
        <w:sectPr>
          <w:pgSz w:w="12240" w:h="15840" w:orient="portrait"/>
          <w:cols w:equalWidth="0" w:num="1">
            <w:col w:w="10280"/>
          </w:cols>
          <w:pgMar w:left="980" w:top="1156" w:right="980" w:bottom="178" w:gutter="0" w:footer="0" w:header="0"/>
          <w:type w:val="continuous"/>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9</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Leases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following table reconciles the maturities of undiscounted cash flows to our operating lease liabilities recorded on the</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Consolidated Balance Sheets at January 31, 2026:</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8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Fiscal Years</w:t>
            </w:r>
          </w:p>
        </w:tc>
        <w:tc>
          <w:tcPr>
            <w:tcW w:w="540" w:type="dxa"/>
            <w:vAlign w:val="bottom"/>
            <w:tcBorders>
              <w:bottom w:val="single" w:sz="8" w:color="1E1E1E"/>
            </w:tcBorders>
          </w:tcPr>
          <w:p>
            <w:pPr>
              <w:spacing w:after="0"/>
              <w:rPr>
                <w:sz w:val="22"/>
                <w:szCs w:val="22"/>
                <w:color w:val="auto"/>
              </w:rPr>
            </w:pPr>
          </w:p>
        </w:tc>
        <w:tc>
          <w:tcPr>
            <w:tcW w:w="1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(In thousands)</w:t>
            </w:r>
          </w:p>
        </w:tc>
      </w:tr>
      <w:tr>
        <w:trPr>
          <w:trHeight w:val="220"/>
        </w:trPr>
        <w:tc>
          <w:tcPr>
            <w:tcW w:w="20" w:type="dxa"/>
            <w:vAlign w:val="bottom"/>
          </w:tcPr>
          <w:p>
            <w:pPr>
              <w:spacing w:after="0"/>
              <w:rPr>
                <w:sz w:val="19"/>
                <w:szCs w:val="19"/>
                <w:color w:val="auto"/>
              </w:rPr>
            </w:pPr>
          </w:p>
        </w:tc>
        <w:tc>
          <w:tcPr>
            <w:tcW w:w="82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2027</w:t>
            </w:r>
          </w:p>
        </w:tc>
        <w:tc>
          <w:tcPr>
            <w:tcW w:w="540" w:type="dxa"/>
            <w:vAlign w:val="bottom"/>
            <w:shd w:val="clear" w:color="auto" w:fill="E4E4E4"/>
          </w:tcPr>
          <w:p>
            <w:pPr>
              <w:jc w:val="right"/>
              <w:ind w:right="159"/>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4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146,527</w:t>
            </w: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20"/>
                <w:szCs w:val="20"/>
                <w:color w:val="1E1E1E"/>
              </w:rPr>
              <w:t>2028</w:t>
            </w:r>
          </w:p>
        </w:tc>
        <w:tc>
          <w:tcPr>
            <w:tcW w:w="5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107,566</w:t>
            </w:r>
          </w:p>
        </w:tc>
      </w:tr>
      <w:tr>
        <w:trPr>
          <w:trHeight w:val="230"/>
        </w:trPr>
        <w:tc>
          <w:tcPr>
            <w:tcW w:w="20" w:type="dxa"/>
            <w:vAlign w:val="bottom"/>
          </w:tcPr>
          <w:p>
            <w:pPr>
              <w:spacing w:after="0"/>
              <w:rPr>
                <w:sz w:val="20"/>
                <w:szCs w:val="20"/>
                <w:color w:val="auto"/>
              </w:rPr>
            </w:pPr>
          </w:p>
        </w:tc>
        <w:tc>
          <w:tcPr>
            <w:tcW w:w="8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2029</w:t>
            </w:r>
          </w:p>
        </w:tc>
        <w:tc>
          <w:tcPr>
            <w:tcW w:w="540" w:type="dxa"/>
            <w:vAlign w:val="bottom"/>
            <w:shd w:val="clear" w:color="auto" w:fill="E4E4E4"/>
          </w:tcPr>
          <w:p>
            <w:pPr>
              <w:spacing w:after="0"/>
              <w:rPr>
                <w:sz w:val="20"/>
                <w:szCs w:val="20"/>
                <w:color w:val="auto"/>
              </w:rPr>
            </w:pPr>
          </w:p>
        </w:tc>
        <w:tc>
          <w:tcPr>
            <w:tcW w:w="1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80,951</w:t>
            </w: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20"/>
                <w:szCs w:val="20"/>
                <w:color w:val="1E1E1E"/>
              </w:rPr>
              <w:t>2030</w:t>
            </w:r>
          </w:p>
        </w:tc>
        <w:tc>
          <w:tcPr>
            <w:tcW w:w="5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68,815</w:t>
            </w:r>
          </w:p>
        </w:tc>
      </w:tr>
      <w:tr>
        <w:trPr>
          <w:trHeight w:val="230"/>
        </w:trPr>
        <w:tc>
          <w:tcPr>
            <w:tcW w:w="20" w:type="dxa"/>
            <w:vAlign w:val="bottom"/>
          </w:tcPr>
          <w:p>
            <w:pPr>
              <w:spacing w:after="0"/>
              <w:rPr>
                <w:sz w:val="20"/>
                <w:szCs w:val="20"/>
                <w:color w:val="auto"/>
              </w:rPr>
            </w:pPr>
          </w:p>
        </w:tc>
        <w:tc>
          <w:tcPr>
            <w:tcW w:w="8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2031</w:t>
            </w:r>
          </w:p>
        </w:tc>
        <w:tc>
          <w:tcPr>
            <w:tcW w:w="540" w:type="dxa"/>
            <w:vAlign w:val="bottom"/>
            <w:shd w:val="clear" w:color="auto" w:fill="E4E4E4"/>
          </w:tcPr>
          <w:p>
            <w:pPr>
              <w:spacing w:after="0"/>
              <w:rPr>
                <w:sz w:val="20"/>
                <w:szCs w:val="20"/>
                <w:color w:val="auto"/>
              </w:rPr>
            </w:pPr>
          </w:p>
        </w:tc>
        <w:tc>
          <w:tcPr>
            <w:tcW w:w="14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60,093</w:t>
            </w:r>
          </w:p>
        </w:tc>
      </w:tr>
      <w:tr>
        <w:trPr>
          <w:trHeight w:val="230"/>
        </w:trPr>
        <w:tc>
          <w:tcPr>
            <w:tcW w:w="20" w:type="dxa"/>
            <w:vAlign w:val="bottom"/>
          </w:tcPr>
          <w:p>
            <w:pPr>
              <w:spacing w:after="0"/>
              <w:rPr>
                <w:sz w:val="20"/>
                <w:szCs w:val="20"/>
                <w:color w:val="auto"/>
              </w:rPr>
            </w:pPr>
          </w:p>
        </w:tc>
        <w:tc>
          <w:tcPr>
            <w:tcW w:w="8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540" w:type="dxa"/>
            <w:vAlign w:val="bottom"/>
            <w:tcBorders>
              <w:bottom w:val="single" w:sz="8" w:color="1E1E1E"/>
            </w:tcBorders>
          </w:tcPr>
          <w:p>
            <w:pPr>
              <w:spacing w:after="0"/>
              <w:rPr>
                <w:sz w:val="20"/>
                <w:szCs w:val="20"/>
                <w:color w:val="auto"/>
              </w:rPr>
            </w:pPr>
          </w:p>
        </w:tc>
        <w:tc>
          <w:tcPr>
            <w:tcW w:w="1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164,066</w:t>
            </w:r>
          </w:p>
        </w:tc>
      </w:tr>
      <w:tr>
        <w:trPr>
          <w:trHeight w:val="215"/>
        </w:trPr>
        <w:tc>
          <w:tcPr>
            <w:tcW w:w="20" w:type="dxa"/>
            <w:vAlign w:val="bottom"/>
          </w:tcPr>
          <w:p>
            <w:pPr>
              <w:spacing w:after="0"/>
              <w:rPr>
                <w:sz w:val="18"/>
                <w:szCs w:val="18"/>
                <w:color w:val="auto"/>
              </w:rPr>
            </w:pPr>
          </w:p>
        </w:tc>
        <w:tc>
          <w:tcPr>
            <w:tcW w:w="8220" w:type="dxa"/>
            <w:vAlign w:val="bottom"/>
            <w:shd w:val="clear" w:color="auto" w:fill="E4E4E4"/>
          </w:tcPr>
          <w:p>
            <w:pPr>
              <w:spacing w:after="0" w:line="215" w:lineRule="exact"/>
              <w:rPr>
                <w:sz w:val="20"/>
                <w:szCs w:val="20"/>
                <w:color w:val="auto"/>
              </w:rPr>
            </w:pPr>
            <w:r>
              <w:rPr>
                <w:rFonts w:ascii="Times New Roman" w:cs="Times New Roman" w:eastAsia="Times New Roman" w:hAnsi="Times New Roman"/>
                <w:sz w:val="20"/>
                <w:szCs w:val="20"/>
                <w:color w:val="1E1E1E"/>
              </w:rPr>
              <w:t>Total undiscounted future minimum lease payments</w:t>
            </w:r>
          </w:p>
        </w:tc>
        <w:tc>
          <w:tcPr>
            <w:tcW w:w="540" w:type="dxa"/>
            <w:vAlign w:val="bottom"/>
            <w:shd w:val="clear" w:color="auto" w:fill="E4E4E4"/>
          </w:tcPr>
          <w:p>
            <w:pPr>
              <w:spacing w:after="0"/>
              <w:rPr>
                <w:sz w:val="18"/>
                <w:szCs w:val="18"/>
                <w:color w:val="auto"/>
              </w:rPr>
            </w:pPr>
          </w:p>
        </w:tc>
        <w:tc>
          <w:tcPr>
            <w:tcW w:w="1480" w:type="dxa"/>
            <w:vAlign w:val="bottom"/>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1E1E1E"/>
              </w:rPr>
              <w:t>628,018</w:t>
            </w:r>
          </w:p>
        </w:tc>
      </w:tr>
      <w:tr>
        <w:trPr>
          <w:trHeight w:val="230"/>
        </w:trPr>
        <w:tc>
          <w:tcPr>
            <w:tcW w:w="20" w:type="dxa"/>
            <w:vAlign w:val="bottom"/>
          </w:tcPr>
          <w:p>
            <w:pPr>
              <w:spacing w:after="0"/>
              <w:rPr>
                <w:sz w:val="20"/>
                <w:szCs w:val="20"/>
                <w:color w:val="auto"/>
              </w:rPr>
            </w:pPr>
          </w:p>
        </w:tc>
        <w:tc>
          <w:tcPr>
            <w:tcW w:w="82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Less: Amounts representing interest</w:t>
            </w:r>
          </w:p>
        </w:tc>
        <w:tc>
          <w:tcPr>
            <w:tcW w:w="540" w:type="dxa"/>
            <w:vAlign w:val="bottom"/>
            <w:tcBorders>
              <w:bottom w:val="single" w:sz="8" w:color="1E1E1E"/>
            </w:tcBorders>
          </w:tcPr>
          <w:p>
            <w:pPr>
              <w:spacing w:after="0"/>
              <w:rPr>
                <w:sz w:val="20"/>
                <w:szCs w:val="20"/>
                <w:color w:val="auto"/>
              </w:rPr>
            </w:pPr>
          </w:p>
        </w:tc>
        <w:tc>
          <w:tcPr>
            <w:tcW w:w="1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(110,014)</w:t>
            </w:r>
          </w:p>
        </w:tc>
      </w:tr>
      <w:tr>
        <w:trPr>
          <w:trHeight w:val="222"/>
        </w:trPr>
        <w:tc>
          <w:tcPr>
            <w:tcW w:w="20" w:type="dxa"/>
            <w:vAlign w:val="bottom"/>
            <w:tcBorders>
              <w:bottom w:val="single" w:sz="8" w:color="1E1E1E"/>
            </w:tcBorders>
          </w:tcPr>
          <w:p>
            <w:pPr>
              <w:spacing w:after="0"/>
              <w:rPr>
                <w:sz w:val="19"/>
                <w:szCs w:val="19"/>
                <w:color w:val="auto"/>
              </w:rPr>
            </w:pPr>
          </w:p>
        </w:tc>
        <w:tc>
          <w:tcPr>
            <w:tcW w:w="8220" w:type="dxa"/>
            <w:vAlign w:val="bottom"/>
            <w:tcBorders>
              <w:bottom w:val="single" w:sz="8" w:color="1E1E1E"/>
            </w:tcBorders>
            <w:shd w:val="clear" w:color="auto" w:fill="E4E4E4"/>
          </w:tcPr>
          <w:p>
            <w:pPr>
              <w:spacing w:after="0" w:line="223" w:lineRule="exact"/>
              <w:rPr>
                <w:sz w:val="20"/>
                <w:szCs w:val="20"/>
                <w:color w:val="auto"/>
              </w:rPr>
            </w:pPr>
            <w:r>
              <w:rPr>
                <w:rFonts w:ascii="Times New Roman" w:cs="Times New Roman" w:eastAsia="Times New Roman" w:hAnsi="Times New Roman"/>
                <w:sz w:val="20"/>
                <w:szCs w:val="20"/>
                <w:b w:val="1"/>
                <w:bCs w:val="1"/>
                <w:color w:val="1E1E1E"/>
              </w:rPr>
              <w:t>Total Present Value of Operating Lease Liabilities</w:t>
            </w:r>
          </w:p>
        </w:tc>
        <w:tc>
          <w:tcPr>
            <w:tcW w:w="540" w:type="dxa"/>
            <w:vAlign w:val="bottom"/>
            <w:tcBorders>
              <w:bottom w:val="single" w:sz="8" w:color="1E1E1E"/>
            </w:tcBorders>
            <w:shd w:val="clear" w:color="auto" w:fill="E4E4E4"/>
          </w:tcPr>
          <w:p>
            <w:pPr>
              <w:jc w:val="right"/>
              <w:ind w:right="159"/>
              <w:spacing w:after="0" w:line="223" w:lineRule="exact"/>
              <w:rPr>
                <w:sz w:val="20"/>
                <w:szCs w:val="20"/>
                <w:color w:val="auto"/>
              </w:rPr>
            </w:pPr>
            <w:r>
              <w:rPr>
                <w:rFonts w:ascii="Times New Roman" w:cs="Times New Roman" w:eastAsia="Times New Roman" w:hAnsi="Times New Roman"/>
                <w:sz w:val="20"/>
                <w:szCs w:val="20"/>
                <w:b w:val="1"/>
                <w:bCs w:val="1"/>
                <w:color w:val="1E1E1E"/>
              </w:rPr>
              <w:t>$</w:t>
            </w:r>
          </w:p>
        </w:tc>
        <w:tc>
          <w:tcPr>
            <w:tcW w:w="1480" w:type="dxa"/>
            <w:vAlign w:val="bottom"/>
            <w:tcBorders>
              <w:bottom w:val="single" w:sz="8" w:color="1E1E1E"/>
            </w:tcBorders>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E1E1E"/>
              </w:rPr>
              <w:t>518,004</w:t>
            </w: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8220" w:type="dxa"/>
            <w:vAlign w:val="bottom"/>
            <w:tcBorders>
              <w:bottom w:val="single" w:sz="8" w:color="1E1E1E"/>
            </w:tcBorders>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1480" w:type="dxa"/>
            <w:vAlign w:val="bottom"/>
            <w:tcBorders>
              <w:bottom w:val="single" w:sz="8" w:color="1E1E1E"/>
            </w:tcBorders>
          </w:tcPr>
          <w:p>
            <w:pPr>
              <w:spacing w:after="0" w:line="20" w:lineRule="exact"/>
              <w:rPr>
                <w:sz w:val="1"/>
                <w:szCs w:val="1"/>
                <w:color w:val="auto"/>
              </w:rPr>
            </w:pPr>
          </w:p>
        </w:tc>
      </w:tr>
    </w:tbl>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Our weighted-average remaining lease term and weighted-average discount rate for operating leases as of January 31, 2026 and</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1E1E1E"/>
              </w:rPr>
              <w:t>February 1, 2025 are:</w:t>
            </w:r>
          </w:p>
        </w:tc>
        <w:tc>
          <w:tcPr>
            <w:tcW w:w="17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2"/>
        </w:trPr>
        <w:tc>
          <w:tcPr>
            <w:tcW w:w="7080" w:type="dxa"/>
            <w:vAlign w:val="bottom"/>
          </w:tcPr>
          <w:p>
            <w:pPr>
              <w:spacing w:after="0"/>
              <w:rPr>
                <w:sz w:val="22"/>
                <w:szCs w:val="22"/>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w w:val="99"/>
              </w:rPr>
              <w:t>February 1, 2025</w:t>
            </w:r>
          </w:p>
        </w:tc>
      </w:tr>
      <w:tr>
        <w:trPr>
          <w:trHeight w:val="220"/>
        </w:trPr>
        <w:tc>
          <w:tcPr>
            <w:tcW w:w="70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Weighted-average remaining lease term (years)</w:t>
            </w:r>
          </w:p>
        </w:tc>
        <w:tc>
          <w:tcPr>
            <w:tcW w:w="1720" w:type="dxa"/>
            <w:vAlign w:val="bottom"/>
            <w:tcBorders>
              <w:top w:val="single" w:sz="8" w:color="1E1E1E"/>
            </w:tcBorders>
            <w:shd w:val="clear" w:color="auto" w:fill="E4E4E4"/>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1E1E1E"/>
              </w:rPr>
              <w:t>6.4 years</w:t>
            </w:r>
          </w:p>
        </w:tc>
        <w:tc>
          <w:tcPr>
            <w:tcW w:w="1440" w:type="dxa"/>
            <w:vAlign w:val="bottom"/>
            <w:tcBorders>
              <w:top w:val="single" w:sz="8" w:color="1E1E1E"/>
            </w:tcBorders>
            <w:shd w:val="clear" w:color="auto" w:fill="E4E4E4"/>
          </w:tcPr>
          <w:p>
            <w:pPr>
              <w:jc w:val="center"/>
              <w:spacing w:after="0" w:line="220" w:lineRule="exact"/>
              <w:rPr>
                <w:sz w:val="20"/>
                <w:szCs w:val="20"/>
                <w:color w:val="auto"/>
              </w:rPr>
            </w:pPr>
            <w:r>
              <w:rPr>
                <w:rFonts w:ascii="Times New Roman" w:cs="Times New Roman" w:eastAsia="Times New Roman" w:hAnsi="Times New Roman"/>
                <w:sz w:val="20"/>
                <w:szCs w:val="20"/>
                <w:color w:val="1E1E1E"/>
                <w:w w:val="99"/>
              </w:rPr>
              <w:t>5.8 years</w:t>
            </w:r>
          </w:p>
        </w:tc>
        <w:tc>
          <w:tcPr>
            <w:tcW w:w="20" w:type="dxa"/>
            <w:vAlign w:val="bottom"/>
          </w:tcPr>
          <w:p>
            <w:pPr>
              <w:spacing w:after="0"/>
              <w:rPr>
                <w:sz w:val="19"/>
                <w:szCs w:val="19"/>
                <w:color w:val="auto"/>
              </w:rPr>
            </w:pPr>
          </w:p>
        </w:tc>
      </w:tr>
      <w:tr>
        <w:trPr>
          <w:trHeight w:val="278"/>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1E1E1E"/>
              </w:rPr>
              <w:t>Weighted-average discount rate</w:t>
            </w:r>
          </w:p>
        </w:tc>
        <w:tc>
          <w:tcPr>
            <w:tcW w:w="1720" w:type="dxa"/>
            <w:vAlign w:val="bottom"/>
          </w:tcPr>
          <w:p>
            <w:pPr>
              <w:jc w:val="right"/>
              <w:ind w:right="579"/>
              <w:spacing w:after="0"/>
              <w:rPr>
                <w:sz w:val="20"/>
                <w:szCs w:val="20"/>
                <w:color w:val="auto"/>
              </w:rPr>
            </w:pPr>
            <w:r>
              <w:rPr>
                <w:rFonts w:ascii="Times New Roman" w:cs="Times New Roman" w:eastAsia="Times New Roman" w:hAnsi="Times New Roman"/>
                <w:sz w:val="20"/>
                <w:szCs w:val="20"/>
                <w:b w:val="1"/>
                <w:bCs w:val="1"/>
                <w:color w:val="1E1E1E"/>
              </w:rPr>
              <w:t>5.8%</w:t>
            </w:r>
          </w:p>
        </w:tc>
        <w:tc>
          <w:tcPr>
            <w:tcW w:w="1440" w:type="dxa"/>
            <w:vAlign w:val="bottom"/>
          </w:tcPr>
          <w:p>
            <w:pPr>
              <w:jc w:val="right"/>
              <w:ind w:right="459"/>
              <w:spacing w:after="0"/>
              <w:rPr>
                <w:sz w:val="20"/>
                <w:szCs w:val="20"/>
                <w:color w:val="auto"/>
              </w:rPr>
            </w:pPr>
            <w:r>
              <w:rPr>
                <w:rFonts w:ascii="Times New Roman" w:cs="Times New Roman" w:eastAsia="Times New Roman" w:hAnsi="Times New Roman"/>
                <w:sz w:val="20"/>
                <w:szCs w:val="20"/>
                <w:color w:val="1E1E1E"/>
              </w:rPr>
              <w:t>5.6%</w:t>
            </w:r>
          </w:p>
        </w:tc>
        <w:tc>
          <w:tcPr>
            <w:tcW w:w="20" w:type="dxa"/>
            <w:vAlign w:val="bottom"/>
          </w:tcPr>
          <w:p>
            <w:pPr>
              <w:spacing w:after="0"/>
              <w:rPr>
                <w:sz w:val="24"/>
                <w:szCs w:val="24"/>
                <w:color w:val="auto"/>
              </w:rPr>
            </w:pPr>
          </w:p>
        </w:tc>
      </w:tr>
    </w:tbl>
    <w:p>
      <w:pPr>
        <w:spacing w:after="0" w:line="132" w:lineRule="exact"/>
        <w:rPr>
          <w:sz w:val="20"/>
          <w:szCs w:val="20"/>
          <w:color w:val="auto"/>
        </w:rPr>
      </w:pPr>
    </w:p>
    <w:p>
      <w:pPr>
        <w:jc w:val="both"/>
        <w:ind w:left="20"/>
        <w:spacing w:after="0" w:line="356" w:lineRule="auto"/>
        <w:rPr>
          <w:sz w:val="20"/>
          <w:szCs w:val="20"/>
          <w:color w:val="auto"/>
        </w:rPr>
      </w:pPr>
      <w:r>
        <w:rPr>
          <w:rFonts w:ascii="Times New Roman" w:cs="Times New Roman" w:eastAsia="Times New Roman" w:hAnsi="Times New Roman"/>
          <w:sz w:val="19"/>
          <w:szCs w:val="19"/>
          <w:color w:val="1E1E1E"/>
        </w:rPr>
        <w:t>As of January 31, 2026, we have additional operating leases and lease renewals that have not yet commenced with estimated right of use liabilities of $55.8 million. These leases will commence in Fiscal 2027 and Fiscal 2028 with lease terms of 1 to 10 years.</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10</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Equity</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1E1E1E"/>
        </w:rPr>
        <w:t>Non-Redeemable Preferred Stock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560" w:type="dxa"/>
            <w:vAlign w:val="bottom"/>
            <w:tcBorders>
              <w:bottom w:val="single" w:sz="8" w:color="1E1E1E"/>
            </w:tcBorders>
            <w:gridSpan w:val="3"/>
          </w:tcPr>
          <w:p>
            <w:pPr>
              <w:jc w:val="right"/>
              <w:ind w:right="99"/>
              <w:spacing w:after="0"/>
              <w:rPr>
                <w:sz w:val="20"/>
                <w:szCs w:val="20"/>
                <w:color w:val="auto"/>
              </w:rPr>
            </w:pPr>
            <w:r>
              <w:rPr>
                <w:rFonts w:ascii="Times New Roman" w:cs="Times New Roman" w:eastAsia="Times New Roman" w:hAnsi="Times New Roman"/>
                <w:sz w:val="20"/>
                <w:szCs w:val="20"/>
                <w:b w:val="1"/>
                <w:bCs w:val="1"/>
                <w:color w:val="1E1E1E"/>
              </w:rPr>
              <w:t>Number of Shares</w:t>
            </w:r>
          </w:p>
        </w:tc>
        <w:tc>
          <w:tcPr>
            <w:tcW w:w="640" w:type="dxa"/>
            <w:vAlign w:val="bottom"/>
            <w:tcBorders>
              <w:bottom w:val="single" w:sz="8" w:color="1E1E1E"/>
            </w:tcBorders>
          </w:tcPr>
          <w:p>
            <w:pPr>
              <w:spacing w:after="0"/>
              <w:rPr>
                <w:sz w:val="22"/>
                <w:szCs w:val="22"/>
                <w:color w:val="auto"/>
              </w:rPr>
            </w:pPr>
          </w:p>
        </w:tc>
        <w:tc>
          <w:tcPr>
            <w:tcW w:w="360" w:type="dxa"/>
            <w:vAlign w:val="bottom"/>
            <w:tcBorders>
              <w:bottom w:val="single" w:sz="8" w:color="1E1E1E"/>
            </w:tcBorders>
          </w:tcPr>
          <w:p>
            <w:pPr>
              <w:spacing w:after="0"/>
              <w:rPr>
                <w:sz w:val="22"/>
                <w:szCs w:val="22"/>
                <w:color w:val="auto"/>
              </w:rPr>
            </w:pPr>
          </w:p>
        </w:tc>
        <w:tc>
          <w:tcPr>
            <w:tcW w:w="222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1E1E1E"/>
              </w:rPr>
              <w:t>Amounts in Thousands</w:t>
            </w:r>
          </w:p>
        </w:tc>
        <w:tc>
          <w:tcPr>
            <w:tcW w:w="56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20" w:type="dxa"/>
            <w:vAlign w:val="bottom"/>
            <w:vMerge w:val="restart"/>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Shares</w:t>
            </w:r>
          </w:p>
        </w:tc>
        <w:tc>
          <w:tcPr>
            <w:tcW w:w="2560" w:type="dxa"/>
            <w:vAlign w:val="bottom"/>
            <w:tcBorders>
              <w:bottom w:val="single" w:sz="8" w:color="1E1E1E"/>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As of Fiscal Year End</w:t>
            </w:r>
          </w:p>
        </w:tc>
        <w:tc>
          <w:tcPr>
            <w:tcW w:w="640" w:type="dxa"/>
            <w:vAlign w:val="bottom"/>
            <w:tcBorders>
              <w:bottom w:val="single" w:sz="8" w:color="1E1E1E"/>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2220" w:type="dxa"/>
            <w:vAlign w:val="bottom"/>
            <w:tcBorders>
              <w:bottom w:val="single" w:sz="8" w:color="1E1E1E"/>
            </w:tcBorders>
            <w:gridSpan w:val="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As of Fiscal Year End</w:t>
            </w:r>
          </w:p>
        </w:tc>
        <w:tc>
          <w:tcPr>
            <w:tcW w:w="560" w:type="dxa"/>
            <w:vAlign w:val="bottom"/>
            <w:tcBorders>
              <w:bottom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Class</w:t>
            </w:r>
          </w:p>
        </w:tc>
        <w:tc>
          <w:tcPr>
            <w:tcW w:w="1220" w:type="dxa"/>
            <w:vAlign w:val="bottom"/>
            <w:tcBorders>
              <w:bottom w:val="single" w:sz="8" w:color="1E1E1E"/>
            </w:tcBorders>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Authorized</w:t>
            </w:r>
          </w:p>
        </w:tc>
        <w:tc>
          <w:tcPr>
            <w:tcW w:w="1060" w:type="dxa"/>
            <w:vAlign w:val="bottom"/>
            <w:tcBorders>
              <w:bottom w:val="single" w:sz="8" w:color="1E1E1E"/>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1500" w:type="dxa"/>
            <w:vAlign w:val="bottom"/>
            <w:tcBorders>
              <w:bottom w:val="single" w:sz="8" w:color="1E1E1E"/>
            </w:tcBorders>
          </w:tcPr>
          <w:p>
            <w:pPr>
              <w:jc w:val="right"/>
              <w:ind w:right="419"/>
              <w:spacing w:after="0"/>
              <w:rPr>
                <w:sz w:val="20"/>
                <w:szCs w:val="20"/>
                <w:color w:val="auto"/>
              </w:rPr>
            </w:pPr>
            <w:r>
              <w:rPr>
                <w:rFonts w:ascii="Times New Roman" w:cs="Times New Roman" w:eastAsia="Times New Roman" w:hAnsi="Times New Roman"/>
                <w:sz w:val="20"/>
                <w:szCs w:val="20"/>
                <w:color w:val="1E1E1E"/>
              </w:rPr>
              <w:t>2025</w:t>
            </w:r>
          </w:p>
        </w:tc>
        <w:tc>
          <w:tcPr>
            <w:tcW w:w="6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360" w:type="dxa"/>
            <w:vAlign w:val="bottom"/>
            <w:tcBorders>
              <w:bottom w:val="single" w:sz="8" w:color="1E1E1E"/>
            </w:tcBorders>
          </w:tcPr>
          <w:p>
            <w:pPr>
              <w:spacing w:after="0"/>
              <w:rPr>
                <w:sz w:val="22"/>
                <w:szCs w:val="22"/>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360" w:type="dxa"/>
            <w:vAlign w:val="bottom"/>
            <w:tcBorders>
              <w:bottom w:val="single" w:sz="8" w:color="1E1E1E"/>
            </w:tcBorders>
          </w:tcPr>
          <w:p>
            <w:pPr>
              <w:spacing w:after="0"/>
              <w:rPr>
                <w:sz w:val="22"/>
                <w:szCs w:val="22"/>
                <w:color w:val="auto"/>
              </w:rPr>
            </w:pPr>
          </w:p>
        </w:tc>
        <w:tc>
          <w:tcPr>
            <w:tcW w:w="6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520" w:type="dxa"/>
            <w:vAlign w:val="bottom"/>
            <w:tcBorders>
              <w:bottom w:val="single" w:sz="8" w:color="1E1E1E"/>
            </w:tcBorders>
          </w:tcPr>
          <w:p>
            <w:pPr>
              <w:spacing w:after="0"/>
              <w:rPr>
                <w:sz w:val="22"/>
                <w:szCs w:val="22"/>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Employees’ Subordinated</w:t>
            </w:r>
          </w:p>
        </w:tc>
        <w:tc>
          <w:tcPr>
            <w:tcW w:w="1220" w:type="dxa"/>
            <w:vAlign w:val="bottom"/>
            <w:shd w:val="clear" w:color="auto" w:fill="E4E4E4"/>
          </w:tcPr>
          <w:p>
            <w:pPr>
              <w:spacing w:after="0"/>
              <w:rPr>
                <w:sz w:val="19"/>
                <w:szCs w:val="19"/>
                <w:color w:val="auto"/>
              </w:rPr>
            </w:pPr>
          </w:p>
        </w:tc>
        <w:tc>
          <w:tcPr>
            <w:tcW w:w="96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27,830</w:t>
            </w:r>
          </w:p>
        </w:tc>
        <w:tc>
          <w:tcPr>
            <w:tcW w:w="100" w:type="dxa"/>
            <w:vAlign w:val="bottom"/>
            <w:shd w:val="clear" w:color="auto" w:fill="E4E4E4"/>
          </w:tcPr>
          <w:p>
            <w:pPr>
              <w:spacing w:after="0"/>
              <w:rPr>
                <w:sz w:val="19"/>
                <w:szCs w:val="19"/>
                <w:color w:val="auto"/>
              </w:rPr>
            </w:pPr>
          </w:p>
        </w:tc>
        <w:tc>
          <w:tcPr>
            <w:tcW w:w="1500" w:type="dxa"/>
            <w:vAlign w:val="bottom"/>
            <w:shd w:val="clear" w:color="auto" w:fill="E4E4E4"/>
          </w:tcPr>
          <w:p>
            <w:pPr>
              <w:spacing w:after="0"/>
              <w:rPr>
                <w:sz w:val="19"/>
                <w:szCs w:val="19"/>
                <w:color w:val="auto"/>
              </w:rPr>
            </w:pPr>
          </w:p>
        </w:tc>
        <w:tc>
          <w:tcPr>
            <w:tcW w:w="640" w:type="dxa"/>
            <w:vAlign w:val="bottom"/>
            <w:shd w:val="clear" w:color="auto" w:fill="E4E4E4"/>
          </w:tcPr>
          <w:p>
            <w:pPr>
              <w:spacing w:after="0"/>
              <w:rPr>
                <w:sz w:val="19"/>
                <w:szCs w:val="19"/>
                <w:color w:val="auto"/>
              </w:rPr>
            </w:pPr>
          </w:p>
        </w:tc>
        <w:tc>
          <w:tcPr>
            <w:tcW w:w="360" w:type="dxa"/>
            <w:vAlign w:val="bottom"/>
            <w:vMerge w:val="restart"/>
            <w:shd w:val="clear" w:color="auto" w:fill="E4E4E4"/>
          </w:tcPr>
          <w:p>
            <w:pPr>
              <w:jc w:val="right"/>
              <w:ind w:right="99"/>
              <w:spacing w:after="0"/>
              <w:rPr>
                <w:sz w:val="20"/>
                <w:szCs w:val="20"/>
                <w:color w:val="auto"/>
              </w:rPr>
            </w:pPr>
            <w:r>
              <w:rPr>
                <w:rFonts w:ascii="Times New Roman" w:cs="Times New Roman" w:eastAsia="Times New Roman" w:hAnsi="Times New Roman"/>
                <w:sz w:val="20"/>
                <w:szCs w:val="20"/>
                <w:b w:val="1"/>
                <w:bCs w:val="1"/>
                <w:color w:val="1E1E1E"/>
              </w:rPr>
              <w:t>$</w:t>
            </w:r>
          </w:p>
        </w:tc>
        <w:tc>
          <w:tcPr>
            <w:tcW w:w="68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835</w:t>
            </w:r>
          </w:p>
        </w:tc>
        <w:tc>
          <w:tcPr>
            <w:tcW w:w="360" w:type="dxa"/>
            <w:vAlign w:val="bottom"/>
            <w:shd w:val="clear" w:color="auto" w:fill="E4E4E4"/>
          </w:tcPr>
          <w:p>
            <w:pPr>
              <w:spacing w:after="0"/>
              <w:rPr>
                <w:sz w:val="19"/>
                <w:szCs w:val="19"/>
                <w:color w:val="auto"/>
              </w:rPr>
            </w:pPr>
          </w:p>
        </w:tc>
        <w:tc>
          <w:tcPr>
            <w:tcW w:w="660" w:type="dxa"/>
            <w:vAlign w:val="bottom"/>
            <w:shd w:val="clear" w:color="auto" w:fill="E4E4E4"/>
          </w:tcPr>
          <w:p>
            <w:pPr>
              <w:spacing w:after="0"/>
              <w:rPr>
                <w:sz w:val="19"/>
                <w:szCs w:val="19"/>
                <w:color w:val="auto"/>
              </w:rPr>
            </w:pPr>
          </w:p>
        </w:tc>
        <w:tc>
          <w:tcPr>
            <w:tcW w:w="520" w:type="dxa"/>
            <w:vAlign w:val="bottom"/>
            <w:shd w:val="clear" w:color="auto" w:fill="E4E4E4"/>
          </w:tcPr>
          <w:p>
            <w:pPr>
              <w:spacing w:after="0"/>
              <w:rPr>
                <w:sz w:val="19"/>
                <w:szCs w:val="19"/>
                <w:color w:val="auto"/>
              </w:rPr>
            </w:pPr>
          </w:p>
        </w:tc>
        <w:tc>
          <w:tcPr>
            <w:tcW w:w="5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Convertible Preferred</w:t>
            </w: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5,000,000</w:t>
            </w:r>
          </w:p>
        </w:tc>
        <w:tc>
          <w:tcPr>
            <w:tcW w:w="960" w:type="dxa"/>
            <w:vAlign w:val="bottom"/>
            <w:tcBorders>
              <w:bottom w:val="single" w:sz="8" w:color="1E1E1E"/>
            </w:tcBorders>
            <w:vMerge w:val="continue"/>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500" w:type="dxa"/>
            <w:vAlign w:val="bottom"/>
            <w:tcBorders>
              <w:bottom w:val="single" w:sz="8" w:color="1E1E1E"/>
            </w:tcBorders>
            <w:shd w:val="clear" w:color="auto" w:fill="E4E4E4"/>
          </w:tcPr>
          <w:p>
            <w:pPr>
              <w:jc w:val="right"/>
              <w:ind w:right="419"/>
              <w:spacing w:after="0"/>
              <w:rPr>
                <w:sz w:val="20"/>
                <w:szCs w:val="20"/>
                <w:color w:val="auto"/>
              </w:rPr>
            </w:pPr>
            <w:r>
              <w:rPr>
                <w:rFonts w:ascii="Times New Roman" w:cs="Times New Roman" w:eastAsia="Times New Roman" w:hAnsi="Times New Roman"/>
                <w:sz w:val="20"/>
                <w:szCs w:val="20"/>
                <w:color w:val="1E1E1E"/>
              </w:rPr>
              <w:t>27,845</w:t>
            </w:r>
          </w:p>
        </w:tc>
        <w:tc>
          <w:tcPr>
            <w:tcW w:w="6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27,845</w:t>
            </w:r>
          </w:p>
        </w:tc>
        <w:tc>
          <w:tcPr>
            <w:tcW w:w="360" w:type="dxa"/>
            <w:vAlign w:val="bottom"/>
            <w:tcBorders>
              <w:bottom w:val="single" w:sz="8" w:color="1E1E1E"/>
            </w:tcBorders>
            <w:vMerge w:val="continue"/>
            <w:shd w:val="clear" w:color="auto" w:fill="E4E4E4"/>
          </w:tcPr>
          <w:p>
            <w:pPr>
              <w:spacing w:after="0"/>
              <w:rPr>
                <w:sz w:val="20"/>
                <w:szCs w:val="20"/>
                <w:color w:val="auto"/>
              </w:rPr>
            </w:pPr>
          </w:p>
        </w:tc>
        <w:tc>
          <w:tcPr>
            <w:tcW w:w="680" w:type="dxa"/>
            <w:vAlign w:val="bottom"/>
            <w:tcBorders>
              <w:bottom w:val="single" w:sz="8" w:color="1E1E1E"/>
            </w:tcBorders>
            <w:vMerge w:val="continue"/>
            <w:shd w:val="clear" w:color="auto" w:fill="E4E4E4"/>
          </w:tcPr>
          <w:p>
            <w:pPr>
              <w:spacing w:after="0"/>
              <w:rPr>
                <w:sz w:val="20"/>
                <w:szCs w:val="20"/>
                <w:color w:val="auto"/>
              </w:rPr>
            </w:pPr>
          </w:p>
        </w:tc>
        <w:tc>
          <w:tcPr>
            <w:tcW w:w="360" w:type="dxa"/>
            <w:vAlign w:val="bottom"/>
            <w:tcBorders>
              <w:bottom w:val="single" w:sz="8" w:color="1E1E1E"/>
            </w:tcBorders>
            <w:shd w:val="clear" w:color="auto" w:fill="E4E4E4"/>
          </w:tcPr>
          <w:p>
            <w:pPr>
              <w:jc w:val="right"/>
              <w:ind w:right="119"/>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835</w:t>
            </w:r>
          </w:p>
        </w:tc>
        <w:tc>
          <w:tcPr>
            <w:tcW w:w="520" w:type="dxa"/>
            <w:vAlign w:val="bottom"/>
            <w:tcBorders>
              <w:bottom w:val="single" w:sz="8" w:color="1E1E1E"/>
            </w:tcBorders>
            <w:shd w:val="clear" w:color="auto" w:fill="E4E4E4"/>
          </w:tcPr>
          <w:p>
            <w:pPr>
              <w:jc w:val="right"/>
              <w:ind w:right="259"/>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Stated Value of Issued Shares</w:t>
            </w: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835</w:t>
            </w:r>
          </w:p>
        </w:tc>
        <w:tc>
          <w:tcPr>
            <w:tcW w:w="360" w:type="dxa"/>
            <w:vAlign w:val="bottom"/>
          </w:tcPr>
          <w:p>
            <w:pPr>
              <w:spacing w:after="0"/>
              <w:rPr>
                <w:sz w:val="19"/>
                <w:szCs w:val="19"/>
                <w:color w:val="auto"/>
              </w:rPr>
            </w:pPr>
          </w:p>
        </w:tc>
        <w:tc>
          <w:tcPr>
            <w:tcW w:w="6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835</w:t>
            </w:r>
          </w:p>
        </w:tc>
        <w:tc>
          <w:tcPr>
            <w:tcW w:w="520" w:type="dxa"/>
            <w:vAlign w:val="bottom"/>
          </w:tcPr>
          <w:p>
            <w:pPr>
              <w:spacing w:after="0"/>
              <w:rPr>
                <w:sz w:val="19"/>
                <w:szCs w:val="19"/>
                <w:color w:val="auto"/>
              </w:rPr>
            </w:pPr>
          </w:p>
        </w:tc>
        <w:tc>
          <w:tcPr>
            <w:tcW w:w="5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836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80" w:type="dxa"/>
            <w:vAlign w:val="bottom"/>
            <w:shd w:val="clear" w:color="auto" w:fill="E4E4E4"/>
          </w:tcPr>
          <w:p>
            <w:pPr>
              <w:spacing w:after="0" w:line="226" w:lineRule="exact"/>
              <w:rPr>
                <w:sz w:val="20"/>
                <w:szCs w:val="20"/>
                <w:color w:val="auto"/>
              </w:rPr>
            </w:pPr>
            <w:r>
              <w:rPr>
                <w:rFonts w:ascii="Times New Roman" w:cs="Times New Roman" w:eastAsia="Times New Roman" w:hAnsi="Times New Roman"/>
                <w:sz w:val="20"/>
                <w:szCs w:val="20"/>
                <w:color w:val="1E1E1E"/>
              </w:rPr>
              <w:t>Employees’ Preferred Stock</w:t>
            </w:r>
          </w:p>
        </w:tc>
        <w:tc>
          <w:tcPr>
            <w:tcW w:w="12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500" w:type="dxa"/>
            <w:vAlign w:val="bottom"/>
            <w:shd w:val="clear" w:color="auto" w:fill="E4E4E4"/>
          </w:tcPr>
          <w:p>
            <w:pPr>
              <w:spacing w:after="0"/>
              <w:rPr>
                <w:sz w:val="19"/>
                <w:szCs w:val="19"/>
                <w:color w:val="auto"/>
              </w:rPr>
            </w:pPr>
          </w:p>
        </w:tc>
        <w:tc>
          <w:tcPr>
            <w:tcW w:w="64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68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360" w:type="dxa"/>
            <w:vAlign w:val="bottom"/>
            <w:shd w:val="clear" w:color="auto" w:fill="E4E4E4"/>
          </w:tcPr>
          <w:p>
            <w:pPr>
              <w:spacing w:after="0"/>
              <w:rPr>
                <w:sz w:val="19"/>
                <w:szCs w:val="19"/>
                <w:color w:val="auto"/>
              </w:rPr>
            </w:pPr>
          </w:p>
        </w:tc>
        <w:tc>
          <w:tcPr>
            <w:tcW w:w="660" w:type="dxa"/>
            <w:vAlign w:val="bottom"/>
            <w:shd w:val="clear" w:color="auto" w:fill="E4E4E4"/>
          </w:tcPr>
          <w:p>
            <w:pPr>
              <w:spacing w:after="0"/>
              <w:rPr>
                <w:sz w:val="19"/>
                <w:szCs w:val="19"/>
                <w:color w:val="auto"/>
              </w:rPr>
            </w:pPr>
          </w:p>
        </w:tc>
        <w:tc>
          <w:tcPr>
            <w:tcW w:w="520" w:type="dxa"/>
            <w:vAlign w:val="bottom"/>
            <w:shd w:val="clear" w:color="auto" w:fill="E4E4E4"/>
          </w:tcPr>
          <w:p>
            <w:pPr>
              <w:spacing w:after="0"/>
              <w:rPr>
                <w:sz w:val="19"/>
                <w:szCs w:val="19"/>
                <w:color w:val="auto"/>
              </w:rPr>
            </w:pPr>
          </w:p>
        </w:tc>
        <w:tc>
          <w:tcPr>
            <w:tcW w:w="56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Purchase Accounts</w:t>
            </w:r>
          </w:p>
        </w:tc>
        <w:tc>
          <w:tcPr>
            <w:tcW w:w="1220" w:type="dxa"/>
            <w:vAlign w:val="bottom"/>
            <w:tcBorders>
              <w:bottom w:val="single" w:sz="8" w:color="1E1E1E"/>
            </w:tcBorders>
            <w:shd w:val="clear" w:color="auto" w:fill="E4E4E4"/>
          </w:tcPr>
          <w:p>
            <w:pPr>
              <w:spacing w:after="0"/>
              <w:rPr>
                <w:sz w:val="20"/>
                <w:szCs w:val="20"/>
                <w:color w:val="auto"/>
              </w:rPr>
            </w:pPr>
          </w:p>
        </w:tc>
        <w:tc>
          <w:tcPr>
            <w:tcW w:w="96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500" w:type="dxa"/>
            <w:vAlign w:val="bottom"/>
            <w:tcBorders>
              <w:bottom w:val="single" w:sz="8" w:color="1E1E1E"/>
            </w:tcBorders>
            <w:shd w:val="clear" w:color="auto" w:fill="E4E4E4"/>
          </w:tcPr>
          <w:p>
            <w:pPr>
              <w:spacing w:after="0"/>
              <w:rPr>
                <w:sz w:val="20"/>
                <w:szCs w:val="20"/>
                <w:color w:val="auto"/>
              </w:rPr>
            </w:pPr>
          </w:p>
        </w:tc>
        <w:tc>
          <w:tcPr>
            <w:tcW w:w="640" w:type="dxa"/>
            <w:vAlign w:val="bottom"/>
            <w:tcBorders>
              <w:bottom w:val="single" w:sz="8" w:color="1E1E1E"/>
            </w:tcBorders>
            <w:shd w:val="clear" w:color="auto" w:fill="E4E4E4"/>
          </w:tcPr>
          <w:p>
            <w:pPr>
              <w:spacing w:after="0"/>
              <w:rPr>
                <w:sz w:val="20"/>
                <w:szCs w:val="20"/>
                <w:color w:val="auto"/>
              </w:rPr>
            </w:pPr>
          </w:p>
        </w:tc>
        <w:tc>
          <w:tcPr>
            <w:tcW w:w="360" w:type="dxa"/>
            <w:vAlign w:val="bottom"/>
            <w:tcBorders>
              <w:bottom w:val="single" w:sz="8" w:color="1E1E1E"/>
            </w:tcBorders>
            <w:shd w:val="clear" w:color="auto" w:fill="E4E4E4"/>
          </w:tcPr>
          <w:p>
            <w:pPr>
              <w:spacing w:after="0"/>
              <w:rPr>
                <w:sz w:val="20"/>
                <w:szCs w:val="20"/>
                <w:color w:val="auto"/>
              </w:rPr>
            </w:pPr>
          </w:p>
        </w:tc>
        <w:tc>
          <w:tcPr>
            <w:tcW w:w="680" w:type="dxa"/>
            <w:vAlign w:val="bottom"/>
            <w:tcBorders>
              <w:bottom w:val="single" w:sz="8" w:color="1E1E1E"/>
            </w:tcBorders>
            <w:vMerge w:val="continue"/>
            <w:shd w:val="clear" w:color="auto" w:fill="E4E4E4"/>
          </w:tcPr>
          <w:p>
            <w:pPr>
              <w:spacing w:after="0"/>
              <w:rPr>
                <w:sz w:val="20"/>
                <w:szCs w:val="20"/>
                <w:color w:val="auto"/>
              </w:rPr>
            </w:pPr>
          </w:p>
        </w:tc>
        <w:tc>
          <w:tcPr>
            <w:tcW w:w="360" w:type="dxa"/>
            <w:vAlign w:val="bottom"/>
            <w:tcBorders>
              <w:bottom w:val="single" w:sz="8" w:color="1E1E1E"/>
            </w:tcBorders>
            <w:shd w:val="clear" w:color="auto" w:fill="E4E4E4"/>
          </w:tcPr>
          <w:p>
            <w:pPr>
              <w:spacing w:after="0"/>
              <w:rPr>
                <w:sz w:val="20"/>
                <w:szCs w:val="20"/>
                <w:color w:val="auto"/>
              </w:rPr>
            </w:pPr>
          </w:p>
        </w:tc>
        <w:tc>
          <w:tcPr>
            <w:tcW w:w="6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tcBorders>
              <w:bottom w:val="single" w:sz="8" w:color="1E1E1E"/>
            </w:tcBorders>
            <w:shd w:val="clear" w:color="auto" w:fill="E4E4E4"/>
          </w:tcPr>
          <w:p>
            <w:pPr>
              <w:spacing w:after="0"/>
              <w:rPr>
                <w:sz w:val="20"/>
                <w:szCs w:val="20"/>
                <w:color w:val="auto"/>
              </w:rPr>
            </w:pPr>
          </w:p>
        </w:tc>
        <w:tc>
          <w:tcPr>
            <w:tcW w:w="5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Pr>
          <w:p>
            <w:pPr>
              <w:spacing w:after="0" w:line="196" w:lineRule="exact"/>
              <w:rPr>
                <w:sz w:val="20"/>
                <w:szCs w:val="20"/>
                <w:color w:val="auto"/>
              </w:rPr>
            </w:pPr>
            <w:r>
              <w:rPr>
                <w:rFonts w:ascii="Times New Roman" w:cs="Times New Roman" w:eastAsia="Times New Roman" w:hAnsi="Times New Roman"/>
                <w:sz w:val="20"/>
                <w:szCs w:val="20"/>
                <w:b w:val="1"/>
                <w:bCs w:val="1"/>
                <w:color w:val="1E1E1E"/>
              </w:rPr>
              <w:t>Total Non-Redeemable</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1E1E1E"/>
            </w:tcBorders>
          </w:tcPr>
          <w:p>
            <w:pPr>
              <w:spacing w:after="0"/>
              <w:rPr>
                <w:sz w:val="22"/>
                <w:szCs w:val="22"/>
                <w:color w:val="auto"/>
              </w:rPr>
            </w:pPr>
          </w:p>
        </w:tc>
        <w:tc>
          <w:tcPr>
            <w:tcW w:w="26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Preferred Stock</w:t>
            </w:r>
          </w:p>
        </w:tc>
        <w:tc>
          <w:tcPr>
            <w:tcW w:w="122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1500" w:type="dxa"/>
            <w:vAlign w:val="bottom"/>
            <w:tcBorders>
              <w:bottom w:val="single" w:sz="8" w:color="1E1E1E"/>
            </w:tcBorders>
          </w:tcPr>
          <w:p>
            <w:pPr>
              <w:spacing w:after="0"/>
              <w:rPr>
                <w:sz w:val="22"/>
                <w:szCs w:val="22"/>
                <w:color w:val="auto"/>
              </w:rPr>
            </w:pPr>
          </w:p>
        </w:tc>
        <w:tc>
          <w:tcPr>
            <w:tcW w:w="640" w:type="dxa"/>
            <w:vAlign w:val="bottom"/>
            <w:tcBorders>
              <w:bottom w:val="single" w:sz="8" w:color="1E1E1E"/>
            </w:tcBorders>
          </w:tcPr>
          <w:p>
            <w:pPr>
              <w:spacing w:after="0"/>
              <w:rPr>
                <w:sz w:val="22"/>
                <w:szCs w:val="22"/>
                <w:color w:val="auto"/>
              </w:rPr>
            </w:pPr>
          </w:p>
        </w:tc>
        <w:tc>
          <w:tcPr>
            <w:tcW w:w="360" w:type="dxa"/>
            <w:vAlign w:val="bottom"/>
            <w:tcBorders>
              <w:bottom w:val="single" w:sz="8" w:color="1E1E1E"/>
            </w:tcBorders>
          </w:tcPr>
          <w:p>
            <w:pPr>
              <w:jc w:val="right"/>
              <w:ind w:right="99"/>
              <w:spacing w:after="0"/>
              <w:rPr>
                <w:sz w:val="20"/>
                <w:szCs w:val="20"/>
                <w:color w:val="auto"/>
              </w:rPr>
            </w:pPr>
            <w:r>
              <w:rPr>
                <w:rFonts w:ascii="Times New Roman" w:cs="Times New Roman" w:eastAsia="Times New Roman" w:hAnsi="Times New Roman"/>
                <w:sz w:val="20"/>
                <w:szCs w:val="20"/>
                <w:b w:val="1"/>
                <w:bCs w:val="1"/>
                <w:color w:val="1E1E1E"/>
              </w:rPr>
              <w:t>$</w:t>
            </w: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835</w:t>
            </w:r>
          </w:p>
        </w:tc>
        <w:tc>
          <w:tcPr>
            <w:tcW w:w="360" w:type="dxa"/>
            <w:vAlign w:val="bottom"/>
            <w:tcBorders>
              <w:bottom w:val="single" w:sz="8" w:color="1E1E1E"/>
            </w:tcBorders>
          </w:tcPr>
          <w:p>
            <w:pPr>
              <w:jc w:val="right"/>
              <w:ind w:right="119"/>
              <w:spacing w:after="0"/>
              <w:rPr>
                <w:sz w:val="20"/>
                <w:szCs w:val="20"/>
                <w:color w:val="auto"/>
              </w:rPr>
            </w:pPr>
            <w:r>
              <w:rPr>
                <w:rFonts w:ascii="Times New Roman" w:cs="Times New Roman" w:eastAsia="Times New Roman" w:hAnsi="Times New Roman"/>
                <w:sz w:val="20"/>
                <w:szCs w:val="20"/>
                <w:color w:val="1E1E1E"/>
              </w:rPr>
              <w:t>$</w:t>
            </w:r>
          </w:p>
        </w:tc>
        <w:tc>
          <w:tcPr>
            <w:tcW w:w="6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835</w:t>
            </w:r>
          </w:p>
        </w:tc>
        <w:tc>
          <w:tcPr>
            <w:tcW w:w="520" w:type="dxa"/>
            <w:vAlign w:val="bottom"/>
            <w:tcBorders>
              <w:bottom w:val="single" w:sz="8" w:color="1E1E1E"/>
            </w:tcBorders>
          </w:tcPr>
          <w:p>
            <w:pPr>
              <w:jc w:val="right"/>
              <w:ind w:right="259"/>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813</w:t>
            </w: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268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500" w:type="dxa"/>
            <w:vAlign w:val="bottom"/>
            <w:tcBorders>
              <w:bottom w:val="single" w:sz="8" w:color="1E1E1E"/>
            </w:tcBorders>
          </w:tcPr>
          <w:p>
            <w:pPr>
              <w:spacing w:after="0" w:line="20" w:lineRule="exact"/>
              <w:rPr>
                <w:sz w:val="1"/>
                <w:szCs w:val="1"/>
                <w:color w:val="auto"/>
              </w:rPr>
            </w:pPr>
          </w:p>
        </w:tc>
        <w:tc>
          <w:tcPr>
            <w:tcW w:w="64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660" w:type="dxa"/>
            <w:vAlign w:val="bottom"/>
            <w:tcBorders>
              <w:bottom w:val="single" w:sz="8" w:color="1E1E1E"/>
            </w:tcBorders>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980" w:top="1156"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67</w:t>
      </w:r>
    </w:p>
    <w:p>
      <w:pPr>
        <w:sectPr>
          <w:pgSz w:w="12240" w:h="15840" w:orient="portrait"/>
          <w:cols w:equalWidth="0" w:num="1">
            <w:col w:w="10260"/>
          </w:cols>
          <w:pgMar w:left="980" w:top="1156" w:right="1000" w:bottom="178" w:gutter="0" w:footer="0" w:header="0"/>
          <w:type w:val="continuous"/>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Equity, Continued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Employees’ Subordinated Convertible Preferred Stock:</w:t>
      </w:r>
    </w:p>
    <w:p>
      <w:pPr>
        <w:spacing w:after="0" w:line="243"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Subordinated Serial Preferred Stock:</w:t>
      </w:r>
    </w:p>
    <w:p>
      <w:pPr>
        <w:spacing w:after="0" w:line="24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Common Stock:</w:t>
      </w:r>
    </w:p>
    <w:p>
      <w:pPr>
        <w:spacing w:after="0" w:line="24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20"/>
          <w:szCs w:val="20"/>
          <w:color w:val="1E1E1E"/>
        </w:rPr>
        <w:t>Common stock-$1 par value. Authorized: 80,000,000 shares; issued: January 31, 2026 – 11,277,257 shares; February 1, 2025 – 11,773,352 shares. There were 488,464 shares held in treasury as of January 31, 2026 and February 1, 2025, respectively. Each outstanding share is entitled to one vote. At January 31, 2026, common shares were reserved as follows: 27,830 shares for conversion of preferred stock and 766,794 shares for the 2020 Plan.</w:t>
      </w:r>
    </w:p>
    <w:p>
      <w:pPr>
        <w:spacing w:after="0" w:line="14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1E1E1E"/>
        </w:rPr>
        <w:t>For the year ended January 31, 2026, shares of common stock were issued as follows: (i) 143,178 restricted shares as part of the 2020 Plan; (ii) 43,144 shares to directors in exchange for their services; (iii) 64,529 shares withheld for taxes on restricted stock vested in Fiscal 2026; (iv) 13,372 shares of restricted stock forfeited in Fiscal 2026 and (v) 15 shares were issued in miscellaneous conversions of Employees’ Subordinated Convertible Preferred Stock. In addition, the Company repurchased and retired 604,531 shares of common stock at an average weighted market price of $20.79 for a total of $12.6 million.</w:t>
      </w:r>
    </w:p>
    <w:p>
      <w:pPr>
        <w:spacing w:after="0" w:line="15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For the year ended February 1, 2025, shares of common stock were issued as follows: (i) 301,222 restricted shares as part of the 2020 Plan; (ii) 36,320 shares to directors in exchange for their services; (iii) 89,942 shares withheld for taxes on restricted stock vested in Fiscal 2025; and (iv) 35,408 shares of restricted stock forfeited in Fiscal 2025. In addition, we repurchased and retired 399,633 shares of common stock at an average weighted market price of $24.49 for a total of $9.8 million.</w:t>
      </w:r>
    </w:p>
    <w:p>
      <w:pPr>
        <w:spacing w:after="0" w:line="15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1E1E1E"/>
        </w:rPr>
        <w:t>For the year ended February 3, 2024, shares of common stock were issued as follows: (i) 257,744 restricted shares as part of the 2020 Plan; (ii) 38,284 shares to directors in exchange for their services; (iii) 86,179 shares withheld for taxes on restricted stock vested in Fiscal 2024; (iv) 76,633 shares of restricted stock forfeited in Fiscal 2024; and (v) 90 shares were issued in miscellaneous conversions of Employees’ Subordinated Convertible Preferred Stock. In addition, we repurchased and retired 1,261,295 shares of common stock at an average weighted market price of $25.39 for a total of $32.0 million.</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68</w:t>
      </w:r>
    </w:p>
    <w:p>
      <w:pPr>
        <w:sectPr>
          <w:pgSz w:w="12240" w:h="15840" w:orient="portrait"/>
          <w:cols w:equalWidth="0" w:num="1">
            <w:col w:w="10260"/>
          </w:cols>
          <w:pgMar w:left="1000" w:top="1156" w:right="980" w:bottom="178"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10</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Equity, Continued</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1E1E1E"/>
        </w:rPr>
        <w:t>Restrictions on Dividends and Redemptions of Capital Stock:</w:t>
      </w:r>
    </w:p>
    <w:p>
      <w:pPr>
        <w:spacing w:after="0" w:line="243"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20"/>
          <w:szCs w:val="20"/>
          <w:color w:val="1E1E1E"/>
        </w:rPr>
        <w:t>Our charter provides that no dividends may be paid and no shares of capital stock acquired for value if there are dividend or redemption arrearages on any senior or equally ranked stock. We do not pay dividends and therefore, there are no redemption arrearages. Exchanges of subordinated serial preferred stock for common stock or other stock junior to such exchanged stock are permitted.</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11</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Income Taxes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components of earnings (loss) from continuing operations before income taxes is comprised of the following: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88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60" w:type="dxa"/>
            <w:vAlign w:val="bottom"/>
          </w:tcPr>
          <w:p>
            <w:pPr>
              <w:spacing w:after="0"/>
              <w:rPr>
                <w:sz w:val="22"/>
                <w:szCs w:val="22"/>
                <w:color w:val="auto"/>
              </w:rPr>
            </w:pPr>
          </w:p>
        </w:tc>
        <w:tc>
          <w:tcPr>
            <w:tcW w:w="360" w:type="dxa"/>
            <w:vAlign w:val="bottom"/>
            <w:tcBorders>
              <w:bottom w:val="single" w:sz="8" w:color="1E1E1E"/>
            </w:tcBorders>
          </w:tcPr>
          <w:p>
            <w:pPr>
              <w:spacing w:after="0"/>
              <w:rPr>
                <w:sz w:val="22"/>
                <w:szCs w:val="22"/>
                <w:color w:val="auto"/>
              </w:rPr>
            </w:pPr>
          </w:p>
        </w:tc>
        <w:tc>
          <w:tcPr>
            <w:tcW w:w="1000" w:type="dxa"/>
            <w:vAlign w:val="bottom"/>
            <w:tcBorders>
              <w:bottom w:val="single" w:sz="8" w:color="1E1E1E"/>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1240" w:type="dxa"/>
            <w:vAlign w:val="bottom"/>
            <w:tcBorders>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b w:val="1"/>
                <w:bCs w:val="1"/>
                <w:color w:val="1E1E1E"/>
                <w:w w:val="98"/>
              </w:rPr>
              <w:t>Fiscal Year</w:t>
            </w:r>
          </w:p>
        </w:tc>
        <w:tc>
          <w:tcPr>
            <w:tcW w:w="220" w:type="dxa"/>
            <w:vAlign w:val="bottom"/>
            <w:tcBorders>
              <w:bottom w:val="single" w:sz="8" w:color="1E1E1E"/>
            </w:tcBorders>
          </w:tcPr>
          <w:p>
            <w:pPr>
              <w:spacing w:after="0"/>
              <w:rPr>
                <w:sz w:val="22"/>
                <w:szCs w:val="22"/>
                <w:color w:val="auto"/>
              </w:rPr>
            </w:pPr>
          </w:p>
        </w:tc>
        <w:tc>
          <w:tcPr>
            <w:tcW w:w="118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1E1E1E"/>
            </w:tcBorders>
            <w:vMerge w:val="continue"/>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2026</w:t>
            </w:r>
          </w:p>
        </w:tc>
        <w:tc>
          <w:tcPr>
            <w:tcW w:w="2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2025</w:t>
            </w:r>
          </w:p>
        </w:tc>
        <w:tc>
          <w:tcPr>
            <w:tcW w:w="220" w:type="dxa"/>
            <w:vAlign w:val="bottom"/>
            <w:tcBorders>
              <w:bottom w:val="single" w:sz="8" w:color="1E1E1E"/>
            </w:tcBorders>
          </w:tcPr>
          <w:p>
            <w:pPr>
              <w:spacing w:after="0"/>
              <w:rPr>
                <w:sz w:val="19"/>
                <w:szCs w:val="19"/>
                <w:color w:val="auto"/>
              </w:rPr>
            </w:pPr>
          </w:p>
        </w:tc>
        <w:tc>
          <w:tcPr>
            <w:tcW w:w="11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1E1E1E"/>
              </w:rPr>
              <w:t>United States</w:t>
            </w:r>
          </w:p>
        </w:tc>
        <w:tc>
          <w:tcPr>
            <w:tcW w:w="520" w:type="dxa"/>
            <w:vAlign w:val="bottom"/>
            <w:gridSpan w:val="2"/>
            <w:shd w:val="clear" w:color="auto" w:fill="E4E4E4"/>
          </w:tcPr>
          <w:p>
            <w:pPr>
              <w:jc w:val="right"/>
              <w:ind w:right="260"/>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000" w:type="dxa"/>
            <w:vAlign w:val="bottom"/>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19,346</w:t>
            </w:r>
          </w:p>
        </w:tc>
        <w:tc>
          <w:tcPr>
            <w:tcW w:w="2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(1,476)</w:t>
            </w:r>
          </w:p>
        </w:tc>
        <w:tc>
          <w:tcPr>
            <w:tcW w:w="2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(43,859)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Borders>
              <w:bottom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Foreign</w:t>
            </w:r>
          </w:p>
        </w:tc>
        <w:tc>
          <w:tcPr>
            <w:tcW w:w="160" w:type="dxa"/>
            <w:vAlign w:val="bottom"/>
            <w:tcBorders>
              <w:bottom w:val="single" w:sz="8" w:color="1E1E1E"/>
            </w:tcBorders>
          </w:tcPr>
          <w:p>
            <w:pPr>
              <w:spacing w:after="0"/>
              <w:rPr>
                <w:sz w:val="20"/>
                <w:szCs w:val="20"/>
                <w:color w:val="auto"/>
              </w:rPr>
            </w:pPr>
          </w:p>
        </w:tc>
        <w:tc>
          <w:tcPr>
            <w:tcW w:w="360" w:type="dxa"/>
            <w:vAlign w:val="bottom"/>
            <w:tcBorders>
              <w:bottom w:val="single" w:sz="8" w:color="1E1E1E"/>
            </w:tcBorders>
          </w:tcPr>
          <w:p>
            <w:pPr>
              <w:spacing w:after="0"/>
              <w:rPr>
                <w:sz w:val="20"/>
                <w:szCs w:val="20"/>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(6,755)</w:t>
            </w:r>
          </w:p>
        </w:tc>
        <w:tc>
          <w:tcPr>
            <w:tcW w:w="200" w:type="dxa"/>
            <w:vAlign w:val="bottom"/>
            <w:tcBorders>
              <w:bottom w:val="single" w:sz="8" w:color="1E1E1E"/>
            </w:tcBorders>
          </w:tcPr>
          <w:p>
            <w:pPr>
              <w:spacing w:after="0"/>
              <w:rPr>
                <w:sz w:val="20"/>
                <w:szCs w:val="20"/>
                <w:color w:val="auto"/>
              </w:rPr>
            </w:pPr>
          </w:p>
        </w:tc>
        <w:tc>
          <w:tcPr>
            <w:tcW w:w="124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10,784</w:t>
            </w:r>
          </w:p>
        </w:tc>
        <w:tc>
          <w:tcPr>
            <w:tcW w:w="220" w:type="dxa"/>
            <w:vAlign w:val="bottom"/>
            <w:tcBorders>
              <w:bottom w:val="single" w:sz="8" w:color="1E1E1E"/>
            </w:tcBorders>
          </w:tcPr>
          <w:p>
            <w:pPr>
              <w:spacing w:after="0"/>
              <w:rPr>
                <w:sz w:val="20"/>
                <w:szCs w:val="20"/>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22,085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Earnings (Loss) from Continuing Operations before Income</w:t>
            </w:r>
          </w:p>
        </w:tc>
        <w:tc>
          <w:tcPr>
            <w:tcW w:w="16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1E1E1E"/>
            </w:tcBorders>
          </w:tcPr>
          <w:p>
            <w:pPr>
              <w:spacing w:after="0"/>
              <w:rPr>
                <w:sz w:val="20"/>
                <w:szCs w:val="20"/>
                <w:color w:val="auto"/>
              </w:rPr>
            </w:pPr>
          </w:p>
        </w:tc>
        <w:tc>
          <w:tcPr>
            <w:tcW w:w="588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Taxes</w:t>
            </w:r>
          </w:p>
        </w:tc>
        <w:tc>
          <w:tcPr>
            <w:tcW w:w="520" w:type="dxa"/>
            <w:vAlign w:val="bottom"/>
            <w:tcBorders>
              <w:bottom w:val="single" w:sz="8" w:color="1E1E1E"/>
            </w:tcBorders>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w:t>
            </w:r>
          </w:p>
        </w:tc>
        <w:tc>
          <w:tcPr>
            <w:tcW w:w="1000" w:type="dxa"/>
            <w:vAlign w:val="bottom"/>
            <w:tcBorders>
              <w:bottom w:val="single" w:sz="8" w:color="1E1E1E"/>
            </w:tcBorders>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12,591</w:t>
            </w:r>
          </w:p>
        </w:tc>
        <w:tc>
          <w:tcPr>
            <w:tcW w:w="2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9,308</w:t>
            </w:r>
          </w:p>
        </w:tc>
        <w:tc>
          <w:tcPr>
            <w:tcW w:w="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(21,774)</w:t>
            </w: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588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69</w:t>
      </w:r>
    </w:p>
    <w:p>
      <w:pPr>
        <w:sectPr>
          <w:pgSz w:w="12240" w:h="15840" w:orient="portrait"/>
          <w:cols w:equalWidth="0" w:num="1">
            <w:col w:w="10280"/>
          </w:cols>
          <w:pgMar w:left="980" w:top="1156" w:right="980" w:bottom="178"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11</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Income Taxes, Continued</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Income tax expense from continuing operations is comprised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88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60" w:type="dxa"/>
            <w:vAlign w:val="bottom"/>
          </w:tcPr>
          <w:p>
            <w:pPr>
              <w:spacing w:after="0"/>
              <w:rPr>
                <w:sz w:val="22"/>
                <w:szCs w:val="22"/>
                <w:color w:val="auto"/>
              </w:rPr>
            </w:pPr>
          </w:p>
        </w:tc>
        <w:tc>
          <w:tcPr>
            <w:tcW w:w="380" w:type="dxa"/>
            <w:vAlign w:val="bottom"/>
            <w:tcBorders>
              <w:bottom w:val="single" w:sz="8" w:color="1E1E1E"/>
            </w:tcBorders>
          </w:tcPr>
          <w:p>
            <w:pPr>
              <w:spacing w:after="0"/>
              <w:rPr>
                <w:sz w:val="22"/>
                <w:szCs w:val="22"/>
                <w:color w:val="auto"/>
              </w:rPr>
            </w:pPr>
          </w:p>
        </w:tc>
        <w:tc>
          <w:tcPr>
            <w:tcW w:w="980" w:type="dxa"/>
            <w:vAlign w:val="bottom"/>
            <w:tcBorders>
              <w:bottom w:val="single" w:sz="8" w:color="1E1E1E"/>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1240" w:type="dxa"/>
            <w:vAlign w:val="bottom"/>
            <w:tcBorders>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b w:val="1"/>
                <w:bCs w:val="1"/>
                <w:color w:val="1E1E1E"/>
                <w:w w:val="98"/>
              </w:rPr>
              <w:t>Fiscal Year</w:t>
            </w:r>
          </w:p>
        </w:tc>
        <w:tc>
          <w:tcPr>
            <w:tcW w:w="500" w:type="dxa"/>
            <w:vAlign w:val="bottom"/>
            <w:tcBorders>
              <w:bottom w:val="single" w:sz="8" w:color="1E1E1E"/>
            </w:tcBorders>
          </w:tcPr>
          <w:p>
            <w:pPr>
              <w:spacing w:after="0"/>
              <w:rPr>
                <w:sz w:val="22"/>
                <w:szCs w:val="22"/>
                <w:color w:val="auto"/>
              </w:rPr>
            </w:pPr>
          </w:p>
        </w:tc>
        <w:tc>
          <w:tcPr>
            <w:tcW w:w="90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1E1E1E"/>
            </w:tcBorders>
            <w:vMerge w:val="continue"/>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2026</w:t>
            </w:r>
          </w:p>
        </w:tc>
        <w:tc>
          <w:tcPr>
            <w:tcW w:w="2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2025</w:t>
            </w:r>
          </w:p>
        </w:tc>
        <w:tc>
          <w:tcPr>
            <w:tcW w:w="50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Current</w:t>
            </w:r>
          </w:p>
        </w:tc>
        <w:tc>
          <w:tcPr>
            <w:tcW w:w="16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U.S. federal</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1E1E1E"/>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904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1E1E1E"/>
              </w:rPr>
              <w:t>1,711</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International</w:t>
            </w:r>
          </w:p>
        </w:tc>
        <w:tc>
          <w:tcPr>
            <w:tcW w:w="16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(206)</w:t>
            </w:r>
          </w:p>
        </w:tc>
        <w:tc>
          <w:tcPr>
            <w:tcW w:w="200" w:type="dxa"/>
            <w:vAlign w:val="bottom"/>
            <w:shd w:val="clear" w:color="auto" w:fill="E4E4E4"/>
          </w:tcPr>
          <w:p>
            <w:pPr>
              <w:spacing w:after="0"/>
              <w:rPr>
                <w:sz w:val="20"/>
                <w:szCs w:val="20"/>
                <w:color w:val="auto"/>
              </w:rPr>
            </w:pPr>
          </w:p>
        </w:tc>
        <w:tc>
          <w:tcPr>
            <w:tcW w:w="1240" w:type="dxa"/>
            <w:vAlign w:val="bottom"/>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2,007</w:t>
            </w:r>
          </w:p>
        </w:tc>
        <w:tc>
          <w:tcPr>
            <w:tcW w:w="50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Borders>
              <w:bottom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160" w:type="dxa"/>
            <w:vAlign w:val="bottom"/>
            <w:tcBorders>
              <w:bottom w:val="single" w:sz="8" w:color="1E1E1E"/>
            </w:tcBorders>
          </w:tcPr>
          <w:p>
            <w:pPr>
              <w:spacing w:after="0"/>
              <w:rPr>
                <w:sz w:val="20"/>
                <w:szCs w:val="20"/>
                <w:color w:val="auto"/>
              </w:rPr>
            </w:pPr>
          </w:p>
        </w:tc>
        <w:tc>
          <w:tcPr>
            <w:tcW w:w="380" w:type="dxa"/>
            <w:vAlign w:val="bottom"/>
            <w:tcBorders>
              <w:bottom w:val="single" w:sz="8" w:color="1E1E1E"/>
            </w:tcBorders>
          </w:tcPr>
          <w:p>
            <w:pPr>
              <w:spacing w:after="0"/>
              <w:rPr>
                <w:sz w:val="20"/>
                <w:szCs w:val="20"/>
                <w:color w:val="auto"/>
              </w:rPr>
            </w:pPr>
          </w:p>
        </w:tc>
        <w:tc>
          <w:tcPr>
            <w:tcW w:w="980" w:type="dxa"/>
            <w:vAlign w:val="bottom"/>
            <w:tcBorders>
              <w:bottom w:val="single" w:sz="8" w:color="1E1E1E"/>
            </w:tcBorders>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648</w:t>
            </w:r>
          </w:p>
        </w:tc>
        <w:tc>
          <w:tcPr>
            <w:tcW w:w="200" w:type="dxa"/>
            <w:vAlign w:val="bottom"/>
            <w:tcBorders>
              <w:bottom w:val="single" w:sz="8" w:color="1E1E1E"/>
            </w:tcBorders>
          </w:tcPr>
          <w:p>
            <w:pPr>
              <w:spacing w:after="0"/>
              <w:rPr>
                <w:sz w:val="20"/>
                <w:szCs w:val="20"/>
                <w:color w:val="auto"/>
              </w:rPr>
            </w:pPr>
          </w:p>
        </w:tc>
        <w:tc>
          <w:tcPr>
            <w:tcW w:w="124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1,100</w:t>
            </w:r>
          </w:p>
        </w:tc>
        <w:tc>
          <w:tcPr>
            <w:tcW w:w="500" w:type="dxa"/>
            <w:vAlign w:val="bottom"/>
            <w:tcBorders>
              <w:bottom w:val="single" w:sz="8" w:color="1E1E1E"/>
            </w:tcBorders>
          </w:tcPr>
          <w:p>
            <w:pPr>
              <w:spacing w:after="0"/>
              <w:rPr>
                <w:sz w:val="20"/>
                <w:szCs w:val="20"/>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 Current Income Tax Expense</w:t>
            </w:r>
          </w:p>
        </w:tc>
        <w:tc>
          <w:tcPr>
            <w:tcW w:w="160" w:type="dxa"/>
            <w:vAlign w:val="bottom"/>
            <w:tcBorders>
              <w:bottom w:val="single" w:sz="8" w:color="1E1E1E"/>
            </w:tcBorders>
            <w:shd w:val="clear" w:color="auto" w:fill="E4E4E4"/>
          </w:tcPr>
          <w:p>
            <w:pPr>
              <w:spacing w:after="0"/>
              <w:rPr>
                <w:sz w:val="19"/>
                <w:szCs w:val="19"/>
                <w:color w:val="auto"/>
              </w:rPr>
            </w:pPr>
          </w:p>
        </w:tc>
        <w:tc>
          <w:tcPr>
            <w:tcW w:w="380" w:type="dxa"/>
            <w:vAlign w:val="bottom"/>
            <w:tcBorders>
              <w:bottom w:val="single" w:sz="8" w:color="1E1E1E"/>
            </w:tcBorders>
            <w:shd w:val="clear" w:color="auto" w:fill="E4E4E4"/>
          </w:tcPr>
          <w:p>
            <w:pPr>
              <w:spacing w:after="0"/>
              <w:rPr>
                <w:sz w:val="19"/>
                <w:szCs w:val="19"/>
                <w:color w:val="auto"/>
              </w:rPr>
            </w:pPr>
          </w:p>
        </w:tc>
        <w:tc>
          <w:tcPr>
            <w:tcW w:w="980" w:type="dxa"/>
            <w:vAlign w:val="bottom"/>
            <w:tcBorders>
              <w:bottom w:val="single" w:sz="8" w:color="1E1E1E"/>
            </w:tcBorders>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1,346</w:t>
            </w:r>
          </w:p>
        </w:tc>
        <w:tc>
          <w:tcPr>
            <w:tcW w:w="200" w:type="dxa"/>
            <w:vAlign w:val="bottom"/>
            <w:tcBorders>
              <w:bottom w:val="single" w:sz="8" w:color="1E1E1E"/>
            </w:tcBorders>
            <w:shd w:val="clear" w:color="auto" w:fill="E4E4E4"/>
          </w:tcPr>
          <w:p>
            <w:pPr>
              <w:spacing w:after="0"/>
              <w:rPr>
                <w:sz w:val="19"/>
                <w:szCs w:val="19"/>
                <w:color w:val="auto"/>
              </w:rPr>
            </w:pPr>
          </w:p>
        </w:tc>
        <w:tc>
          <w:tcPr>
            <w:tcW w:w="1240" w:type="dxa"/>
            <w:vAlign w:val="bottom"/>
            <w:tcBorders>
              <w:bottom w:val="single" w:sz="8" w:color="1E1E1E"/>
            </w:tcBorders>
            <w:shd w:val="clear" w:color="auto" w:fill="E4E4E4"/>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4,818</w:t>
            </w:r>
          </w:p>
        </w:tc>
        <w:tc>
          <w:tcPr>
            <w:tcW w:w="500" w:type="dxa"/>
            <w:vAlign w:val="bottom"/>
            <w:tcBorders>
              <w:bottom w:val="single" w:sz="8" w:color="1E1E1E"/>
            </w:tcBorders>
            <w:shd w:val="clear" w:color="auto" w:fill="E4E4E4"/>
          </w:tcPr>
          <w:p>
            <w:pPr>
              <w:spacing w:after="0"/>
              <w:rPr>
                <w:sz w:val="19"/>
                <w:szCs w:val="19"/>
                <w:color w:val="auto"/>
              </w:rPr>
            </w:pPr>
          </w:p>
        </w:tc>
        <w:tc>
          <w:tcPr>
            <w:tcW w:w="9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491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Deferred</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U.S. federal</w:t>
            </w:r>
          </w:p>
        </w:tc>
        <w:tc>
          <w:tcPr>
            <w:tcW w:w="16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(58)</w:t>
            </w:r>
          </w:p>
        </w:tc>
        <w:tc>
          <w:tcPr>
            <w:tcW w:w="200" w:type="dxa"/>
            <w:vAlign w:val="bottom"/>
            <w:shd w:val="clear" w:color="auto" w:fill="E4E4E4"/>
          </w:tcPr>
          <w:p>
            <w:pPr>
              <w:spacing w:after="0"/>
              <w:rPr>
                <w:sz w:val="20"/>
                <w:szCs w:val="20"/>
                <w:color w:val="auto"/>
              </w:rPr>
            </w:pPr>
          </w:p>
        </w:tc>
        <w:tc>
          <w:tcPr>
            <w:tcW w:w="1240" w:type="dxa"/>
            <w:vAlign w:val="bottom"/>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20,226</w:t>
            </w:r>
          </w:p>
        </w:tc>
        <w:tc>
          <w:tcPr>
            <w:tcW w:w="50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International</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(1,151)</w:t>
            </w:r>
          </w:p>
        </w:tc>
        <w:tc>
          <w:tcPr>
            <w:tcW w:w="2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1E1E1E"/>
              </w:rPr>
              <w:t>515</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Borders>
              <w:bottom w:val="single" w:sz="8" w:color="1E1E1E"/>
            </w:tcBorders>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160" w:type="dxa"/>
            <w:vAlign w:val="bottom"/>
            <w:tcBorders>
              <w:bottom w:val="single" w:sz="8" w:color="1E1E1E"/>
            </w:tcBorders>
            <w:shd w:val="clear" w:color="auto" w:fill="E4E4E4"/>
          </w:tcPr>
          <w:p>
            <w:pPr>
              <w:spacing w:after="0"/>
              <w:rPr>
                <w:sz w:val="20"/>
                <w:szCs w:val="20"/>
                <w:color w:val="auto"/>
              </w:rPr>
            </w:pPr>
          </w:p>
        </w:tc>
        <w:tc>
          <w:tcPr>
            <w:tcW w:w="380" w:type="dxa"/>
            <w:vAlign w:val="bottom"/>
            <w:tcBorders>
              <w:bottom w:val="single" w:sz="8" w:color="1E1E1E"/>
            </w:tcBorders>
            <w:shd w:val="clear" w:color="auto" w:fill="E4E4E4"/>
          </w:tcPr>
          <w:p>
            <w:pPr>
              <w:spacing w:after="0"/>
              <w:rPr>
                <w:sz w:val="20"/>
                <w:szCs w:val="20"/>
                <w:color w:val="auto"/>
              </w:rPr>
            </w:pPr>
          </w:p>
        </w:tc>
        <w:tc>
          <w:tcPr>
            <w:tcW w:w="980" w:type="dxa"/>
            <w:vAlign w:val="bottom"/>
            <w:tcBorders>
              <w:bottom w:val="single" w:sz="8" w:color="1E1E1E"/>
            </w:tcBorders>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w:t>
            </w:r>
          </w:p>
        </w:tc>
        <w:tc>
          <w:tcPr>
            <w:tcW w:w="200" w:type="dxa"/>
            <w:vAlign w:val="bottom"/>
            <w:tcBorders>
              <w:bottom w:val="single" w:sz="8" w:color="1E1E1E"/>
            </w:tcBorders>
            <w:shd w:val="clear" w:color="auto" w:fill="E4E4E4"/>
          </w:tcPr>
          <w:p>
            <w:pPr>
              <w:spacing w:after="0"/>
              <w:rPr>
                <w:sz w:val="20"/>
                <w:szCs w:val="20"/>
                <w:color w:val="auto"/>
              </w:rPr>
            </w:pPr>
          </w:p>
        </w:tc>
        <w:tc>
          <w:tcPr>
            <w:tcW w:w="1240" w:type="dxa"/>
            <w:vAlign w:val="bottom"/>
            <w:tcBorders>
              <w:bottom w:val="single" w:sz="8" w:color="1E1E1E"/>
            </w:tcBorders>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6,017</w:t>
            </w:r>
          </w:p>
        </w:tc>
        <w:tc>
          <w:tcPr>
            <w:tcW w:w="500" w:type="dxa"/>
            <w:vAlign w:val="bottom"/>
            <w:tcBorders>
              <w:bottom w:val="single" w:sz="8" w:color="1E1E1E"/>
            </w:tcBorders>
            <w:shd w:val="clear" w:color="auto" w:fill="E4E4E4"/>
          </w:tcPr>
          <w:p>
            <w:pPr>
              <w:spacing w:after="0"/>
              <w:rPr>
                <w:sz w:val="20"/>
                <w:szCs w:val="20"/>
                <w:color w:val="auto"/>
              </w:rPr>
            </w:pPr>
          </w:p>
        </w:tc>
        <w:tc>
          <w:tcPr>
            <w:tcW w:w="9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7,438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Total Deferred Income Tax Expense (Benefit)</w:t>
            </w:r>
          </w:p>
        </w:tc>
        <w:tc>
          <w:tcPr>
            <w:tcW w:w="160" w:type="dxa"/>
            <w:vAlign w:val="bottom"/>
            <w:tcBorders>
              <w:bottom w:val="single" w:sz="8" w:color="1E1E1E"/>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(1,208)</w:t>
            </w:r>
          </w:p>
        </w:tc>
        <w:tc>
          <w:tcPr>
            <w:tcW w:w="2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26,758</w:t>
            </w:r>
          </w:p>
        </w:tc>
        <w:tc>
          <w:tcPr>
            <w:tcW w:w="50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3,452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Net Interest Related to Income Taxes</w:t>
            </w:r>
          </w:p>
        </w:tc>
        <w:tc>
          <w:tcPr>
            <w:tcW w:w="16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1E1E1E"/>
              </w:rPr>
              <w:t>U.S. federal</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1E1E1E"/>
              </w:rPr>
              <w:t>(931)</w:t>
            </w:r>
          </w:p>
        </w:tc>
        <w:tc>
          <w:tcPr>
            <w:tcW w:w="20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(3,062)</w:t>
            </w:r>
          </w:p>
        </w:tc>
        <w:tc>
          <w:tcPr>
            <w:tcW w:w="50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(2,728)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International</w:t>
            </w:r>
          </w:p>
        </w:tc>
        <w:tc>
          <w:tcPr>
            <w:tcW w:w="16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980" w:type="dxa"/>
            <w:vAlign w:val="bottom"/>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w:t>
            </w:r>
          </w:p>
        </w:tc>
        <w:tc>
          <w:tcPr>
            <w:tcW w:w="200" w:type="dxa"/>
            <w:vAlign w:val="bottom"/>
            <w:shd w:val="clear" w:color="auto" w:fill="E4E4E4"/>
          </w:tcPr>
          <w:p>
            <w:pPr>
              <w:spacing w:after="0"/>
              <w:rPr>
                <w:sz w:val="20"/>
                <w:szCs w:val="20"/>
                <w:color w:val="auto"/>
              </w:rPr>
            </w:pPr>
          </w:p>
        </w:tc>
        <w:tc>
          <w:tcPr>
            <w:tcW w:w="1240" w:type="dxa"/>
            <w:vAlign w:val="bottom"/>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w:t>
            </w:r>
          </w:p>
        </w:tc>
        <w:tc>
          <w:tcPr>
            <w:tcW w:w="50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Borders>
              <w:bottom w:val="single" w:sz="8" w:color="1E1E1E"/>
            </w:tcBorders>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160" w:type="dxa"/>
            <w:vAlign w:val="bottom"/>
            <w:tcBorders>
              <w:bottom w:val="single" w:sz="8" w:color="1E1E1E"/>
            </w:tcBorders>
          </w:tcPr>
          <w:p>
            <w:pPr>
              <w:spacing w:after="0"/>
              <w:rPr>
                <w:sz w:val="20"/>
                <w:szCs w:val="20"/>
                <w:color w:val="auto"/>
              </w:rPr>
            </w:pPr>
          </w:p>
        </w:tc>
        <w:tc>
          <w:tcPr>
            <w:tcW w:w="380" w:type="dxa"/>
            <w:vAlign w:val="bottom"/>
            <w:tcBorders>
              <w:bottom w:val="single" w:sz="8" w:color="1E1E1E"/>
            </w:tcBorders>
          </w:tcPr>
          <w:p>
            <w:pPr>
              <w:spacing w:after="0"/>
              <w:rPr>
                <w:sz w:val="20"/>
                <w:szCs w:val="20"/>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(5)</w:t>
            </w:r>
          </w:p>
        </w:tc>
        <w:tc>
          <w:tcPr>
            <w:tcW w:w="200" w:type="dxa"/>
            <w:vAlign w:val="bottom"/>
            <w:tcBorders>
              <w:bottom w:val="single" w:sz="8" w:color="1E1E1E"/>
            </w:tcBorders>
          </w:tcPr>
          <w:p>
            <w:pPr>
              <w:spacing w:after="0"/>
              <w:rPr>
                <w:sz w:val="20"/>
                <w:szCs w:val="20"/>
                <w:color w:val="auto"/>
              </w:rPr>
            </w:pPr>
          </w:p>
        </w:tc>
        <w:tc>
          <w:tcPr>
            <w:tcW w:w="124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203</w:t>
            </w:r>
          </w:p>
        </w:tc>
        <w:tc>
          <w:tcPr>
            <w:tcW w:w="500" w:type="dxa"/>
            <w:vAlign w:val="bottom"/>
            <w:tcBorders>
              <w:bottom w:val="single" w:sz="8" w:color="1E1E1E"/>
            </w:tcBorders>
          </w:tcPr>
          <w:p>
            <w:pPr>
              <w:spacing w:after="0"/>
              <w:rPr>
                <w:sz w:val="20"/>
                <w:szCs w:val="20"/>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1E1E1E"/>
            </w:tcBorders>
            <w:shd w:val="clear" w:color="auto" w:fill="E1E1E1"/>
          </w:tcPr>
          <w:p>
            <w:pPr>
              <w:spacing w:after="0" w:line="220" w:lineRule="exact"/>
              <w:rPr>
                <w:sz w:val="20"/>
                <w:szCs w:val="20"/>
                <w:color w:val="auto"/>
              </w:rPr>
            </w:pPr>
            <w:r>
              <w:rPr>
                <w:rFonts w:ascii="Times New Roman" w:cs="Times New Roman" w:eastAsia="Times New Roman" w:hAnsi="Times New Roman"/>
                <w:sz w:val="20"/>
                <w:szCs w:val="20"/>
                <w:color w:val="1E1E1E"/>
              </w:rPr>
              <w:t>Total Net Interest Related to Income Taxes</w:t>
            </w:r>
          </w:p>
        </w:tc>
        <w:tc>
          <w:tcPr>
            <w:tcW w:w="160" w:type="dxa"/>
            <w:vAlign w:val="bottom"/>
            <w:tcBorders>
              <w:bottom w:val="single" w:sz="8" w:color="1E1E1E"/>
            </w:tcBorders>
            <w:shd w:val="clear" w:color="auto" w:fill="E4E4E4"/>
          </w:tcPr>
          <w:p>
            <w:pPr>
              <w:spacing w:after="0"/>
              <w:rPr>
                <w:sz w:val="19"/>
                <w:szCs w:val="19"/>
                <w:color w:val="auto"/>
              </w:rPr>
            </w:pPr>
          </w:p>
        </w:tc>
        <w:tc>
          <w:tcPr>
            <w:tcW w:w="380" w:type="dxa"/>
            <w:vAlign w:val="bottom"/>
            <w:tcBorders>
              <w:bottom w:val="single" w:sz="8" w:color="1E1E1E"/>
            </w:tcBorders>
            <w:shd w:val="clear" w:color="auto" w:fill="E4E4E4"/>
          </w:tcPr>
          <w:p>
            <w:pPr>
              <w:spacing w:after="0"/>
              <w:rPr>
                <w:sz w:val="19"/>
                <w:szCs w:val="19"/>
                <w:color w:val="auto"/>
              </w:rPr>
            </w:pPr>
          </w:p>
        </w:tc>
        <w:tc>
          <w:tcPr>
            <w:tcW w:w="9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(936)</w:t>
            </w:r>
          </w:p>
        </w:tc>
        <w:tc>
          <w:tcPr>
            <w:tcW w:w="200" w:type="dxa"/>
            <w:vAlign w:val="bottom"/>
            <w:tcBorders>
              <w:bottom w:val="single" w:sz="8" w:color="1E1E1E"/>
            </w:tcBorders>
            <w:shd w:val="clear" w:color="auto" w:fill="E4E4E4"/>
          </w:tcPr>
          <w:p>
            <w:pPr>
              <w:spacing w:after="0"/>
              <w:rPr>
                <w:sz w:val="19"/>
                <w:szCs w:val="19"/>
                <w:color w:val="auto"/>
              </w:rPr>
            </w:pPr>
          </w:p>
        </w:tc>
        <w:tc>
          <w:tcPr>
            <w:tcW w:w="12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(2,859)</w:t>
            </w:r>
          </w:p>
        </w:tc>
        <w:tc>
          <w:tcPr>
            <w:tcW w:w="500" w:type="dxa"/>
            <w:vAlign w:val="bottom"/>
            <w:tcBorders>
              <w:bottom w:val="single" w:sz="8" w:color="1E1E1E"/>
            </w:tcBorders>
            <w:shd w:val="clear" w:color="auto" w:fill="E4E4E4"/>
          </w:tcPr>
          <w:p>
            <w:pPr>
              <w:spacing w:after="0"/>
              <w:rPr>
                <w:sz w:val="19"/>
                <w:szCs w:val="19"/>
                <w:color w:val="auto"/>
              </w:rPr>
            </w:pPr>
          </w:p>
        </w:tc>
        <w:tc>
          <w:tcPr>
            <w:tcW w:w="9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20"/>
                <w:szCs w:val="20"/>
                <w:color w:val="1E1E1E"/>
              </w:rPr>
              <w:t>Tax Expense Recognized for Unrecognized Tax Benefits (“UTBS”) in</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20"/>
                <w:szCs w:val="20"/>
                <w:color w:val="1E1E1E"/>
              </w:rPr>
              <w:t>the Statement of Operations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U.S. federal</w:t>
            </w:r>
          </w:p>
        </w:tc>
        <w:tc>
          <w:tcPr>
            <w:tcW w:w="16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980" w:type="dxa"/>
            <w:vAlign w:val="bottom"/>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w:t>
            </w:r>
          </w:p>
        </w:tc>
        <w:tc>
          <w:tcPr>
            <w:tcW w:w="200" w:type="dxa"/>
            <w:vAlign w:val="bottom"/>
            <w:shd w:val="clear" w:color="auto" w:fill="E4E4E4"/>
          </w:tcPr>
          <w:p>
            <w:pPr>
              <w:spacing w:after="0"/>
              <w:rPr>
                <w:sz w:val="20"/>
                <w:szCs w:val="20"/>
                <w:color w:val="auto"/>
              </w:rPr>
            </w:pPr>
          </w:p>
        </w:tc>
        <w:tc>
          <w:tcPr>
            <w:tcW w:w="1240" w:type="dxa"/>
            <w:vAlign w:val="bottom"/>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w:t>
            </w:r>
          </w:p>
        </w:tc>
        <w:tc>
          <w:tcPr>
            <w:tcW w:w="500" w:type="dxa"/>
            <w:vAlign w:val="bottom"/>
            <w:shd w:val="clear" w:color="auto" w:fill="E4E4E4"/>
          </w:tcPr>
          <w:p>
            <w:pPr>
              <w:spacing w:after="0"/>
              <w:rPr>
                <w:sz w:val="20"/>
                <w:szCs w:val="20"/>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International</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w:t>
            </w:r>
          </w:p>
        </w:tc>
        <w:tc>
          <w:tcPr>
            <w:tcW w:w="2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20"/>
                <w:szCs w:val="20"/>
                <w:color w:val="1E1E1E"/>
              </w:rPr>
              <w: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Borders>
              <w:bottom w:val="single" w:sz="8" w:color="1E1E1E"/>
            </w:tcBorders>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State</w:t>
            </w:r>
          </w:p>
        </w:tc>
        <w:tc>
          <w:tcPr>
            <w:tcW w:w="160" w:type="dxa"/>
            <w:vAlign w:val="bottom"/>
            <w:tcBorders>
              <w:bottom w:val="single" w:sz="8" w:color="1E1E1E"/>
            </w:tcBorders>
            <w:shd w:val="clear" w:color="auto" w:fill="E4E4E4"/>
          </w:tcPr>
          <w:p>
            <w:pPr>
              <w:spacing w:after="0"/>
              <w:rPr>
                <w:sz w:val="20"/>
                <w:szCs w:val="20"/>
                <w:color w:val="auto"/>
              </w:rPr>
            </w:pPr>
          </w:p>
        </w:tc>
        <w:tc>
          <w:tcPr>
            <w:tcW w:w="380" w:type="dxa"/>
            <w:vAlign w:val="bottom"/>
            <w:tcBorders>
              <w:bottom w:val="single" w:sz="8" w:color="1E1E1E"/>
            </w:tcBorders>
            <w:shd w:val="clear" w:color="auto" w:fill="E4E4E4"/>
          </w:tcPr>
          <w:p>
            <w:pPr>
              <w:spacing w:after="0"/>
              <w:rPr>
                <w:sz w:val="20"/>
                <w:szCs w:val="20"/>
                <w:color w:val="auto"/>
              </w:rPr>
            </w:pPr>
          </w:p>
        </w:tc>
        <w:tc>
          <w:tcPr>
            <w:tcW w:w="980" w:type="dxa"/>
            <w:vAlign w:val="bottom"/>
            <w:tcBorders>
              <w:bottom w:val="single" w:sz="8" w:color="1E1E1E"/>
            </w:tcBorders>
            <w:shd w:val="clear" w:color="auto" w:fill="E4E4E4"/>
          </w:tcPr>
          <w:p>
            <w:pPr>
              <w:jc w:val="right"/>
              <w:ind w:right="59"/>
              <w:spacing w:after="0"/>
              <w:rPr>
                <w:sz w:val="20"/>
                <w:szCs w:val="20"/>
                <w:color w:val="auto"/>
              </w:rPr>
            </w:pPr>
            <w:r>
              <w:rPr>
                <w:rFonts w:ascii="Times New Roman" w:cs="Times New Roman" w:eastAsia="Times New Roman" w:hAnsi="Times New Roman"/>
                <w:sz w:val="20"/>
                <w:szCs w:val="20"/>
                <w:b w:val="1"/>
                <w:bCs w:val="1"/>
                <w:color w:val="1E1E1E"/>
              </w:rPr>
              <w:t>113</w:t>
            </w:r>
          </w:p>
        </w:tc>
        <w:tc>
          <w:tcPr>
            <w:tcW w:w="200" w:type="dxa"/>
            <w:vAlign w:val="bottom"/>
            <w:tcBorders>
              <w:bottom w:val="single" w:sz="8" w:color="1E1E1E"/>
            </w:tcBorders>
            <w:shd w:val="clear" w:color="auto" w:fill="E4E4E4"/>
          </w:tcPr>
          <w:p>
            <w:pPr>
              <w:spacing w:after="0"/>
              <w:rPr>
                <w:sz w:val="20"/>
                <w:szCs w:val="20"/>
                <w:color w:val="auto"/>
              </w:rPr>
            </w:pPr>
          </w:p>
        </w:tc>
        <w:tc>
          <w:tcPr>
            <w:tcW w:w="1240" w:type="dxa"/>
            <w:vAlign w:val="bottom"/>
            <w:tcBorders>
              <w:bottom w:val="single" w:sz="8" w:color="1E1E1E"/>
            </w:tcBorders>
            <w:shd w:val="clear" w:color="auto" w:fill="E4E4E4"/>
          </w:tcPr>
          <w:p>
            <w:pPr>
              <w:jc w:val="right"/>
              <w:ind w:right="39"/>
              <w:spacing w:after="0"/>
              <w:rPr>
                <w:sz w:val="20"/>
                <w:szCs w:val="20"/>
                <w:color w:val="auto"/>
              </w:rPr>
            </w:pPr>
            <w:r>
              <w:rPr>
                <w:rFonts w:ascii="Times New Roman" w:cs="Times New Roman" w:eastAsia="Times New Roman" w:hAnsi="Times New Roman"/>
                <w:sz w:val="20"/>
                <w:szCs w:val="20"/>
                <w:color w:val="1E1E1E"/>
              </w:rPr>
              <w:t>103</w:t>
            </w:r>
          </w:p>
        </w:tc>
        <w:tc>
          <w:tcPr>
            <w:tcW w:w="500" w:type="dxa"/>
            <w:vAlign w:val="bottom"/>
            <w:tcBorders>
              <w:bottom w:val="single" w:sz="8" w:color="1E1E1E"/>
            </w:tcBorders>
            <w:shd w:val="clear" w:color="auto" w:fill="E4E4E4"/>
          </w:tcPr>
          <w:p>
            <w:pPr>
              <w:spacing w:after="0"/>
              <w:rPr>
                <w:sz w:val="20"/>
                <w:szCs w:val="20"/>
                <w:color w:val="auto"/>
              </w:rPr>
            </w:pPr>
          </w:p>
        </w:tc>
        <w:tc>
          <w:tcPr>
            <w:tcW w:w="9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Total Tax Expense Recognized for UTBS in the Statement of Operations</w:t>
            </w:r>
          </w:p>
        </w:tc>
        <w:tc>
          <w:tcPr>
            <w:tcW w:w="160" w:type="dxa"/>
            <w:vAlign w:val="bottom"/>
            <w:tcBorders>
              <w:bottom w:val="single" w:sz="8" w:color="1E1E1E"/>
            </w:tcBorders>
          </w:tcPr>
          <w:p>
            <w:pPr>
              <w:spacing w:after="0"/>
              <w:rPr>
                <w:sz w:val="19"/>
                <w:szCs w:val="19"/>
                <w:color w:val="auto"/>
              </w:rPr>
            </w:pPr>
          </w:p>
        </w:tc>
        <w:tc>
          <w:tcPr>
            <w:tcW w:w="38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113</w:t>
            </w:r>
          </w:p>
        </w:tc>
        <w:tc>
          <w:tcPr>
            <w:tcW w:w="2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103</w:t>
            </w:r>
          </w:p>
        </w:tc>
        <w:tc>
          <w:tcPr>
            <w:tcW w:w="50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573</w:t>
            </w:r>
          </w:p>
        </w:tc>
        <w:tc>
          <w:tcPr>
            <w:tcW w:w="0" w:type="dxa"/>
            <w:vAlign w:val="bottom"/>
          </w:tcPr>
          <w:p>
            <w:pPr>
              <w:spacing w:after="0"/>
              <w:rPr>
                <w:sz w:val="1"/>
                <w:szCs w:val="1"/>
                <w:color w:val="auto"/>
              </w:rPr>
            </w:pPr>
          </w:p>
        </w:tc>
      </w:tr>
      <w:tr>
        <w:trPr>
          <w:trHeight w:val="220"/>
        </w:trPr>
        <w:tc>
          <w:tcPr>
            <w:tcW w:w="20" w:type="dxa"/>
            <w:vAlign w:val="bottom"/>
            <w:tcBorders>
              <w:bottom w:val="single" w:sz="8" w:color="1E1E1E"/>
            </w:tcBorders>
          </w:tcPr>
          <w:p>
            <w:pPr>
              <w:spacing w:after="0"/>
              <w:rPr>
                <w:sz w:val="19"/>
                <w:szCs w:val="19"/>
                <w:color w:val="auto"/>
              </w:rPr>
            </w:pPr>
          </w:p>
        </w:tc>
        <w:tc>
          <w:tcPr>
            <w:tcW w:w="588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Income Tax Expense (Benefit) – Continuing Operations</w:t>
            </w:r>
          </w:p>
        </w:tc>
        <w:tc>
          <w:tcPr>
            <w:tcW w:w="540" w:type="dxa"/>
            <w:vAlign w:val="bottom"/>
            <w:tcBorders>
              <w:bottom w:val="single" w:sz="8" w:color="1E1E1E"/>
            </w:tcBorders>
            <w:gridSpan w:val="2"/>
            <w:shd w:val="clear" w:color="auto" w:fill="E4E4E4"/>
          </w:tcPr>
          <w:p>
            <w:pPr>
              <w:jc w:val="right"/>
              <w:ind w:right="280"/>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9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(685)</w:t>
            </w:r>
          </w:p>
        </w:tc>
        <w:tc>
          <w:tcPr>
            <w:tcW w:w="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shd w:val="clear" w:color="auto" w:fill="E4E4E4"/>
          </w:tcPr>
          <w:p>
            <w:pPr>
              <w:jc w:val="right"/>
              <w:ind w:right="39"/>
              <w:spacing w:after="0" w:line="220" w:lineRule="exact"/>
              <w:rPr>
                <w:sz w:val="20"/>
                <w:szCs w:val="20"/>
                <w:color w:val="auto"/>
              </w:rPr>
            </w:pPr>
            <w:r>
              <w:rPr>
                <w:rFonts w:ascii="Times New Roman" w:cs="Times New Roman" w:eastAsia="Times New Roman" w:hAnsi="Times New Roman"/>
                <w:sz w:val="20"/>
                <w:szCs w:val="20"/>
                <w:color w:val="1E1E1E"/>
              </w:rPr>
              <w:t>28,820</w:t>
            </w:r>
          </w:p>
        </w:tc>
        <w:tc>
          <w:tcPr>
            <w:tcW w:w="500" w:type="dxa"/>
            <w:vAlign w:val="bottom"/>
            <w:tcBorders>
              <w:bottom w:val="single" w:sz="8" w:color="1E1E1E"/>
            </w:tcBorders>
            <w:shd w:val="clear" w:color="auto" w:fill="E4E4E4"/>
          </w:tcPr>
          <w:p>
            <w:pPr>
              <w:jc w:val="right"/>
              <w:ind w:right="199"/>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1,854</w:t>
            </w: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588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980" w:top="1156"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70</w:t>
      </w:r>
    </w:p>
    <w:p>
      <w:pPr>
        <w:sectPr>
          <w:pgSz w:w="12240" w:h="15840" w:orient="portrait"/>
          <w:cols w:equalWidth="0" w:num="1">
            <w:col w:w="10260"/>
          </w:cols>
          <w:pgMar w:left="980" w:top="1156" w:right="1000" w:bottom="178"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Income Taxes, Continued</w:t>
      </w:r>
    </w:p>
    <w:p>
      <w:pPr>
        <w:spacing w:after="0" w:line="24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20"/>
          <w:szCs w:val="20"/>
          <w:color w:val="1E1E1E"/>
        </w:rPr>
        <w:t>Reconciliation of the United States federal statutory rate to our effective tax rate from continuing operations for Fiscal 2026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9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20"/>
                <w:szCs w:val="20"/>
                <w:b w:val="1"/>
                <w:bCs w:val="1"/>
                <w:color w:val="1E1E1E"/>
              </w:rPr>
              <w:t>Effective</w:t>
            </w:r>
          </w:p>
        </w:tc>
      </w:tr>
      <w:tr>
        <w:trPr>
          <w:trHeight w:val="230"/>
        </w:trPr>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90" w:type="dxa"/>
            <w:vAlign w:val="bottom"/>
          </w:tcPr>
          <w:p>
            <w:pPr>
              <w:spacing w:after="0"/>
              <w:rPr>
                <w:sz w:val="20"/>
                <w:szCs w:val="20"/>
                <w:color w:val="auto"/>
              </w:rPr>
            </w:pPr>
          </w:p>
        </w:tc>
        <w:tc>
          <w:tcPr>
            <w:tcW w:w="21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20"/>
                <w:szCs w:val="20"/>
                <w:b w:val="1"/>
                <w:bCs w:val="1"/>
                <w:color w:val="1E1E1E"/>
              </w:rPr>
              <w:t>Income</w:t>
            </w:r>
          </w:p>
        </w:tc>
      </w:tr>
      <w:tr>
        <w:trPr>
          <w:trHeight w:val="255"/>
        </w:trPr>
        <w:tc>
          <w:tcPr>
            <w:tcW w:w="7720" w:type="dxa"/>
            <w:vAlign w:val="bottom"/>
          </w:tcPr>
          <w:p>
            <w:pPr>
              <w:spacing w:after="0"/>
              <w:rPr>
                <w:sz w:val="22"/>
                <w:szCs w:val="2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1E1E1E"/>
              </w:rPr>
              <w:t>Fiscal Year</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20"/>
                <w:szCs w:val="20"/>
                <w:b w:val="1"/>
                <w:bCs w:val="1"/>
                <w:color w:val="1E1E1E"/>
              </w:rPr>
              <w:t>Tax</w:t>
            </w:r>
          </w:p>
        </w:tc>
      </w:tr>
      <w:tr>
        <w:trPr>
          <w:trHeight w:val="245"/>
        </w:trPr>
        <w:tc>
          <w:tcPr>
            <w:tcW w:w="77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 In thousands)</w:t>
            </w:r>
          </w:p>
        </w:tc>
        <w:tc>
          <w:tcPr>
            <w:tcW w:w="140" w:type="dxa"/>
            <w:vAlign w:val="bottom"/>
            <w:tcBorders>
              <w:bottom w:val="single" w:sz="8" w:color="1E1E1E"/>
            </w:tcBorders>
            <w:shd w:val="clear" w:color="auto" w:fill="E4E4E4"/>
          </w:tcPr>
          <w:p>
            <w:pPr>
              <w:spacing w:after="0"/>
              <w:rPr>
                <w:sz w:val="21"/>
                <w:szCs w:val="21"/>
                <w:color w:val="auto"/>
              </w:rPr>
            </w:pPr>
          </w:p>
        </w:tc>
        <w:tc>
          <w:tcPr>
            <w:tcW w:w="89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210" w:type="dxa"/>
            <w:vAlign w:val="bottom"/>
            <w:tcBorders>
              <w:bottom w:val="single" w:sz="8" w:color="1E1E1E"/>
            </w:tcBorders>
            <w:shd w:val="clear" w:color="auto" w:fill="E4E4E4"/>
          </w:tcPr>
          <w:p>
            <w:pPr>
              <w:spacing w:after="0"/>
              <w:rPr>
                <w:sz w:val="21"/>
                <w:szCs w:val="21"/>
                <w:color w:val="auto"/>
              </w:rPr>
            </w:pPr>
          </w:p>
        </w:tc>
        <w:tc>
          <w:tcPr>
            <w:tcW w:w="180" w:type="dxa"/>
            <w:vAlign w:val="bottom"/>
            <w:tcBorders>
              <w:bottom w:val="single" w:sz="8" w:color="1E1E1E"/>
            </w:tcBorders>
            <w:shd w:val="clear" w:color="auto" w:fill="E4E4E4"/>
          </w:tcPr>
          <w:p>
            <w:pPr>
              <w:spacing w:after="0"/>
              <w:rPr>
                <w:sz w:val="21"/>
                <w:szCs w:val="21"/>
                <w:color w:val="auto"/>
              </w:rPr>
            </w:pPr>
          </w:p>
        </w:tc>
        <w:tc>
          <w:tcPr>
            <w:tcW w:w="20" w:type="dxa"/>
            <w:vAlign w:val="bottom"/>
            <w:tcBorders>
              <w:bottom w:val="single" w:sz="8" w:color="1E1E1E"/>
            </w:tcBorders>
            <w:shd w:val="clear" w:color="auto" w:fill="E4E4E4"/>
          </w:tcPr>
          <w:p>
            <w:pPr>
              <w:spacing w:after="0"/>
              <w:rPr>
                <w:sz w:val="21"/>
                <w:szCs w:val="21"/>
                <w:color w:val="auto"/>
              </w:rPr>
            </w:pPr>
          </w:p>
        </w:tc>
        <w:tc>
          <w:tcPr>
            <w:tcW w:w="1080" w:type="dxa"/>
            <w:vAlign w:val="bottom"/>
            <w:tcBorders>
              <w:bottom w:val="single" w:sz="8" w:color="1E1E1E"/>
            </w:tcBorders>
            <w:shd w:val="clear" w:color="auto" w:fill="E4E4E4"/>
          </w:tcPr>
          <w:p>
            <w:pPr>
              <w:jc w:val="right"/>
              <w:ind w:right="199"/>
              <w:spacing w:after="0"/>
              <w:rPr>
                <w:sz w:val="20"/>
                <w:szCs w:val="20"/>
                <w:color w:val="auto"/>
              </w:rPr>
            </w:pPr>
            <w:r>
              <w:rPr>
                <w:rFonts w:ascii="Times New Roman" w:cs="Times New Roman" w:eastAsia="Times New Roman" w:hAnsi="Times New Roman"/>
                <w:sz w:val="20"/>
                <w:szCs w:val="20"/>
                <w:b w:val="1"/>
                <w:bCs w:val="1"/>
                <w:color w:val="1E1E1E"/>
              </w:rPr>
              <w:t>Rate %</w:t>
            </w:r>
          </w:p>
        </w:tc>
      </w:tr>
      <w:tr>
        <w:trPr>
          <w:trHeight w:val="230"/>
        </w:trPr>
        <w:tc>
          <w:tcPr>
            <w:tcW w:w="7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Earnings from continuing operations before income taxes</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99"/>
                <w:shd w:val="clear" w:color="auto" w:fill="E4E4E4"/>
              </w:rPr>
              <w:t>$</w:t>
            </w:r>
          </w:p>
        </w:tc>
        <w:tc>
          <w:tcPr>
            <w:tcW w:w="89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12,591</w:t>
            </w:r>
          </w:p>
        </w:tc>
        <w:tc>
          <w:tcPr>
            <w:tcW w:w="21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080" w:type="dxa"/>
            <w:vAlign w:val="bottom"/>
            <w:shd w:val="clear" w:color="auto" w:fill="E4E4E4"/>
          </w:tcPr>
          <w:p>
            <w:pPr>
              <w:jc w:val="right"/>
              <w:ind w:right="199"/>
              <w:spacing w:after="0"/>
              <w:rPr>
                <w:sz w:val="20"/>
                <w:szCs w:val="20"/>
                <w:color w:val="auto"/>
              </w:rPr>
            </w:pPr>
            <w:r>
              <w:rPr>
                <w:rFonts w:ascii="Times New Roman" w:cs="Times New Roman" w:eastAsia="Times New Roman" w:hAnsi="Times New Roman"/>
                <w:sz w:val="20"/>
                <w:szCs w:val="20"/>
                <w:b w:val="1"/>
                <w:bCs w:val="1"/>
                <w:color w:val="1E1E1E"/>
              </w:rPr>
              <w:t>NA</w:t>
            </w:r>
          </w:p>
        </w:tc>
      </w:tr>
      <w:tr>
        <w:trPr>
          <w:trHeight w:val="245"/>
        </w:trPr>
        <w:tc>
          <w:tcPr>
            <w:tcW w:w="77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Statutory U.S. income tax rate</w:t>
            </w:r>
          </w:p>
        </w:tc>
        <w:tc>
          <w:tcPr>
            <w:tcW w:w="14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21%</w:t>
            </w:r>
          </w:p>
        </w:tc>
        <w:tc>
          <w:tcPr>
            <w:tcW w:w="180" w:type="dxa"/>
            <w:vAlign w:val="bottom"/>
            <w:tcBorders>
              <w:bottom w:val="single" w:sz="8" w:color="1E1E1E"/>
            </w:tcBorders>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tcPr>
          <w:p>
            <w:pPr>
              <w:jc w:val="right"/>
              <w:ind w:right="199"/>
              <w:spacing w:after="0"/>
              <w:rPr>
                <w:sz w:val="20"/>
                <w:szCs w:val="20"/>
                <w:color w:val="auto"/>
              </w:rPr>
            </w:pPr>
            <w:r>
              <w:rPr>
                <w:rFonts w:ascii="Times New Roman" w:cs="Times New Roman" w:eastAsia="Times New Roman" w:hAnsi="Times New Roman"/>
                <w:sz w:val="20"/>
                <w:szCs w:val="20"/>
                <w:b w:val="1"/>
                <w:bCs w:val="1"/>
                <w:color w:val="1E1E1E"/>
              </w:rPr>
              <w:t>NA</w:t>
            </w:r>
          </w:p>
        </w:tc>
      </w:tr>
      <w:tr>
        <w:trPr>
          <w:trHeight w:val="254"/>
        </w:trPr>
        <w:tc>
          <w:tcPr>
            <w:tcW w:w="7720" w:type="dxa"/>
            <w:vAlign w:val="bottom"/>
            <w:tcBorders>
              <w:bottom w:val="single" w:sz="8" w:color="E4E4E4"/>
            </w:tcBorders>
          </w:tcPr>
          <w:p>
            <w:pPr>
              <w:spacing w:after="0"/>
              <w:rPr>
                <w:sz w:val="22"/>
                <w:szCs w:val="22"/>
                <w:color w:val="auto"/>
              </w:rPr>
            </w:pPr>
          </w:p>
        </w:tc>
        <w:tc>
          <w:tcPr>
            <w:tcW w:w="140" w:type="dxa"/>
            <w:vAlign w:val="bottom"/>
            <w:tcBorders>
              <w:bottom w:val="single" w:sz="8" w:color="E4E4E4"/>
            </w:tcBorders>
          </w:tcPr>
          <w:p>
            <w:pPr>
              <w:spacing w:after="0"/>
              <w:rPr>
                <w:sz w:val="22"/>
                <w:szCs w:val="22"/>
                <w:color w:val="auto"/>
              </w:rPr>
            </w:pPr>
          </w:p>
        </w:tc>
        <w:tc>
          <w:tcPr>
            <w:tcW w:w="890" w:type="dxa"/>
            <w:vAlign w:val="bottom"/>
            <w:tcBorders>
              <w:bottom w:val="single" w:sz="8" w:color="E4E4E4"/>
            </w:tcBorders>
          </w:tcPr>
          <w:p>
            <w:pPr>
              <w:spacing w:after="0"/>
              <w:rPr>
                <w:sz w:val="22"/>
                <w:szCs w:val="22"/>
                <w:color w:val="auto"/>
              </w:rPr>
            </w:pPr>
          </w:p>
        </w:tc>
        <w:tc>
          <w:tcPr>
            <w:tcW w:w="210" w:type="dxa"/>
            <w:vAlign w:val="bottom"/>
            <w:tcBorders>
              <w:bottom w:val="single" w:sz="8" w:color="E4E4E4"/>
            </w:tcBorders>
          </w:tcPr>
          <w:p>
            <w:pPr>
              <w:spacing w:after="0"/>
              <w:rPr>
                <w:sz w:val="22"/>
                <w:szCs w:val="22"/>
                <w:color w:val="auto"/>
              </w:rPr>
            </w:pPr>
          </w:p>
        </w:tc>
        <w:tc>
          <w:tcPr>
            <w:tcW w:w="180" w:type="dxa"/>
            <w:vAlign w:val="bottom"/>
            <w:tcBorders>
              <w:bottom w:val="single" w:sz="8" w:color="E4E4E4"/>
            </w:tcBorders>
          </w:tcPr>
          <w:p>
            <w:pPr>
              <w:spacing w:after="0"/>
              <w:rPr>
                <w:sz w:val="22"/>
                <w:szCs w:val="22"/>
                <w:color w:val="auto"/>
              </w:rPr>
            </w:pPr>
          </w:p>
        </w:tc>
        <w:tc>
          <w:tcPr>
            <w:tcW w:w="20" w:type="dxa"/>
            <w:vAlign w:val="bottom"/>
            <w:tcBorders>
              <w:bottom w:val="single" w:sz="8" w:color="E4E4E4"/>
            </w:tcBorders>
          </w:tcPr>
          <w:p>
            <w:pPr>
              <w:spacing w:after="0"/>
              <w:rPr>
                <w:sz w:val="22"/>
                <w:szCs w:val="22"/>
                <w:color w:val="auto"/>
              </w:rPr>
            </w:pPr>
          </w:p>
        </w:tc>
        <w:tc>
          <w:tcPr>
            <w:tcW w:w="1080" w:type="dxa"/>
            <w:vAlign w:val="bottom"/>
            <w:tcBorders>
              <w:bottom w:val="single" w:sz="8" w:color="E4E4E4"/>
            </w:tcBorders>
          </w:tcPr>
          <w:p>
            <w:pPr>
              <w:spacing w:after="0"/>
              <w:rPr>
                <w:sz w:val="22"/>
                <w:szCs w:val="22"/>
                <w:color w:val="auto"/>
              </w:rPr>
            </w:pPr>
          </w:p>
        </w:tc>
      </w:tr>
      <w:tr>
        <w:trPr>
          <w:trHeight w:val="205"/>
        </w:trPr>
        <w:tc>
          <w:tcPr>
            <w:tcW w:w="7720" w:type="dxa"/>
            <w:vAlign w:val="bottom"/>
            <w:shd w:val="clear" w:color="auto" w:fill="E4E4E4"/>
          </w:tcPr>
          <w:p>
            <w:pPr>
              <w:spacing w:after="0" w:line="205" w:lineRule="exact"/>
              <w:rPr>
                <w:sz w:val="20"/>
                <w:szCs w:val="20"/>
                <w:color w:val="auto"/>
              </w:rPr>
            </w:pPr>
            <w:r>
              <w:rPr>
                <w:rFonts w:ascii="Times New Roman" w:cs="Times New Roman" w:eastAsia="Times New Roman" w:hAnsi="Times New Roman"/>
                <w:sz w:val="20"/>
                <w:szCs w:val="20"/>
                <w:color w:val="1E1E1E"/>
              </w:rPr>
              <w:t>Tax expense using statutory U.S. income tax rate</w:t>
            </w:r>
          </w:p>
        </w:tc>
        <w:tc>
          <w:tcPr>
            <w:tcW w:w="140" w:type="dxa"/>
            <w:vAlign w:val="bottom"/>
            <w:shd w:val="clear" w:color="auto" w:fill="E4E4E4"/>
          </w:tcPr>
          <w:p>
            <w:pPr>
              <w:spacing w:after="0"/>
              <w:rPr>
                <w:sz w:val="17"/>
                <w:szCs w:val="17"/>
                <w:color w:val="auto"/>
              </w:rPr>
            </w:pPr>
          </w:p>
        </w:tc>
        <w:tc>
          <w:tcPr>
            <w:tcW w:w="890" w:type="dxa"/>
            <w:vAlign w:val="bottom"/>
            <w:shd w:val="clear" w:color="auto" w:fill="E4E4E4"/>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1E1E1E"/>
              </w:rPr>
              <w:t>2,644</w:t>
            </w:r>
          </w:p>
        </w:tc>
        <w:tc>
          <w:tcPr>
            <w:tcW w:w="21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4E4E4"/>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1E1E1E"/>
              </w:rPr>
              <w:t>21%</w:t>
            </w:r>
          </w:p>
        </w:tc>
      </w:tr>
      <w:tr>
        <w:trPr>
          <w:trHeight w:val="245"/>
        </w:trPr>
        <w:tc>
          <w:tcPr>
            <w:tcW w:w="7720" w:type="dxa"/>
            <w:vAlign w:val="bottom"/>
          </w:tcPr>
          <w:p>
            <w:pPr>
              <w:spacing w:after="0" w:line="245" w:lineRule="exact"/>
              <w:rPr>
                <w:sz w:val="20"/>
                <w:szCs w:val="20"/>
                <w:color w:val="auto"/>
              </w:rPr>
            </w:pPr>
            <w:r>
              <w:rPr>
                <w:rFonts w:ascii="Times New Roman" w:cs="Times New Roman" w:eastAsia="Times New Roman" w:hAnsi="Times New Roman"/>
                <w:sz w:val="20"/>
                <w:szCs w:val="20"/>
                <w:color w:val="1E1E1E"/>
              </w:rPr>
              <w:t xml:space="preserve">State and local income taxes, net of federal income tax effect </w:t>
            </w:r>
            <w:r>
              <w:rPr>
                <w:rFonts w:ascii="Times New Roman" w:cs="Times New Roman" w:eastAsia="Times New Roman" w:hAnsi="Times New Roman"/>
                <w:sz w:val="25"/>
                <w:szCs w:val="25"/>
                <w:color w:val="1E1E1E"/>
                <w:vertAlign w:val="superscript"/>
              </w:rPr>
              <w:t>(1)</w:t>
            </w:r>
          </w:p>
        </w:tc>
        <w:tc>
          <w:tcPr>
            <w:tcW w:w="140" w:type="dxa"/>
            <w:vAlign w:val="bottom"/>
          </w:tcPr>
          <w:p>
            <w:pPr>
              <w:spacing w:after="0"/>
              <w:rPr>
                <w:sz w:val="21"/>
                <w:szCs w:val="21"/>
                <w:color w:val="auto"/>
              </w:rPr>
            </w:pPr>
          </w:p>
        </w:tc>
        <w:tc>
          <w:tcPr>
            <w:tcW w:w="89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508</w:t>
            </w:r>
          </w:p>
        </w:tc>
        <w:tc>
          <w:tcPr>
            <w:tcW w:w="21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w:t>
            </w:r>
          </w:p>
        </w:tc>
      </w:tr>
      <w:tr>
        <w:trPr>
          <w:trHeight w:val="245"/>
        </w:trPr>
        <w:tc>
          <w:tcPr>
            <w:tcW w:w="7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Foreign tax effects:</w:t>
            </w:r>
          </w:p>
        </w:tc>
        <w:tc>
          <w:tcPr>
            <w:tcW w:w="140" w:type="dxa"/>
            <w:vAlign w:val="bottom"/>
            <w:shd w:val="clear" w:color="auto" w:fill="E4E4E4"/>
          </w:tcPr>
          <w:p>
            <w:pPr>
              <w:spacing w:after="0"/>
              <w:rPr>
                <w:sz w:val="21"/>
                <w:szCs w:val="21"/>
                <w:color w:val="auto"/>
              </w:rPr>
            </w:pPr>
          </w:p>
        </w:tc>
        <w:tc>
          <w:tcPr>
            <w:tcW w:w="890" w:type="dxa"/>
            <w:vAlign w:val="bottom"/>
            <w:shd w:val="clear" w:color="auto" w:fill="E4E4E4"/>
          </w:tcPr>
          <w:p>
            <w:pPr>
              <w:spacing w:after="0"/>
              <w:rPr>
                <w:sz w:val="21"/>
                <w:szCs w:val="21"/>
                <w:color w:val="auto"/>
              </w:rPr>
            </w:pPr>
          </w:p>
        </w:tc>
        <w:tc>
          <w:tcPr>
            <w:tcW w:w="21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80" w:type="dxa"/>
            <w:vAlign w:val="bottom"/>
            <w:shd w:val="clear" w:color="auto" w:fill="E4E4E4"/>
          </w:tcPr>
          <w:p>
            <w:pPr>
              <w:spacing w:after="0"/>
              <w:rPr>
                <w:sz w:val="21"/>
                <w:szCs w:val="21"/>
                <w:color w:val="auto"/>
              </w:rPr>
            </w:pPr>
          </w:p>
        </w:tc>
      </w:tr>
      <w:tr>
        <w:trPr>
          <w:trHeight w:val="240"/>
        </w:trPr>
        <w:tc>
          <w:tcPr>
            <w:tcW w:w="772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1E1E1E"/>
              </w:rPr>
              <w:t>U.K.:</w:t>
            </w:r>
          </w:p>
        </w:tc>
        <w:tc>
          <w:tcPr>
            <w:tcW w:w="140" w:type="dxa"/>
            <w:vAlign w:val="bottom"/>
            <w:tcBorders>
              <w:bottom w:val="single" w:sz="8" w:color="E4E4E4"/>
            </w:tcBorders>
          </w:tcPr>
          <w:p>
            <w:pPr>
              <w:spacing w:after="0"/>
              <w:rPr>
                <w:sz w:val="20"/>
                <w:szCs w:val="20"/>
                <w:color w:val="auto"/>
              </w:rPr>
            </w:pPr>
          </w:p>
        </w:tc>
        <w:tc>
          <w:tcPr>
            <w:tcW w:w="890" w:type="dxa"/>
            <w:vAlign w:val="bottom"/>
            <w:tcBorders>
              <w:bottom w:val="single" w:sz="8" w:color="E4E4E4"/>
            </w:tcBorders>
          </w:tcPr>
          <w:p>
            <w:pPr>
              <w:spacing w:after="0"/>
              <w:rPr>
                <w:sz w:val="20"/>
                <w:szCs w:val="20"/>
                <w:color w:val="auto"/>
              </w:rPr>
            </w:pPr>
          </w:p>
        </w:tc>
        <w:tc>
          <w:tcPr>
            <w:tcW w:w="210" w:type="dxa"/>
            <w:vAlign w:val="bottom"/>
            <w:tcBorders>
              <w:bottom w:val="single" w:sz="8" w:color="E4E4E4"/>
            </w:tcBorders>
          </w:tcPr>
          <w:p>
            <w:pPr>
              <w:spacing w:after="0"/>
              <w:rPr>
                <w:sz w:val="20"/>
                <w:szCs w:val="20"/>
                <w:color w:val="auto"/>
              </w:rPr>
            </w:pPr>
          </w:p>
        </w:tc>
        <w:tc>
          <w:tcPr>
            <w:tcW w:w="18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80" w:type="dxa"/>
            <w:vAlign w:val="bottom"/>
            <w:tcBorders>
              <w:bottom w:val="single" w:sz="8" w:color="E4E4E4"/>
            </w:tcBorders>
          </w:tcPr>
          <w:p>
            <w:pPr>
              <w:spacing w:after="0"/>
              <w:rPr>
                <w:sz w:val="20"/>
                <w:szCs w:val="20"/>
                <w:color w:val="auto"/>
              </w:rPr>
            </w:pPr>
          </w:p>
        </w:tc>
      </w:tr>
      <w:tr>
        <w:trPr>
          <w:trHeight w:val="225"/>
        </w:trPr>
        <w:tc>
          <w:tcPr>
            <w:tcW w:w="7720" w:type="dxa"/>
            <w:vAlign w:val="bottom"/>
            <w:shd w:val="clear" w:color="auto" w:fill="E4E4E4"/>
          </w:tcPr>
          <w:p>
            <w:pPr>
              <w:ind w:left="300"/>
              <w:spacing w:after="0" w:line="225" w:lineRule="exact"/>
              <w:rPr>
                <w:sz w:val="20"/>
                <w:szCs w:val="20"/>
                <w:color w:val="auto"/>
              </w:rPr>
            </w:pPr>
            <w:r>
              <w:rPr>
                <w:rFonts w:ascii="Times New Roman" w:cs="Times New Roman" w:eastAsia="Times New Roman" w:hAnsi="Times New Roman"/>
                <w:sz w:val="20"/>
                <w:szCs w:val="20"/>
                <w:color w:val="1E1E1E"/>
              </w:rPr>
              <w:t>Statutory rate difference between U.K. and U.S.</w:t>
            </w:r>
          </w:p>
        </w:tc>
        <w:tc>
          <w:tcPr>
            <w:tcW w:w="140" w:type="dxa"/>
            <w:vAlign w:val="bottom"/>
            <w:shd w:val="clear" w:color="auto" w:fill="E4E4E4"/>
          </w:tcPr>
          <w:p>
            <w:pPr>
              <w:spacing w:after="0"/>
              <w:rPr>
                <w:sz w:val="19"/>
                <w:szCs w:val="19"/>
                <w:color w:val="auto"/>
              </w:rPr>
            </w:pPr>
          </w:p>
        </w:tc>
        <w:tc>
          <w:tcPr>
            <w:tcW w:w="89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(239)</w:t>
            </w:r>
          </w:p>
        </w:tc>
        <w:tc>
          <w:tcPr>
            <w:tcW w:w="21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(2)%</w:t>
            </w:r>
          </w:p>
        </w:tc>
      </w:tr>
      <w:tr>
        <w:trPr>
          <w:trHeight w:val="245"/>
        </w:trPr>
        <w:tc>
          <w:tcPr>
            <w:tcW w:w="7720" w:type="dxa"/>
            <w:vAlign w:val="bottom"/>
            <w:tcBorders>
              <w:bottom w:val="single" w:sz="8" w:color="E4E4E4"/>
            </w:tcBorders>
          </w:tcPr>
          <w:p>
            <w:pPr>
              <w:ind w:left="300"/>
              <w:spacing w:after="0"/>
              <w:rPr>
                <w:sz w:val="20"/>
                <w:szCs w:val="20"/>
                <w:color w:val="auto"/>
              </w:rPr>
            </w:pPr>
            <w:r>
              <w:rPr>
                <w:rFonts w:ascii="Times New Roman" w:cs="Times New Roman" w:eastAsia="Times New Roman" w:hAnsi="Times New Roman"/>
                <w:sz w:val="20"/>
                <w:szCs w:val="20"/>
                <w:color w:val="1E1E1E"/>
              </w:rPr>
              <w:t>Valuation allowance</w:t>
            </w:r>
          </w:p>
        </w:tc>
        <w:tc>
          <w:tcPr>
            <w:tcW w:w="140" w:type="dxa"/>
            <w:vAlign w:val="bottom"/>
            <w:tcBorders>
              <w:bottom w:val="single" w:sz="8" w:color="E4E4E4"/>
            </w:tcBorders>
          </w:tcPr>
          <w:p>
            <w:pPr>
              <w:spacing w:after="0"/>
              <w:rPr>
                <w:sz w:val="21"/>
                <w:szCs w:val="21"/>
                <w:color w:val="auto"/>
              </w:rPr>
            </w:pPr>
          </w:p>
        </w:tc>
        <w:tc>
          <w:tcPr>
            <w:tcW w:w="89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511</w:t>
            </w:r>
          </w:p>
        </w:tc>
        <w:tc>
          <w:tcPr>
            <w:tcW w:w="21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w:t>
            </w:r>
          </w:p>
        </w:tc>
      </w:tr>
      <w:tr>
        <w:trPr>
          <w:trHeight w:val="225"/>
        </w:trPr>
        <w:tc>
          <w:tcPr>
            <w:tcW w:w="7720" w:type="dxa"/>
            <w:vAlign w:val="bottom"/>
            <w:shd w:val="clear" w:color="auto" w:fill="E4E4E4"/>
          </w:tcPr>
          <w:p>
            <w:pPr>
              <w:ind w:left="300"/>
              <w:spacing w:after="0" w:line="225" w:lineRule="exact"/>
              <w:rPr>
                <w:sz w:val="20"/>
                <w:szCs w:val="20"/>
                <w:color w:val="auto"/>
              </w:rPr>
            </w:pPr>
            <w:r>
              <w:rPr>
                <w:rFonts w:ascii="Times New Roman" w:cs="Times New Roman" w:eastAsia="Times New Roman" w:hAnsi="Times New Roman"/>
                <w:sz w:val="20"/>
                <w:szCs w:val="20"/>
                <w:color w:val="1E1E1E"/>
              </w:rPr>
              <w:t>Nontaxable branch income</w:t>
            </w:r>
          </w:p>
        </w:tc>
        <w:tc>
          <w:tcPr>
            <w:tcW w:w="140" w:type="dxa"/>
            <w:vAlign w:val="bottom"/>
            <w:shd w:val="clear" w:color="auto" w:fill="E4E4E4"/>
          </w:tcPr>
          <w:p>
            <w:pPr>
              <w:spacing w:after="0"/>
              <w:rPr>
                <w:sz w:val="19"/>
                <w:szCs w:val="19"/>
                <w:color w:val="auto"/>
              </w:rPr>
            </w:pPr>
          </w:p>
        </w:tc>
        <w:tc>
          <w:tcPr>
            <w:tcW w:w="89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(419)</w:t>
            </w:r>
          </w:p>
        </w:tc>
        <w:tc>
          <w:tcPr>
            <w:tcW w:w="21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(3)%</w:t>
            </w:r>
          </w:p>
        </w:tc>
      </w:tr>
      <w:tr>
        <w:trPr>
          <w:trHeight w:val="270"/>
        </w:trPr>
        <w:tc>
          <w:tcPr>
            <w:tcW w:w="7720" w:type="dxa"/>
            <w:vAlign w:val="bottom"/>
            <w:tcBorders>
              <w:bottom w:val="single" w:sz="8" w:color="1E1E1E"/>
            </w:tcBorders>
          </w:tcPr>
          <w:p>
            <w:pPr>
              <w:ind w:left="300"/>
              <w:spacing w:after="0"/>
              <w:rPr>
                <w:sz w:val="20"/>
                <w:szCs w:val="20"/>
                <w:color w:val="auto"/>
              </w:rPr>
            </w:pPr>
            <w:r>
              <w:rPr>
                <w:rFonts w:ascii="Times New Roman" w:cs="Times New Roman" w:eastAsia="Times New Roman" w:hAnsi="Times New Roman"/>
                <w:sz w:val="20"/>
                <w:szCs w:val="20"/>
                <w:color w:val="1E1E1E"/>
              </w:rPr>
              <w:t>Other</w:t>
            </w:r>
          </w:p>
        </w:tc>
        <w:tc>
          <w:tcPr>
            <w:tcW w:w="140" w:type="dxa"/>
            <w:vAlign w:val="bottom"/>
            <w:tcBorders>
              <w:bottom w:val="single" w:sz="8" w:color="1E1E1E"/>
            </w:tcBorders>
          </w:tcPr>
          <w:p>
            <w:pPr>
              <w:spacing w:after="0"/>
              <w:rPr>
                <w:sz w:val="23"/>
                <w:szCs w:val="23"/>
                <w:color w:val="auto"/>
              </w:rPr>
            </w:pPr>
          </w:p>
        </w:tc>
        <w:tc>
          <w:tcPr>
            <w:tcW w:w="1100" w:type="dxa"/>
            <w:vAlign w:val="bottom"/>
            <w:tcBorders>
              <w:bottom w:val="single" w:sz="8" w:color="1E1E1E"/>
            </w:tcBorders>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1E1E1E"/>
              </w:rPr>
              <w:t>(373)</w:t>
            </w:r>
          </w:p>
        </w:tc>
        <w:tc>
          <w:tcPr>
            <w:tcW w:w="180" w:type="dxa"/>
            <w:vAlign w:val="bottom"/>
            <w:tcBorders>
              <w:bottom w:val="single" w:sz="8" w:color="1E1E1E"/>
            </w:tcBorders>
          </w:tcPr>
          <w:p>
            <w:pPr>
              <w:spacing w:after="0"/>
              <w:rPr>
                <w:sz w:val="23"/>
                <w:szCs w:val="23"/>
                <w:color w:val="auto"/>
              </w:rPr>
            </w:pPr>
          </w:p>
        </w:tc>
        <w:tc>
          <w:tcPr>
            <w:tcW w:w="20" w:type="dxa"/>
            <w:vAlign w:val="bottom"/>
            <w:tcBorders>
              <w:bottom w:val="single" w:sz="8" w:color="1E1E1E"/>
            </w:tcBorders>
          </w:tcPr>
          <w:p>
            <w:pPr>
              <w:spacing w:after="0"/>
              <w:rPr>
                <w:sz w:val="23"/>
                <w:szCs w:val="23"/>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w:t>
            </w:r>
          </w:p>
        </w:tc>
      </w:tr>
      <w:tr>
        <w:trPr>
          <w:trHeight w:val="214"/>
        </w:trPr>
        <w:tc>
          <w:tcPr>
            <w:tcW w:w="7720" w:type="dxa"/>
            <w:vAlign w:val="bottom"/>
            <w:tcBorders>
              <w:top w:val="single" w:sz="8" w:color="E4E4E4"/>
              <w:bottom w:val="single" w:sz="8" w:color="1E1E1E"/>
            </w:tcBorders>
            <w:shd w:val="clear" w:color="auto" w:fill="E4E4E4"/>
          </w:tcPr>
          <w:p>
            <w:pPr>
              <w:ind w:left="300"/>
              <w:spacing w:after="0" w:line="214" w:lineRule="exact"/>
              <w:rPr>
                <w:sz w:val="20"/>
                <w:szCs w:val="20"/>
                <w:color w:val="auto"/>
              </w:rPr>
            </w:pPr>
            <w:r>
              <w:rPr>
                <w:rFonts w:ascii="Times New Roman" w:cs="Times New Roman" w:eastAsia="Times New Roman" w:hAnsi="Times New Roman"/>
                <w:sz w:val="20"/>
                <w:szCs w:val="20"/>
                <w:color w:val="1E1E1E"/>
              </w:rPr>
              <w:t>Subtotal U.K.</w:t>
            </w:r>
          </w:p>
        </w:tc>
        <w:tc>
          <w:tcPr>
            <w:tcW w:w="140" w:type="dxa"/>
            <w:vAlign w:val="bottom"/>
            <w:tcBorders>
              <w:top w:val="single" w:sz="8" w:color="E4E4E4"/>
              <w:bottom w:val="single" w:sz="8" w:color="1E1E1E"/>
            </w:tcBorders>
            <w:shd w:val="clear" w:color="auto" w:fill="E4E4E4"/>
          </w:tcPr>
          <w:p>
            <w:pPr>
              <w:spacing w:after="0"/>
              <w:rPr>
                <w:sz w:val="18"/>
                <w:szCs w:val="18"/>
                <w:color w:val="auto"/>
              </w:rPr>
            </w:pPr>
          </w:p>
        </w:tc>
        <w:tc>
          <w:tcPr>
            <w:tcW w:w="890" w:type="dxa"/>
            <w:vAlign w:val="bottom"/>
            <w:tcBorders>
              <w:top w:val="single" w:sz="8" w:color="E4E4E4"/>
              <w:bottom w:val="single" w:sz="8" w:color="1E1E1E"/>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rPr>
              <w:t>(520)</w:t>
            </w:r>
          </w:p>
        </w:tc>
        <w:tc>
          <w:tcPr>
            <w:tcW w:w="210" w:type="dxa"/>
            <w:vAlign w:val="bottom"/>
            <w:tcBorders>
              <w:top w:val="single" w:sz="8" w:color="E4E4E4"/>
              <w:bottom w:val="single" w:sz="8" w:color="1E1E1E"/>
            </w:tcBorders>
            <w:shd w:val="clear" w:color="auto" w:fill="E4E4E4"/>
          </w:tcPr>
          <w:p>
            <w:pPr>
              <w:spacing w:after="0"/>
              <w:rPr>
                <w:sz w:val="18"/>
                <w:szCs w:val="18"/>
                <w:color w:val="auto"/>
              </w:rPr>
            </w:pPr>
          </w:p>
        </w:tc>
        <w:tc>
          <w:tcPr>
            <w:tcW w:w="180" w:type="dxa"/>
            <w:vAlign w:val="bottom"/>
            <w:tcBorders>
              <w:top w:val="single" w:sz="8" w:color="E4E4E4"/>
              <w:bottom w:val="single" w:sz="8" w:color="1E1E1E"/>
            </w:tcBorders>
            <w:shd w:val="clear" w:color="auto" w:fill="E4E4E4"/>
          </w:tcPr>
          <w:p>
            <w:pPr>
              <w:spacing w:after="0"/>
              <w:rPr>
                <w:sz w:val="18"/>
                <w:szCs w:val="18"/>
                <w:color w:val="auto"/>
              </w:rPr>
            </w:pPr>
          </w:p>
        </w:tc>
        <w:tc>
          <w:tcPr>
            <w:tcW w:w="20" w:type="dxa"/>
            <w:vAlign w:val="bottom"/>
            <w:tcBorders>
              <w:top w:val="single" w:sz="8" w:color="E4E4E4"/>
              <w:bottom w:val="single" w:sz="8" w:color="1E1E1E"/>
            </w:tcBorders>
          </w:tcPr>
          <w:p>
            <w:pPr>
              <w:spacing w:after="0"/>
              <w:rPr>
                <w:sz w:val="18"/>
                <w:szCs w:val="18"/>
                <w:color w:val="auto"/>
              </w:rPr>
            </w:pPr>
          </w:p>
        </w:tc>
        <w:tc>
          <w:tcPr>
            <w:tcW w:w="1080" w:type="dxa"/>
            <w:vAlign w:val="bottom"/>
            <w:tcBorders>
              <w:top w:val="single" w:sz="8" w:color="E4E4E4"/>
              <w:bottom w:val="single" w:sz="8" w:color="1E1E1E"/>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rPr>
              <w:t>(4)%</w:t>
            </w:r>
          </w:p>
        </w:tc>
      </w:tr>
      <w:tr>
        <w:trPr>
          <w:trHeight w:val="234"/>
        </w:trPr>
        <w:tc>
          <w:tcPr>
            <w:tcW w:w="7720" w:type="dxa"/>
            <w:vAlign w:val="bottom"/>
            <w:tcBorders>
              <w:bottom w:val="single" w:sz="8" w:color="E4E4E4"/>
            </w:tcBorders>
          </w:tcPr>
          <w:p>
            <w:pPr>
              <w:ind w:left="100"/>
              <w:spacing w:after="0"/>
              <w:rPr>
                <w:sz w:val="20"/>
                <w:szCs w:val="20"/>
                <w:color w:val="auto"/>
              </w:rPr>
            </w:pPr>
            <w:r>
              <w:rPr>
                <w:rFonts w:ascii="Times New Roman" w:cs="Times New Roman" w:eastAsia="Times New Roman" w:hAnsi="Times New Roman"/>
                <w:sz w:val="20"/>
                <w:szCs w:val="20"/>
                <w:color w:val="1E1E1E"/>
              </w:rPr>
              <w:t>ROI:</w:t>
            </w:r>
          </w:p>
        </w:tc>
        <w:tc>
          <w:tcPr>
            <w:tcW w:w="140" w:type="dxa"/>
            <w:vAlign w:val="bottom"/>
            <w:tcBorders>
              <w:bottom w:val="single" w:sz="8" w:color="E4E4E4"/>
            </w:tcBorders>
          </w:tcPr>
          <w:p>
            <w:pPr>
              <w:spacing w:after="0"/>
              <w:rPr>
                <w:sz w:val="20"/>
                <w:szCs w:val="20"/>
                <w:color w:val="auto"/>
              </w:rPr>
            </w:pPr>
          </w:p>
        </w:tc>
        <w:tc>
          <w:tcPr>
            <w:tcW w:w="890" w:type="dxa"/>
            <w:vAlign w:val="bottom"/>
            <w:tcBorders>
              <w:bottom w:val="single" w:sz="8" w:color="E4E4E4"/>
            </w:tcBorders>
          </w:tcPr>
          <w:p>
            <w:pPr>
              <w:spacing w:after="0"/>
              <w:rPr>
                <w:sz w:val="20"/>
                <w:szCs w:val="20"/>
                <w:color w:val="auto"/>
              </w:rPr>
            </w:pPr>
          </w:p>
        </w:tc>
        <w:tc>
          <w:tcPr>
            <w:tcW w:w="210" w:type="dxa"/>
            <w:vAlign w:val="bottom"/>
            <w:tcBorders>
              <w:bottom w:val="single" w:sz="8" w:color="E4E4E4"/>
            </w:tcBorders>
          </w:tcPr>
          <w:p>
            <w:pPr>
              <w:spacing w:after="0"/>
              <w:rPr>
                <w:sz w:val="20"/>
                <w:szCs w:val="20"/>
                <w:color w:val="auto"/>
              </w:rPr>
            </w:pPr>
          </w:p>
        </w:tc>
        <w:tc>
          <w:tcPr>
            <w:tcW w:w="180" w:type="dxa"/>
            <w:vAlign w:val="bottom"/>
            <w:tcBorders>
              <w:bottom w:val="single" w:sz="8" w:color="E4E4E4"/>
            </w:tcBorders>
          </w:tcPr>
          <w:p>
            <w:pPr>
              <w:spacing w:after="0"/>
              <w:rPr>
                <w:sz w:val="20"/>
                <w:szCs w:val="20"/>
                <w:color w:val="auto"/>
              </w:rPr>
            </w:pPr>
          </w:p>
        </w:tc>
        <w:tc>
          <w:tcPr>
            <w:tcW w:w="20" w:type="dxa"/>
            <w:vAlign w:val="bottom"/>
            <w:tcBorders>
              <w:bottom w:val="single" w:sz="8" w:color="E4E4E4"/>
            </w:tcBorders>
          </w:tcPr>
          <w:p>
            <w:pPr>
              <w:spacing w:after="0"/>
              <w:rPr>
                <w:sz w:val="20"/>
                <w:szCs w:val="20"/>
                <w:color w:val="auto"/>
              </w:rPr>
            </w:pPr>
          </w:p>
        </w:tc>
        <w:tc>
          <w:tcPr>
            <w:tcW w:w="1080" w:type="dxa"/>
            <w:vAlign w:val="bottom"/>
            <w:tcBorders>
              <w:bottom w:val="single" w:sz="8" w:color="E4E4E4"/>
            </w:tcBorders>
          </w:tcPr>
          <w:p>
            <w:pPr>
              <w:spacing w:after="0"/>
              <w:rPr>
                <w:sz w:val="20"/>
                <w:szCs w:val="20"/>
                <w:color w:val="auto"/>
              </w:rPr>
            </w:pPr>
          </w:p>
        </w:tc>
      </w:tr>
      <w:tr>
        <w:trPr>
          <w:trHeight w:val="220"/>
        </w:trPr>
        <w:tc>
          <w:tcPr>
            <w:tcW w:w="7720" w:type="dxa"/>
            <w:vAlign w:val="bottom"/>
            <w:shd w:val="clear" w:color="auto" w:fill="E4E4E4"/>
          </w:tcPr>
          <w:p>
            <w:pPr>
              <w:ind w:left="300"/>
              <w:spacing w:after="0" w:line="220" w:lineRule="exact"/>
              <w:rPr>
                <w:sz w:val="20"/>
                <w:szCs w:val="20"/>
                <w:color w:val="auto"/>
              </w:rPr>
            </w:pPr>
            <w:r>
              <w:rPr>
                <w:rFonts w:ascii="Times New Roman" w:cs="Times New Roman" w:eastAsia="Times New Roman" w:hAnsi="Times New Roman"/>
                <w:sz w:val="20"/>
                <w:szCs w:val="20"/>
                <w:color w:val="1E1E1E"/>
              </w:rPr>
              <w:t>Statutory rate difference between ROI and U.S.</w:t>
            </w:r>
          </w:p>
        </w:tc>
        <w:tc>
          <w:tcPr>
            <w:tcW w:w="140" w:type="dxa"/>
            <w:vAlign w:val="bottom"/>
            <w:shd w:val="clear" w:color="auto" w:fill="E4E4E4"/>
          </w:tcPr>
          <w:p>
            <w:pPr>
              <w:spacing w:after="0"/>
              <w:rPr>
                <w:sz w:val="19"/>
                <w:szCs w:val="19"/>
                <w:color w:val="auto"/>
              </w:rPr>
            </w:pPr>
          </w:p>
        </w:tc>
        <w:tc>
          <w:tcPr>
            <w:tcW w:w="89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263</w:t>
            </w:r>
          </w:p>
        </w:tc>
        <w:tc>
          <w:tcPr>
            <w:tcW w:w="21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2%</w:t>
            </w:r>
          </w:p>
        </w:tc>
      </w:tr>
      <w:tr>
        <w:trPr>
          <w:trHeight w:val="245"/>
        </w:trPr>
        <w:tc>
          <w:tcPr>
            <w:tcW w:w="7720" w:type="dxa"/>
            <w:vAlign w:val="bottom"/>
            <w:tcBorders>
              <w:bottom w:val="single" w:sz="8" w:color="E4E4E4"/>
            </w:tcBorders>
          </w:tcPr>
          <w:p>
            <w:pPr>
              <w:ind w:left="300"/>
              <w:spacing w:after="0"/>
              <w:rPr>
                <w:sz w:val="20"/>
                <w:szCs w:val="20"/>
                <w:color w:val="auto"/>
              </w:rPr>
            </w:pPr>
            <w:r>
              <w:rPr>
                <w:rFonts w:ascii="Times New Roman" w:cs="Times New Roman" w:eastAsia="Times New Roman" w:hAnsi="Times New Roman"/>
                <w:sz w:val="20"/>
                <w:szCs w:val="20"/>
                <w:color w:val="1E1E1E"/>
              </w:rPr>
              <w:t>Valuation allowance</w:t>
            </w:r>
          </w:p>
        </w:tc>
        <w:tc>
          <w:tcPr>
            <w:tcW w:w="140" w:type="dxa"/>
            <w:vAlign w:val="bottom"/>
            <w:tcBorders>
              <w:bottom w:val="single" w:sz="8" w:color="E4E4E4"/>
            </w:tcBorders>
          </w:tcPr>
          <w:p>
            <w:pPr>
              <w:spacing w:after="0"/>
              <w:rPr>
                <w:sz w:val="21"/>
                <w:szCs w:val="21"/>
                <w:color w:val="auto"/>
              </w:rPr>
            </w:pPr>
          </w:p>
        </w:tc>
        <w:tc>
          <w:tcPr>
            <w:tcW w:w="89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416</w:t>
            </w:r>
          </w:p>
        </w:tc>
        <w:tc>
          <w:tcPr>
            <w:tcW w:w="21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w:t>
            </w:r>
          </w:p>
        </w:tc>
      </w:tr>
      <w:tr>
        <w:trPr>
          <w:trHeight w:val="225"/>
        </w:trPr>
        <w:tc>
          <w:tcPr>
            <w:tcW w:w="7720" w:type="dxa"/>
            <w:vAlign w:val="bottom"/>
            <w:tcBorders>
              <w:bottom w:val="single" w:sz="8" w:color="1E1E1E"/>
            </w:tcBorders>
            <w:shd w:val="clear" w:color="auto" w:fill="E4E4E4"/>
          </w:tcPr>
          <w:p>
            <w:pPr>
              <w:ind w:left="300"/>
              <w:spacing w:after="0" w:line="225" w:lineRule="exact"/>
              <w:rPr>
                <w:sz w:val="20"/>
                <w:szCs w:val="20"/>
                <w:color w:val="auto"/>
              </w:rPr>
            </w:pPr>
            <w:r>
              <w:rPr>
                <w:rFonts w:ascii="Times New Roman" w:cs="Times New Roman" w:eastAsia="Times New Roman" w:hAnsi="Times New Roman"/>
                <w:sz w:val="20"/>
                <w:szCs w:val="20"/>
                <w:color w:val="1E1E1E"/>
              </w:rPr>
              <w:t>Other</w:t>
            </w:r>
          </w:p>
        </w:tc>
        <w:tc>
          <w:tcPr>
            <w:tcW w:w="140" w:type="dxa"/>
            <w:vAlign w:val="bottom"/>
            <w:tcBorders>
              <w:bottom w:val="single" w:sz="8" w:color="1E1E1E"/>
            </w:tcBorders>
            <w:shd w:val="clear" w:color="auto" w:fill="E4E4E4"/>
          </w:tcPr>
          <w:p>
            <w:pPr>
              <w:spacing w:after="0"/>
              <w:rPr>
                <w:sz w:val="19"/>
                <w:szCs w:val="19"/>
                <w:color w:val="auto"/>
              </w:rPr>
            </w:pPr>
          </w:p>
        </w:tc>
        <w:tc>
          <w:tcPr>
            <w:tcW w:w="89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(14)</w:t>
            </w:r>
          </w:p>
        </w:tc>
        <w:tc>
          <w:tcPr>
            <w:tcW w:w="210" w:type="dxa"/>
            <w:vAlign w:val="bottom"/>
            <w:tcBorders>
              <w:bottom w:val="single" w:sz="8" w:color="1E1E1E"/>
            </w:tcBorders>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spacing w:after="0"/>
              <w:rPr>
                <w:sz w:val="19"/>
                <w:szCs w:val="19"/>
                <w:color w:val="auto"/>
              </w:rPr>
            </w:pPr>
          </w:p>
        </w:tc>
        <w:tc>
          <w:tcPr>
            <w:tcW w:w="2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0%</w:t>
            </w:r>
          </w:p>
        </w:tc>
      </w:tr>
      <w:tr>
        <w:trPr>
          <w:trHeight w:val="259"/>
        </w:trPr>
        <w:tc>
          <w:tcPr>
            <w:tcW w:w="7720" w:type="dxa"/>
            <w:vAlign w:val="bottom"/>
            <w:tcBorders>
              <w:bottom w:val="single" w:sz="8" w:color="1E1E1E"/>
            </w:tcBorders>
          </w:tcPr>
          <w:p>
            <w:pPr>
              <w:ind w:left="300"/>
              <w:spacing w:after="0"/>
              <w:rPr>
                <w:sz w:val="20"/>
                <w:szCs w:val="20"/>
                <w:color w:val="auto"/>
              </w:rPr>
            </w:pPr>
            <w:r>
              <w:rPr>
                <w:rFonts w:ascii="Times New Roman" w:cs="Times New Roman" w:eastAsia="Times New Roman" w:hAnsi="Times New Roman"/>
                <w:sz w:val="20"/>
                <w:szCs w:val="20"/>
                <w:color w:val="1E1E1E"/>
              </w:rPr>
              <w:t>Subtotal ROI</w:t>
            </w:r>
          </w:p>
        </w:tc>
        <w:tc>
          <w:tcPr>
            <w:tcW w:w="140" w:type="dxa"/>
            <w:vAlign w:val="bottom"/>
            <w:tcBorders>
              <w:bottom w:val="single" w:sz="8" w:color="1E1E1E"/>
            </w:tcBorders>
          </w:tcPr>
          <w:p>
            <w:pPr>
              <w:spacing w:after="0"/>
              <w:rPr>
                <w:sz w:val="22"/>
                <w:szCs w:val="22"/>
                <w:color w:val="auto"/>
              </w:rPr>
            </w:pPr>
          </w:p>
        </w:tc>
        <w:tc>
          <w:tcPr>
            <w:tcW w:w="89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665</w:t>
            </w:r>
          </w:p>
        </w:tc>
        <w:tc>
          <w:tcPr>
            <w:tcW w:w="210" w:type="dxa"/>
            <w:vAlign w:val="bottom"/>
            <w:tcBorders>
              <w:bottom w:val="single" w:sz="8" w:color="1E1E1E"/>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5%</w:t>
            </w:r>
          </w:p>
        </w:tc>
      </w:tr>
      <w:tr>
        <w:trPr>
          <w:trHeight w:val="214"/>
        </w:trPr>
        <w:tc>
          <w:tcPr>
            <w:tcW w:w="7720" w:type="dxa"/>
            <w:vAlign w:val="bottom"/>
            <w:tcBorders>
              <w:top w:val="single" w:sz="8" w:color="E4E4E4"/>
              <w:bottom w:val="single" w:sz="8" w:color="1E1E1E"/>
            </w:tcBorders>
            <w:shd w:val="clear" w:color="auto" w:fill="E4E4E4"/>
          </w:tcPr>
          <w:p>
            <w:pPr>
              <w:ind w:left="100"/>
              <w:spacing w:after="0" w:line="214" w:lineRule="exact"/>
              <w:rPr>
                <w:sz w:val="20"/>
                <w:szCs w:val="20"/>
                <w:color w:val="auto"/>
              </w:rPr>
            </w:pPr>
            <w:r>
              <w:rPr>
                <w:rFonts w:ascii="Times New Roman" w:cs="Times New Roman" w:eastAsia="Times New Roman" w:hAnsi="Times New Roman"/>
                <w:sz w:val="20"/>
                <w:szCs w:val="20"/>
                <w:color w:val="1E1E1E"/>
              </w:rPr>
              <w:t>Other foreign jurisdictions</w:t>
            </w:r>
          </w:p>
        </w:tc>
        <w:tc>
          <w:tcPr>
            <w:tcW w:w="140" w:type="dxa"/>
            <w:vAlign w:val="bottom"/>
            <w:tcBorders>
              <w:top w:val="single" w:sz="8" w:color="E4E4E4"/>
              <w:bottom w:val="single" w:sz="8" w:color="1E1E1E"/>
            </w:tcBorders>
            <w:shd w:val="clear" w:color="auto" w:fill="E4E4E4"/>
          </w:tcPr>
          <w:p>
            <w:pPr>
              <w:spacing w:after="0"/>
              <w:rPr>
                <w:sz w:val="18"/>
                <w:szCs w:val="18"/>
                <w:color w:val="auto"/>
              </w:rPr>
            </w:pPr>
          </w:p>
        </w:tc>
        <w:tc>
          <w:tcPr>
            <w:tcW w:w="890" w:type="dxa"/>
            <w:vAlign w:val="bottom"/>
            <w:tcBorders>
              <w:top w:val="single" w:sz="8" w:color="E4E4E4"/>
              <w:bottom w:val="single" w:sz="8" w:color="1E1E1E"/>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rPr>
              <w:t>(55)</w:t>
            </w:r>
          </w:p>
        </w:tc>
        <w:tc>
          <w:tcPr>
            <w:tcW w:w="210" w:type="dxa"/>
            <w:vAlign w:val="bottom"/>
            <w:tcBorders>
              <w:top w:val="single" w:sz="8" w:color="E4E4E4"/>
              <w:bottom w:val="single" w:sz="8" w:color="1E1E1E"/>
            </w:tcBorders>
            <w:shd w:val="clear" w:color="auto" w:fill="E4E4E4"/>
          </w:tcPr>
          <w:p>
            <w:pPr>
              <w:spacing w:after="0"/>
              <w:rPr>
                <w:sz w:val="18"/>
                <w:szCs w:val="18"/>
                <w:color w:val="auto"/>
              </w:rPr>
            </w:pPr>
          </w:p>
        </w:tc>
        <w:tc>
          <w:tcPr>
            <w:tcW w:w="180" w:type="dxa"/>
            <w:vAlign w:val="bottom"/>
            <w:tcBorders>
              <w:top w:val="single" w:sz="8" w:color="E4E4E4"/>
              <w:bottom w:val="single" w:sz="8" w:color="1E1E1E"/>
            </w:tcBorders>
            <w:shd w:val="clear" w:color="auto" w:fill="E4E4E4"/>
          </w:tcPr>
          <w:p>
            <w:pPr>
              <w:spacing w:after="0"/>
              <w:rPr>
                <w:sz w:val="18"/>
                <w:szCs w:val="18"/>
                <w:color w:val="auto"/>
              </w:rPr>
            </w:pPr>
          </w:p>
        </w:tc>
        <w:tc>
          <w:tcPr>
            <w:tcW w:w="20" w:type="dxa"/>
            <w:vAlign w:val="bottom"/>
            <w:tcBorders>
              <w:top w:val="single" w:sz="8" w:color="E4E4E4"/>
              <w:bottom w:val="single" w:sz="8" w:color="1E1E1E"/>
            </w:tcBorders>
          </w:tcPr>
          <w:p>
            <w:pPr>
              <w:spacing w:after="0"/>
              <w:rPr>
                <w:sz w:val="18"/>
                <w:szCs w:val="18"/>
                <w:color w:val="auto"/>
              </w:rPr>
            </w:pPr>
          </w:p>
        </w:tc>
        <w:tc>
          <w:tcPr>
            <w:tcW w:w="1080" w:type="dxa"/>
            <w:vAlign w:val="bottom"/>
            <w:tcBorders>
              <w:top w:val="single" w:sz="8" w:color="E4E4E4"/>
              <w:bottom w:val="single" w:sz="8" w:color="1E1E1E"/>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rPr>
              <w:t>0%</w:t>
            </w:r>
          </w:p>
        </w:tc>
      </w:tr>
      <w:tr>
        <w:trPr>
          <w:trHeight w:val="234"/>
        </w:trPr>
        <w:tc>
          <w:tcPr>
            <w:tcW w:w="77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Total foreign tax effects</w:t>
            </w:r>
          </w:p>
        </w:tc>
        <w:tc>
          <w:tcPr>
            <w:tcW w:w="140" w:type="dxa"/>
            <w:vAlign w:val="bottom"/>
            <w:tcBorders>
              <w:bottom w:val="single" w:sz="8" w:color="1E1E1E"/>
            </w:tcBorders>
          </w:tcPr>
          <w:p>
            <w:pPr>
              <w:spacing w:after="0"/>
              <w:rPr>
                <w:sz w:val="20"/>
                <w:szCs w:val="20"/>
                <w:color w:val="auto"/>
              </w:rPr>
            </w:pPr>
          </w:p>
        </w:tc>
        <w:tc>
          <w:tcPr>
            <w:tcW w:w="89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90</w:t>
            </w:r>
          </w:p>
        </w:tc>
        <w:tc>
          <w:tcPr>
            <w:tcW w:w="210" w:type="dxa"/>
            <w:vAlign w:val="bottom"/>
            <w:tcBorders>
              <w:bottom w:val="single" w:sz="8" w:color="1E1E1E"/>
            </w:tcBorders>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20" w:type="dxa"/>
            <w:vAlign w:val="bottom"/>
            <w:tcBorders>
              <w:bottom w:val="single" w:sz="8" w:color="1E1E1E"/>
            </w:tcBorders>
          </w:tcPr>
          <w:p>
            <w:pPr>
              <w:spacing w:after="0"/>
              <w:rPr>
                <w:sz w:val="20"/>
                <w:szCs w:val="20"/>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w:t>
            </w:r>
          </w:p>
        </w:tc>
      </w:tr>
      <w:tr>
        <w:trPr>
          <w:trHeight w:val="234"/>
        </w:trPr>
        <w:tc>
          <w:tcPr>
            <w:tcW w:w="7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Tax credits:</w:t>
            </w:r>
          </w:p>
        </w:tc>
        <w:tc>
          <w:tcPr>
            <w:tcW w:w="140" w:type="dxa"/>
            <w:vAlign w:val="bottom"/>
            <w:shd w:val="clear" w:color="auto" w:fill="E4E4E4"/>
          </w:tcPr>
          <w:p>
            <w:pPr>
              <w:spacing w:after="0"/>
              <w:rPr>
                <w:sz w:val="20"/>
                <w:szCs w:val="20"/>
                <w:color w:val="auto"/>
              </w:rPr>
            </w:pPr>
          </w:p>
        </w:tc>
        <w:tc>
          <w:tcPr>
            <w:tcW w:w="890" w:type="dxa"/>
            <w:vAlign w:val="bottom"/>
            <w:shd w:val="clear" w:color="auto" w:fill="E4E4E4"/>
          </w:tcPr>
          <w:p>
            <w:pPr>
              <w:spacing w:after="0"/>
              <w:rPr>
                <w:sz w:val="20"/>
                <w:szCs w:val="20"/>
                <w:color w:val="auto"/>
              </w:rPr>
            </w:pPr>
          </w:p>
        </w:tc>
        <w:tc>
          <w:tcPr>
            <w:tcW w:w="210" w:type="dxa"/>
            <w:vAlign w:val="bottom"/>
            <w:shd w:val="clear" w:color="auto" w:fill="E4E4E4"/>
          </w:tcPr>
          <w:p>
            <w:pPr>
              <w:spacing w:after="0"/>
              <w:rPr>
                <w:sz w:val="20"/>
                <w:szCs w:val="20"/>
                <w:color w:val="auto"/>
              </w:rPr>
            </w:pPr>
          </w:p>
        </w:tc>
        <w:tc>
          <w:tcPr>
            <w:tcW w:w="18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c>
          <w:tcPr>
            <w:tcW w:w="1080" w:type="dxa"/>
            <w:vAlign w:val="bottom"/>
            <w:shd w:val="clear" w:color="auto" w:fill="E4E4E4"/>
          </w:tcPr>
          <w:p>
            <w:pPr>
              <w:spacing w:after="0"/>
              <w:rPr>
                <w:sz w:val="20"/>
                <w:szCs w:val="20"/>
                <w:color w:val="auto"/>
              </w:rPr>
            </w:pPr>
          </w:p>
        </w:tc>
      </w:tr>
      <w:tr>
        <w:trPr>
          <w:trHeight w:val="245"/>
        </w:trPr>
        <w:tc>
          <w:tcPr>
            <w:tcW w:w="7720" w:type="dxa"/>
            <w:vAlign w:val="bottom"/>
            <w:tcBorders>
              <w:bottom w:val="single" w:sz="8" w:color="E4E4E4"/>
            </w:tcBorders>
          </w:tcPr>
          <w:p>
            <w:pPr>
              <w:ind w:left="300"/>
              <w:spacing w:after="0"/>
              <w:rPr>
                <w:sz w:val="20"/>
                <w:szCs w:val="20"/>
                <w:color w:val="auto"/>
              </w:rPr>
            </w:pPr>
            <w:r>
              <w:rPr>
                <w:rFonts w:ascii="Times New Roman" w:cs="Times New Roman" w:eastAsia="Times New Roman" w:hAnsi="Times New Roman"/>
                <w:sz w:val="20"/>
                <w:szCs w:val="20"/>
                <w:color w:val="1E1E1E"/>
              </w:rPr>
              <w:t>Work opportunity tax credit</w:t>
            </w:r>
          </w:p>
        </w:tc>
        <w:tc>
          <w:tcPr>
            <w:tcW w:w="140" w:type="dxa"/>
            <w:vAlign w:val="bottom"/>
            <w:tcBorders>
              <w:bottom w:val="single" w:sz="8" w:color="E4E4E4"/>
            </w:tcBorders>
          </w:tcPr>
          <w:p>
            <w:pPr>
              <w:spacing w:after="0"/>
              <w:rPr>
                <w:sz w:val="21"/>
                <w:szCs w:val="21"/>
                <w:color w:val="auto"/>
              </w:rPr>
            </w:pPr>
          </w:p>
        </w:tc>
        <w:tc>
          <w:tcPr>
            <w:tcW w:w="1100" w:type="dxa"/>
            <w:vAlign w:val="bottom"/>
            <w:tcBorders>
              <w:bottom w:val="single" w:sz="8" w:color="E4E4E4"/>
            </w:tcBorders>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1E1E1E"/>
              </w:rPr>
              <w:t>(938)</w:t>
            </w:r>
          </w:p>
        </w:tc>
        <w:tc>
          <w:tcPr>
            <w:tcW w:w="128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(8)%</w:t>
            </w:r>
          </w:p>
        </w:tc>
      </w:tr>
      <w:tr>
        <w:trPr>
          <w:trHeight w:val="220"/>
        </w:trPr>
        <w:tc>
          <w:tcPr>
            <w:tcW w:w="77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Changes in valuation allowance</w:t>
            </w:r>
          </w:p>
        </w:tc>
        <w:tc>
          <w:tcPr>
            <w:tcW w:w="140" w:type="dxa"/>
            <w:vAlign w:val="bottom"/>
            <w:shd w:val="clear" w:color="auto" w:fill="E4E4E4"/>
          </w:tcPr>
          <w:p>
            <w:pPr>
              <w:spacing w:after="0"/>
              <w:rPr>
                <w:sz w:val="19"/>
                <w:szCs w:val="19"/>
                <w:color w:val="auto"/>
              </w:rPr>
            </w:pPr>
          </w:p>
        </w:tc>
        <w:tc>
          <w:tcPr>
            <w:tcW w:w="89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(4,061)</w:t>
            </w:r>
          </w:p>
        </w:tc>
        <w:tc>
          <w:tcPr>
            <w:tcW w:w="21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(32)%</w:t>
            </w:r>
          </w:p>
        </w:tc>
      </w:tr>
      <w:tr>
        <w:trPr>
          <w:trHeight w:val="245"/>
        </w:trPr>
        <w:tc>
          <w:tcPr>
            <w:tcW w:w="77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Nontaxable or nondeductible items:</w:t>
            </w:r>
          </w:p>
        </w:tc>
        <w:tc>
          <w:tcPr>
            <w:tcW w:w="140" w:type="dxa"/>
            <w:vAlign w:val="bottom"/>
            <w:tcBorders>
              <w:bottom w:val="single" w:sz="8" w:color="E4E4E4"/>
            </w:tcBorders>
          </w:tcPr>
          <w:p>
            <w:pPr>
              <w:spacing w:after="0"/>
              <w:rPr>
                <w:sz w:val="21"/>
                <w:szCs w:val="21"/>
                <w:color w:val="auto"/>
              </w:rPr>
            </w:pPr>
          </w:p>
        </w:tc>
        <w:tc>
          <w:tcPr>
            <w:tcW w:w="890" w:type="dxa"/>
            <w:vAlign w:val="bottom"/>
            <w:tcBorders>
              <w:bottom w:val="single" w:sz="8" w:color="E4E4E4"/>
            </w:tcBorders>
          </w:tcPr>
          <w:p>
            <w:pPr>
              <w:spacing w:after="0"/>
              <w:rPr>
                <w:sz w:val="21"/>
                <w:szCs w:val="21"/>
                <w:color w:val="auto"/>
              </w:rPr>
            </w:pPr>
          </w:p>
        </w:tc>
        <w:tc>
          <w:tcPr>
            <w:tcW w:w="21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80" w:type="dxa"/>
            <w:vAlign w:val="bottom"/>
            <w:tcBorders>
              <w:bottom w:val="single" w:sz="8" w:color="E4E4E4"/>
            </w:tcBorders>
          </w:tcPr>
          <w:p>
            <w:pPr>
              <w:spacing w:after="0"/>
              <w:rPr>
                <w:sz w:val="21"/>
                <w:szCs w:val="21"/>
                <w:color w:val="auto"/>
              </w:rPr>
            </w:pPr>
          </w:p>
        </w:tc>
      </w:tr>
      <w:tr>
        <w:trPr>
          <w:trHeight w:val="225"/>
        </w:trPr>
        <w:tc>
          <w:tcPr>
            <w:tcW w:w="7720" w:type="dxa"/>
            <w:vAlign w:val="bottom"/>
            <w:shd w:val="clear" w:color="auto" w:fill="E4E4E4"/>
          </w:tcPr>
          <w:p>
            <w:pPr>
              <w:ind w:left="300"/>
              <w:spacing w:after="0" w:line="225" w:lineRule="exact"/>
              <w:rPr>
                <w:sz w:val="20"/>
                <w:szCs w:val="20"/>
                <w:color w:val="auto"/>
              </w:rPr>
            </w:pPr>
            <w:r>
              <w:rPr>
                <w:rFonts w:ascii="Times New Roman" w:cs="Times New Roman" w:eastAsia="Times New Roman" w:hAnsi="Times New Roman"/>
                <w:sz w:val="20"/>
                <w:szCs w:val="20"/>
                <w:color w:val="1E1E1E"/>
              </w:rPr>
              <w:t>Limitation on excess compensation</w:t>
            </w:r>
          </w:p>
        </w:tc>
        <w:tc>
          <w:tcPr>
            <w:tcW w:w="140" w:type="dxa"/>
            <w:vAlign w:val="bottom"/>
            <w:shd w:val="clear" w:color="auto" w:fill="E4E4E4"/>
          </w:tcPr>
          <w:p>
            <w:pPr>
              <w:spacing w:after="0"/>
              <w:rPr>
                <w:sz w:val="19"/>
                <w:szCs w:val="19"/>
                <w:color w:val="auto"/>
              </w:rPr>
            </w:pPr>
          </w:p>
        </w:tc>
        <w:tc>
          <w:tcPr>
            <w:tcW w:w="89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820</w:t>
            </w:r>
          </w:p>
        </w:tc>
        <w:tc>
          <w:tcPr>
            <w:tcW w:w="21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7%</w:t>
            </w:r>
          </w:p>
        </w:tc>
      </w:tr>
      <w:tr>
        <w:trPr>
          <w:trHeight w:val="245"/>
        </w:trPr>
        <w:tc>
          <w:tcPr>
            <w:tcW w:w="7720" w:type="dxa"/>
            <w:vAlign w:val="bottom"/>
            <w:tcBorders>
              <w:bottom w:val="single" w:sz="8" w:color="E4E4E4"/>
            </w:tcBorders>
          </w:tcPr>
          <w:p>
            <w:pPr>
              <w:ind w:left="300"/>
              <w:spacing w:after="0"/>
              <w:rPr>
                <w:sz w:val="20"/>
                <w:szCs w:val="20"/>
                <w:color w:val="auto"/>
              </w:rPr>
            </w:pPr>
            <w:r>
              <w:rPr>
                <w:rFonts w:ascii="Times New Roman" w:cs="Times New Roman" w:eastAsia="Times New Roman" w:hAnsi="Times New Roman"/>
                <w:sz w:val="20"/>
                <w:szCs w:val="20"/>
                <w:color w:val="1E1E1E"/>
              </w:rPr>
              <w:t>Share-based payment awards</w:t>
            </w:r>
          </w:p>
        </w:tc>
        <w:tc>
          <w:tcPr>
            <w:tcW w:w="140" w:type="dxa"/>
            <w:vAlign w:val="bottom"/>
            <w:tcBorders>
              <w:bottom w:val="single" w:sz="8" w:color="E4E4E4"/>
            </w:tcBorders>
          </w:tcPr>
          <w:p>
            <w:pPr>
              <w:spacing w:after="0"/>
              <w:rPr>
                <w:sz w:val="21"/>
                <w:szCs w:val="21"/>
                <w:color w:val="auto"/>
              </w:rPr>
            </w:pPr>
          </w:p>
        </w:tc>
        <w:tc>
          <w:tcPr>
            <w:tcW w:w="89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676</w:t>
            </w:r>
          </w:p>
        </w:tc>
        <w:tc>
          <w:tcPr>
            <w:tcW w:w="210" w:type="dxa"/>
            <w:vAlign w:val="bottom"/>
            <w:tcBorders>
              <w:bottom w:val="single" w:sz="8" w:color="E4E4E4"/>
            </w:tcBorders>
          </w:tcPr>
          <w:p>
            <w:pPr>
              <w:spacing w:after="0"/>
              <w:rPr>
                <w:sz w:val="21"/>
                <w:szCs w:val="21"/>
                <w:color w:val="auto"/>
              </w:rPr>
            </w:pPr>
          </w:p>
        </w:tc>
        <w:tc>
          <w:tcPr>
            <w:tcW w:w="180" w:type="dxa"/>
            <w:vAlign w:val="bottom"/>
            <w:tcBorders>
              <w:bottom w:val="single" w:sz="8" w:color="E4E4E4"/>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10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5%</w:t>
            </w:r>
          </w:p>
        </w:tc>
      </w:tr>
      <w:tr>
        <w:trPr>
          <w:trHeight w:val="225"/>
        </w:trPr>
        <w:tc>
          <w:tcPr>
            <w:tcW w:w="7720" w:type="dxa"/>
            <w:vAlign w:val="bottom"/>
            <w:shd w:val="clear" w:color="auto" w:fill="E4E4E4"/>
          </w:tcPr>
          <w:p>
            <w:pPr>
              <w:ind w:left="300"/>
              <w:spacing w:after="0" w:line="225" w:lineRule="exact"/>
              <w:rPr>
                <w:sz w:val="20"/>
                <w:szCs w:val="20"/>
                <w:color w:val="auto"/>
              </w:rPr>
            </w:pPr>
            <w:r>
              <w:rPr>
                <w:rFonts w:ascii="Times New Roman" w:cs="Times New Roman" w:eastAsia="Times New Roman" w:hAnsi="Times New Roman"/>
                <w:sz w:val="20"/>
                <w:szCs w:val="20"/>
                <w:color w:val="1E1E1E"/>
              </w:rPr>
              <w:t>Other</w:t>
            </w:r>
          </w:p>
        </w:tc>
        <w:tc>
          <w:tcPr>
            <w:tcW w:w="140" w:type="dxa"/>
            <w:vAlign w:val="bottom"/>
            <w:shd w:val="clear" w:color="auto" w:fill="E4E4E4"/>
          </w:tcPr>
          <w:p>
            <w:pPr>
              <w:spacing w:after="0"/>
              <w:rPr>
                <w:sz w:val="19"/>
                <w:szCs w:val="19"/>
                <w:color w:val="auto"/>
              </w:rPr>
            </w:pPr>
          </w:p>
        </w:tc>
        <w:tc>
          <w:tcPr>
            <w:tcW w:w="89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237</w:t>
            </w:r>
          </w:p>
        </w:tc>
        <w:tc>
          <w:tcPr>
            <w:tcW w:w="21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2%</w:t>
            </w:r>
          </w:p>
        </w:tc>
      </w:tr>
      <w:tr>
        <w:trPr>
          <w:trHeight w:val="240"/>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1E1E1E"/>
              </w:rPr>
              <w:t>Change in UTBs</w:t>
            </w:r>
          </w:p>
        </w:tc>
        <w:tc>
          <w:tcPr>
            <w:tcW w:w="140" w:type="dxa"/>
            <w:vAlign w:val="bottom"/>
          </w:tcPr>
          <w:p>
            <w:pPr>
              <w:spacing w:after="0"/>
              <w:rPr>
                <w:sz w:val="20"/>
                <w:szCs w:val="20"/>
                <w:color w:val="auto"/>
              </w:rPr>
            </w:pPr>
          </w:p>
        </w:tc>
        <w:tc>
          <w:tcPr>
            <w:tcW w:w="89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113</w:t>
            </w:r>
          </w:p>
        </w:tc>
        <w:tc>
          <w:tcPr>
            <w:tcW w:w="21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w:t>
            </w:r>
          </w:p>
        </w:tc>
      </w:tr>
      <w:tr>
        <w:trPr>
          <w:trHeight w:val="245"/>
        </w:trPr>
        <w:tc>
          <w:tcPr>
            <w:tcW w:w="7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 adjustments:</w:t>
            </w:r>
          </w:p>
        </w:tc>
        <w:tc>
          <w:tcPr>
            <w:tcW w:w="140" w:type="dxa"/>
            <w:vAlign w:val="bottom"/>
            <w:shd w:val="clear" w:color="auto" w:fill="E4E4E4"/>
          </w:tcPr>
          <w:p>
            <w:pPr>
              <w:spacing w:after="0"/>
              <w:rPr>
                <w:sz w:val="21"/>
                <w:szCs w:val="21"/>
                <w:color w:val="auto"/>
              </w:rPr>
            </w:pPr>
          </w:p>
        </w:tc>
        <w:tc>
          <w:tcPr>
            <w:tcW w:w="890" w:type="dxa"/>
            <w:vAlign w:val="bottom"/>
            <w:shd w:val="clear" w:color="auto" w:fill="E4E4E4"/>
          </w:tcPr>
          <w:p>
            <w:pPr>
              <w:spacing w:after="0"/>
              <w:rPr>
                <w:sz w:val="21"/>
                <w:szCs w:val="21"/>
                <w:color w:val="auto"/>
              </w:rPr>
            </w:pPr>
          </w:p>
        </w:tc>
        <w:tc>
          <w:tcPr>
            <w:tcW w:w="210" w:type="dxa"/>
            <w:vAlign w:val="bottom"/>
            <w:shd w:val="clear" w:color="auto" w:fill="E4E4E4"/>
          </w:tcPr>
          <w:p>
            <w:pPr>
              <w:spacing w:after="0"/>
              <w:rPr>
                <w:sz w:val="21"/>
                <w:szCs w:val="21"/>
                <w:color w:val="auto"/>
              </w:rPr>
            </w:pP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1080" w:type="dxa"/>
            <w:vAlign w:val="bottom"/>
            <w:shd w:val="clear" w:color="auto" w:fill="E4E4E4"/>
          </w:tcPr>
          <w:p>
            <w:pPr>
              <w:spacing w:after="0"/>
              <w:rPr>
                <w:sz w:val="21"/>
                <w:szCs w:val="21"/>
                <w:color w:val="auto"/>
              </w:rPr>
            </w:pPr>
          </w:p>
        </w:tc>
      </w:tr>
      <w:tr>
        <w:trPr>
          <w:trHeight w:val="245"/>
        </w:trPr>
        <w:tc>
          <w:tcPr>
            <w:tcW w:w="7720" w:type="dxa"/>
            <w:vAlign w:val="bottom"/>
            <w:tcBorders>
              <w:bottom w:val="single" w:sz="8" w:color="E4E4E4"/>
            </w:tcBorders>
          </w:tcPr>
          <w:p>
            <w:pPr>
              <w:ind w:left="300"/>
              <w:spacing w:after="0"/>
              <w:rPr>
                <w:sz w:val="20"/>
                <w:szCs w:val="20"/>
                <w:color w:val="auto"/>
              </w:rPr>
            </w:pPr>
            <w:r>
              <w:rPr>
                <w:rFonts w:ascii="Times New Roman" w:cs="Times New Roman" w:eastAsia="Times New Roman" w:hAnsi="Times New Roman"/>
                <w:sz w:val="20"/>
                <w:szCs w:val="20"/>
                <w:color w:val="1E1E1E"/>
              </w:rPr>
              <w:t>Interest &amp; penalties - income tax</w:t>
            </w:r>
          </w:p>
        </w:tc>
        <w:tc>
          <w:tcPr>
            <w:tcW w:w="140" w:type="dxa"/>
            <w:vAlign w:val="bottom"/>
            <w:tcBorders>
              <w:bottom w:val="single" w:sz="8" w:color="E4E4E4"/>
            </w:tcBorders>
          </w:tcPr>
          <w:p>
            <w:pPr>
              <w:spacing w:after="0"/>
              <w:rPr>
                <w:sz w:val="21"/>
                <w:szCs w:val="21"/>
                <w:color w:val="auto"/>
              </w:rPr>
            </w:pPr>
          </w:p>
        </w:tc>
        <w:tc>
          <w:tcPr>
            <w:tcW w:w="1100" w:type="dxa"/>
            <w:vAlign w:val="bottom"/>
            <w:tcBorders>
              <w:bottom w:val="single" w:sz="8" w:color="E4E4E4"/>
            </w:tcBorders>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1E1E1E"/>
              </w:rPr>
              <w:t>(735)</w:t>
            </w:r>
          </w:p>
        </w:tc>
        <w:tc>
          <w:tcPr>
            <w:tcW w:w="128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1E1E1E"/>
              </w:rPr>
              <w:t>(6)%</w:t>
            </w:r>
          </w:p>
        </w:tc>
      </w:tr>
      <w:tr>
        <w:trPr>
          <w:trHeight w:val="225"/>
        </w:trPr>
        <w:tc>
          <w:tcPr>
            <w:tcW w:w="7720" w:type="dxa"/>
            <w:vAlign w:val="bottom"/>
            <w:tcBorders>
              <w:bottom w:val="single" w:sz="8" w:color="1E1E1E"/>
            </w:tcBorders>
            <w:shd w:val="clear" w:color="auto" w:fill="E4E4E4"/>
          </w:tcPr>
          <w:p>
            <w:pPr>
              <w:ind w:left="300"/>
              <w:spacing w:after="0" w:line="225" w:lineRule="exact"/>
              <w:rPr>
                <w:sz w:val="20"/>
                <w:szCs w:val="20"/>
                <w:color w:val="auto"/>
              </w:rPr>
            </w:pPr>
            <w:r>
              <w:rPr>
                <w:rFonts w:ascii="Times New Roman" w:cs="Times New Roman" w:eastAsia="Times New Roman" w:hAnsi="Times New Roman"/>
                <w:sz w:val="20"/>
                <w:szCs w:val="20"/>
                <w:color w:val="1E1E1E"/>
              </w:rPr>
              <w:t>Other</w:t>
            </w:r>
          </w:p>
        </w:tc>
        <w:tc>
          <w:tcPr>
            <w:tcW w:w="140" w:type="dxa"/>
            <w:vAlign w:val="bottom"/>
            <w:tcBorders>
              <w:bottom w:val="single" w:sz="8" w:color="1E1E1E"/>
            </w:tcBorders>
            <w:shd w:val="clear" w:color="auto" w:fill="E4E4E4"/>
          </w:tcPr>
          <w:p>
            <w:pPr>
              <w:spacing w:after="0"/>
              <w:rPr>
                <w:sz w:val="19"/>
                <w:szCs w:val="19"/>
                <w:color w:val="auto"/>
              </w:rPr>
            </w:pPr>
          </w:p>
        </w:tc>
        <w:tc>
          <w:tcPr>
            <w:tcW w:w="89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(39)</w:t>
            </w:r>
          </w:p>
        </w:tc>
        <w:tc>
          <w:tcPr>
            <w:tcW w:w="210" w:type="dxa"/>
            <w:vAlign w:val="bottom"/>
            <w:tcBorders>
              <w:bottom w:val="single" w:sz="8" w:color="1E1E1E"/>
            </w:tcBorders>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spacing w:after="0"/>
              <w:rPr>
                <w:sz w:val="19"/>
                <w:szCs w:val="19"/>
                <w:color w:val="auto"/>
              </w:rPr>
            </w:pPr>
          </w:p>
        </w:tc>
        <w:tc>
          <w:tcPr>
            <w:tcW w:w="2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0%</w:t>
            </w:r>
          </w:p>
        </w:tc>
      </w:tr>
      <w:tr>
        <w:trPr>
          <w:trHeight w:val="267"/>
        </w:trPr>
        <w:tc>
          <w:tcPr>
            <w:tcW w:w="77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Income Tax Benefit/Effective Tax Rate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1E1E1E"/>
              </w:rPr>
              <w:t>(685)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4985385</wp:posOffset>
                </wp:positionH>
                <wp:positionV relativeFrom="paragraph">
                  <wp:posOffset>-4711700</wp:posOffset>
                </wp:positionV>
                <wp:extent cx="567055" cy="14668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055" cy="146685"/>
                        </a:xfrm>
                        <a:prstGeom prst="rect">
                          <a:avLst/>
                        </a:prstGeom>
                        <a:solidFill>
                          <a:srgbClr val="FFFFFF"/>
                        </a:solidFill>
                      </wps:spPr>
                      <wps:bodyPr/>
                    </wps:wsp>
                  </a:graphicData>
                </a:graphic>
              </wp:anchor>
            </w:drawing>
          </mc:Choice>
          <mc:Fallback>
            <w:pict>
              <v:rect id="Shape 69" o:spid="_x0000_s1094" style="position:absolute;margin-left:392.55pt;margin-top:-371pt;width:44.6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-4554220</wp:posOffset>
                </wp:positionV>
                <wp:extent cx="651002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58.5999pt" to="512.3pt,-358.5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-4394200</wp:posOffset>
                </wp:positionV>
                <wp:extent cx="518160" cy="14605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6050"/>
                        </a:xfrm>
                        <a:prstGeom prst="rect">
                          <a:avLst/>
                        </a:prstGeom>
                        <a:solidFill>
                          <a:srgbClr val="E4E4E4"/>
                        </a:solidFill>
                      </wps:spPr>
                      <wps:bodyPr/>
                    </wps:wsp>
                  </a:graphicData>
                </a:graphic>
              </wp:anchor>
            </w:drawing>
          </mc:Choice>
          <mc:Fallback>
            <w:pict>
              <v:rect id="Shape 71" o:spid="_x0000_s1096" style="position:absolute;margin-left:456.6pt;margin-top:-346pt;width:40.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-3775710</wp:posOffset>
                </wp:positionV>
                <wp:extent cx="518160" cy="14605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6050"/>
                        </a:xfrm>
                        <a:prstGeom prst="rect">
                          <a:avLst/>
                        </a:prstGeom>
                        <a:solidFill>
                          <a:srgbClr val="E4E4E4"/>
                        </a:solidFill>
                      </wps:spPr>
                      <wps:bodyPr/>
                    </wps:wsp>
                  </a:graphicData>
                </a:graphic>
              </wp:anchor>
            </w:drawing>
          </mc:Choice>
          <mc:Fallback>
            <w:pict>
              <v:rect id="Shape 72" o:spid="_x0000_s1097" style="position:absolute;margin-left:456.6pt;margin-top:-297.2999pt;width:40.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-3464560</wp:posOffset>
                </wp:positionV>
                <wp:extent cx="518160" cy="14605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6050"/>
                        </a:xfrm>
                        <a:prstGeom prst="rect">
                          <a:avLst/>
                        </a:prstGeom>
                        <a:solidFill>
                          <a:srgbClr val="E4E4E4"/>
                        </a:solidFill>
                      </wps:spPr>
                      <wps:bodyPr/>
                    </wps:wsp>
                  </a:graphicData>
                </a:graphic>
              </wp:anchor>
            </w:drawing>
          </mc:Choice>
          <mc:Fallback>
            <w:pict>
              <v:rect id="Shape 73" o:spid="_x0000_s1098" style="position:absolute;margin-left:456.6pt;margin-top:-272.7999pt;width:40.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-3147060</wp:posOffset>
                </wp:positionV>
                <wp:extent cx="518160" cy="14541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5415"/>
                        </a:xfrm>
                        <a:prstGeom prst="rect">
                          <a:avLst/>
                        </a:prstGeom>
                        <a:solidFill>
                          <a:srgbClr val="E4E4E4"/>
                        </a:solidFill>
                      </wps:spPr>
                      <wps:bodyPr/>
                    </wps:wsp>
                  </a:graphicData>
                </a:graphic>
              </wp:anchor>
            </w:drawing>
          </mc:Choice>
          <mc:Fallback>
            <w:pict>
              <v:rect id="Shape 74" o:spid="_x0000_s1099" style="position:absolute;margin-left:456.6pt;margin-top:-247.7999pt;width:40.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-2830830</wp:posOffset>
                </wp:positionV>
                <wp:extent cx="518160" cy="14351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3510"/>
                        </a:xfrm>
                        <a:prstGeom prst="rect">
                          <a:avLst/>
                        </a:prstGeom>
                        <a:solidFill>
                          <a:srgbClr val="E4E4E4"/>
                        </a:solidFill>
                      </wps:spPr>
                      <wps:bodyPr/>
                    </wps:wsp>
                  </a:graphicData>
                </a:graphic>
              </wp:anchor>
            </w:drawing>
          </mc:Choice>
          <mc:Fallback>
            <w:pict>
              <v:rect id="Shape 75" o:spid="_x0000_s1100" style="position:absolute;margin-left:456.6pt;margin-top:-222.8999pt;width:40.8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-2522855</wp:posOffset>
                </wp:positionV>
                <wp:extent cx="518160" cy="14605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6050"/>
                        </a:xfrm>
                        <a:prstGeom prst="rect">
                          <a:avLst/>
                        </a:prstGeom>
                        <a:solidFill>
                          <a:srgbClr val="E4E4E4"/>
                        </a:solidFill>
                      </wps:spPr>
                      <wps:bodyPr/>
                    </wps:wsp>
                  </a:graphicData>
                </a:graphic>
              </wp:anchor>
            </w:drawing>
          </mc:Choice>
          <mc:Fallback>
            <w:pict>
              <v:rect id="Shape 76" o:spid="_x0000_s1101" style="position:absolute;margin-left:456.6pt;margin-top:-198.6499pt;width:40.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-2199640</wp:posOffset>
                </wp:positionV>
                <wp:extent cx="518160" cy="14605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6050"/>
                        </a:xfrm>
                        <a:prstGeom prst="rect">
                          <a:avLst/>
                        </a:prstGeom>
                        <a:solidFill>
                          <a:srgbClr val="E4E4E4"/>
                        </a:solidFill>
                      </wps:spPr>
                      <wps:bodyPr/>
                    </wps:wsp>
                  </a:graphicData>
                </a:graphic>
              </wp:anchor>
            </w:drawing>
          </mc:Choice>
          <mc:Fallback>
            <w:pict>
              <v:rect id="Shape 77" o:spid="_x0000_s1102" style="position:absolute;margin-left:456.6pt;margin-top:-173.1999pt;width:40.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-2042795</wp:posOffset>
                </wp:positionV>
                <wp:extent cx="651002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60.8499pt" to="512.3pt,-160.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-1565910</wp:posOffset>
                </wp:positionV>
                <wp:extent cx="518160" cy="14351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3510"/>
                        </a:xfrm>
                        <a:prstGeom prst="rect">
                          <a:avLst/>
                        </a:prstGeom>
                        <a:solidFill>
                          <a:srgbClr val="E4E4E4"/>
                        </a:solidFill>
                      </wps:spPr>
                      <wps:bodyPr/>
                    </wps:wsp>
                  </a:graphicData>
                </a:graphic>
              </wp:anchor>
            </w:drawing>
          </mc:Choice>
          <mc:Fallback>
            <w:pict>
              <v:rect id="Shape 79" o:spid="_x0000_s1104" style="position:absolute;margin-left:456.6pt;margin-top:-123.2999pt;width:40.8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-1257935</wp:posOffset>
                </wp:positionV>
                <wp:extent cx="518160" cy="14605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6050"/>
                        </a:xfrm>
                        <a:prstGeom prst="rect">
                          <a:avLst/>
                        </a:prstGeom>
                        <a:solidFill>
                          <a:srgbClr val="E4E4E4"/>
                        </a:solidFill>
                      </wps:spPr>
                      <wps:bodyPr/>
                    </wps:wsp>
                  </a:graphicData>
                </a:graphic>
              </wp:anchor>
            </w:drawing>
          </mc:Choice>
          <mc:Fallback>
            <w:pict>
              <v:rect id="Shape 80" o:spid="_x0000_s1105" style="position:absolute;margin-left:456.6pt;margin-top:-99.0499pt;width:40.8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-947420</wp:posOffset>
                </wp:positionV>
                <wp:extent cx="518160" cy="14668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6685"/>
                        </a:xfrm>
                        <a:prstGeom prst="rect">
                          <a:avLst/>
                        </a:prstGeom>
                        <a:solidFill>
                          <a:srgbClr val="E4E4E4"/>
                        </a:solidFill>
                      </wps:spPr>
                      <wps:bodyPr/>
                    </wps:wsp>
                  </a:graphicData>
                </a:graphic>
              </wp:anchor>
            </w:drawing>
          </mc:Choice>
          <mc:Fallback>
            <w:pict>
              <v:rect id="Shape 81" o:spid="_x0000_s1106" style="position:absolute;margin-left:456.6pt;margin-top:-74.5999pt;width:40.8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-488315</wp:posOffset>
                </wp:positionV>
                <wp:extent cx="651002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0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38.4499pt" to="512.3pt,-38.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-327660</wp:posOffset>
                </wp:positionV>
                <wp:extent cx="518160" cy="14541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160" cy="145415"/>
                        </a:xfrm>
                        <a:prstGeom prst="rect">
                          <a:avLst/>
                        </a:prstGeom>
                        <a:solidFill>
                          <a:srgbClr val="E4E4E4"/>
                        </a:solidFill>
                      </wps:spPr>
                      <wps:bodyPr/>
                    </wps:wsp>
                  </a:graphicData>
                </a:graphic>
              </wp:anchor>
            </w:drawing>
          </mc:Choice>
          <mc:Fallback>
            <w:pict>
              <v:rect id="Shape 83" o:spid="_x0000_s1108" style="position:absolute;margin-left:456.6pt;margin-top:-25.7999pt;width:40.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1905</wp:posOffset>
                </wp:positionV>
                <wp:extent cx="651891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8910" cy="4763"/>
                        </a:xfrm>
                        <a:prstGeom prst="line">
                          <a:avLst/>
                        </a:prstGeom>
                        <a:solidFill>
                          <a:srgbClr val="FFFFFF"/>
                        </a:solidFill>
                        <a:ln w="9143">
                          <a:solidFill>
                            <a:srgbClr val="1E1E1E"/>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15pt" to="512.3pt,0.15pt" o:allowincell="f" strokecolor="#1E1E1E" strokeweight="0.7199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-15875</wp:posOffset>
                </wp:positionV>
                <wp:extent cx="651891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8910" cy="4763"/>
                        </a:xfrm>
                        <a:prstGeom prst="line">
                          <a:avLst/>
                        </a:prstGeom>
                        <a:solidFill>
                          <a:srgbClr val="FFFFFF"/>
                        </a:solidFill>
                        <a:ln w="9144">
                          <a:solidFill>
                            <a:srgbClr val="1E1E1E"/>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2499pt" to="512.3pt,-1.2499pt" o:allowincell="f" strokecolor="#1E1E1E" strokeweight="0.72pt"/>
            </w:pict>
          </mc:Fallback>
        </mc:AlternateContent>
      </w:r>
    </w:p>
    <w:p>
      <w:pPr>
        <w:spacing w:after="0"/>
        <w:rPr>
          <w:sz w:val="20"/>
          <w:szCs w:val="20"/>
          <w:color w:val="auto"/>
        </w:rPr>
      </w:pPr>
      <w:r>
        <w:rPr>
          <w:rFonts w:ascii="Times New Roman" w:cs="Times New Roman" w:eastAsia="Times New Roman" w:hAnsi="Times New Roman"/>
          <w:sz w:val="24"/>
          <w:szCs w:val="24"/>
          <w:color w:val="1E1E1E"/>
          <w:vertAlign w:val="superscript"/>
        </w:rPr>
        <w:t>(1)</w:t>
      </w:r>
      <w:r>
        <w:rPr>
          <w:rFonts w:ascii="Times New Roman" w:cs="Times New Roman" w:eastAsia="Times New Roman" w:hAnsi="Times New Roman"/>
          <w:sz w:val="19"/>
          <w:szCs w:val="19"/>
          <w:color w:val="1E1E1E"/>
        </w:rPr>
        <w:t>Texas makes up the majority of the state tax effect.</w:t>
      </w:r>
    </w:p>
    <w:p>
      <w:pPr>
        <w:sectPr>
          <w:pgSz w:w="12240" w:h="15840" w:orient="portrait"/>
          <w:cols w:equalWidth="0" w:num="1">
            <w:col w:w="10240"/>
          </w:cols>
          <w:pgMar w:left="1000" w:top="1156"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71</w:t>
      </w:r>
    </w:p>
    <w:p>
      <w:pPr>
        <w:sectPr>
          <w:pgSz w:w="12240" w:h="15840" w:orient="portrait"/>
          <w:cols w:equalWidth="0" w:num="1">
            <w:col w:w="10240"/>
          </w:cols>
          <w:pgMar w:left="1000" w:top="1156" w:right="1000" w:bottom="178"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11</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Income Taxes, Continued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Reconciliation of the United States federal statutory rate to our effective tax rate from continuing operations for Fiscal 2025 and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Fiscal 2024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 w:type="dxa"/>
            <w:vAlign w:val="bottom"/>
            <w:tcBorders>
              <w:bottom w:val="single" w:sz="8" w:color="1E1E1E"/>
            </w:tcBorders>
          </w:tcPr>
          <w:p>
            <w:pPr>
              <w:spacing w:after="0"/>
              <w:rPr>
                <w:sz w:val="22"/>
                <w:szCs w:val="22"/>
                <w:color w:val="auto"/>
              </w:rPr>
            </w:pPr>
          </w:p>
        </w:tc>
        <w:tc>
          <w:tcPr>
            <w:tcW w:w="2150" w:type="dxa"/>
            <w:vAlign w:val="bottom"/>
            <w:tcBorders>
              <w:bottom w:val="single" w:sz="8" w:color="1E1E1E"/>
            </w:tcBorders>
            <w:gridSpan w:val="3"/>
          </w:tcPr>
          <w:p>
            <w:pPr>
              <w:ind w:left="930"/>
              <w:spacing w:after="0"/>
              <w:rPr>
                <w:sz w:val="20"/>
                <w:szCs w:val="20"/>
                <w:color w:val="auto"/>
              </w:rPr>
            </w:pPr>
            <w:r>
              <w:rPr>
                <w:rFonts w:ascii="Times New Roman" w:cs="Times New Roman" w:eastAsia="Times New Roman" w:hAnsi="Times New Roman"/>
                <w:sz w:val="20"/>
                <w:szCs w:val="20"/>
                <w:b w:val="1"/>
                <w:bCs w:val="1"/>
                <w:color w:val="1E1E1E"/>
              </w:rPr>
              <w:t>Fiscal Year</w:t>
            </w:r>
          </w:p>
        </w:tc>
        <w:tc>
          <w:tcPr>
            <w:tcW w:w="800" w:type="dxa"/>
            <w:vAlign w:val="bottom"/>
            <w:tcBorders>
              <w:bottom w:val="single" w:sz="8" w:color="1E1E1E"/>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r>
      <w:tr>
        <w:trPr>
          <w:trHeight w:val="259"/>
        </w:trPr>
        <w:tc>
          <w:tcPr>
            <w:tcW w:w="20" w:type="dxa"/>
            <w:vAlign w:val="bottom"/>
          </w:tcPr>
          <w:p>
            <w:pPr>
              <w:spacing w:after="0"/>
              <w:rPr>
                <w:sz w:val="22"/>
                <w:szCs w:val="22"/>
                <w:color w:val="auto"/>
              </w:rPr>
            </w:pPr>
          </w:p>
        </w:tc>
        <w:tc>
          <w:tcPr>
            <w:tcW w:w="6820" w:type="dxa"/>
            <w:vAlign w:val="bottom"/>
            <w:tcBorders>
              <w:bottom w:val="single" w:sz="8" w:color="1E1E1E"/>
            </w:tcBorders>
          </w:tcPr>
          <w:p>
            <w:pPr>
              <w:spacing w:after="0"/>
              <w:rPr>
                <w:sz w:val="22"/>
                <w:szCs w:val="22"/>
                <w:color w:val="auto"/>
              </w:rPr>
            </w:pPr>
          </w:p>
        </w:tc>
        <w:tc>
          <w:tcPr>
            <w:tcW w:w="140" w:type="dxa"/>
            <w:vAlign w:val="bottom"/>
            <w:tcBorders>
              <w:bottom w:val="single" w:sz="8" w:color="1E1E1E"/>
            </w:tcBorders>
          </w:tcPr>
          <w:p>
            <w:pPr>
              <w:spacing w:after="0"/>
              <w:rPr>
                <w:sz w:val="22"/>
                <w:szCs w:val="22"/>
                <w:color w:val="auto"/>
              </w:rPr>
            </w:pPr>
          </w:p>
        </w:tc>
        <w:tc>
          <w:tcPr>
            <w:tcW w:w="14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170" w:type="dxa"/>
            <w:vAlign w:val="bottom"/>
            <w:tcBorders>
              <w:bottom w:val="single" w:sz="8" w:color="1E1E1E"/>
            </w:tcBorders>
          </w:tcPr>
          <w:p>
            <w:pPr>
              <w:spacing w:after="0"/>
              <w:rPr>
                <w:sz w:val="22"/>
                <w:szCs w:val="22"/>
                <w:color w:val="auto"/>
              </w:rPr>
            </w:pPr>
          </w:p>
        </w:tc>
        <w:tc>
          <w:tcPr>
            <w:tcW w:w="670" w:type="dxa"/>
            <w:vAlign w:val="bottom"/>
            <w:tcBorders>
              <w:bottom w:val="single" w:sz="8" w:color="1E1E1E"/>
            </w:tcBorders>
          </w:tcPr>
          <w:p>
            <w:pPr>
              <w:spacing w:after="0"/>
              <w:rPr>
                <w:sz w:val="22"/>
                <w:szCs w:val="22"/>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240" w:type="dxa"/>
            <w:vAlign w:val="bottom"/>
            <w:tcBorders>
              <w:bottom w:val="single" w:sz="8" w:color="1E1E1E"/>
            </w:tcBorders>
          </w:tcPr>
          <w:p>
            <w:pPr>
              <w:spacing w:after="0"/>
              <w:rPr>
                <w:sz w:val="22"/>
                <w:szCs w:val="22"/>
                <w:color w:val="auto"/>
              </w:rPr>
            </w:pPr>
          </w:p>
        </w:tc>
      </w:tr>
      <w:tr>
        <w:trPr>
          <w:trHeight w:val="214"/>
        </w:trPr>
        <w:tc>
          <w:tcPr>
            <w:tcW w:w="20" w:type="dxa"/>
            <w:vAlign w:val="bottom"/>
          </w:tcPr>
          <w:p>
            <w:pPr>
              <w:spacing w:after="0"/>
              <w:rPr>
                <w:sz w:val="18"/>
                <w:szCs w:val="18"/>
                <w:color w:val="auto"/>
              </w:rPr>
            </w:pPr>
          </w:p>
        </w:tc>
        <w:tc>
          <w:tcPr>
            <w:tcW w:w="6820" w:type="dxa"/>
            <w:vAlign w:val="bottom"/>
            <w:tcBorders>
              <w:top w:val="single" w:sz="8" w:color="E4E4E4"/>
            </w:tcBorders>
            <w:shd w:val="clear" w:color="auto" w:fill="E4E4E4"/>
          </w:tcPr>
          <w:p>
            <w:pPr>
              <w:spacing w:after="0" w:line="214" w:lineRule="exact"/>
              <w:rPr>
                <w:sz w:val="20"/>
                <w:szCs w:val="20"/>
                <w:color w:val="auto"/>
              </w:rPr>
            </w:pPr>
            <w:r>
              <w:rPr>
                <w:rFonts w:ascii="Times New Roman" w:cs="Times New Roman" w:eastAsia="Times New Roman" w:hAnsi="Times New Roman"/>
                <w:sz w:val="20"/>
                <w:szCs w:val="20"/>
                <w:color w:val="1E1E1E"/>
              </w:rPr>
              <w:t>U. S. federal statutory rate of tax</w:t>
            </w:r>
          </w:p>
        </w:tc>
        <w:tc>
          <w:tcPr>
            <w:tcW w:w="140" w:type="dxa"/>
            <w:vAlign w:val="bottom"/>
            <w:tcBorders>
              <w:top w:val="single" w:sz="8" w:color="E4E4E4"/>
            </w:tcBorders>
            <w:shd w:val="clear" w:color="auto" w:fill="E4E4E4"/>
          </w:tcPr>
          <w:p>
            <w:pPr>
              <w:spacing w:after="0"/>
              <w:rPr>
                <w:sz w:val="18"/>
                <w:szCs w:val="18"/>
                <w:color w:val="auto"/>
              </w:rPr>
            </w:pPr>
          </w:p>
        </w:tc>
        <w:tc>
          <w:tcPr>
            <w:tcW w:w="90" w:type="dxa"/>
            <w:vAlign w:val="bottom"/>
            <w:tcBorders>
              <w:top w:val="single" w:sz="8" w:color="E4E4E4"/>
            </w:tcBorders>
            <w:shd w:val="clear" w:color="auto" w:fill="E4E4E4"/>
          </w:tcPr>
          <w:p>
            <w:pPr>
              <w:spacing w:after="0"/>
              <w:rPr>
                <w:sz w:val="18"/>
                <w:szCs w:val="18"/>
                <w:color w:val="auto"/>
              </w:rPr>
            </w:pPr>
          </w:p>
        </w:tc>
        <w:tc>
          <w:tcPr>
            <w:tcW w:w="1480" w:type="dxa"/>
            <w:vAlign w:val="bottom"/>
            <w:tcBorders>
              <w:top w:val="single" w:sz="8" w:color="E4E4E4"/>
            </w:tcBorders>
            <w:gridSpan w:val="2"/>
            <w:shd w:val="clear" w:color="auto" w:fill="E4E4E4"/>
          </w:tcPr>
          <w:p>
            <w:pPr>
              <w:jc w:val="right"/>
              <w:ind w:right="10"/>
              <w:spacing w:after="0" w:line="214" w:lineRule="exact"/>
              <w:rPr>
                <w:sz w:val="20"/>
                <w:szCs w:val="20"/>
                <w:color w:val="auto"/>
              </w:rPr>
            </w:pPr>
            <w:r>
              <w:rPr>
                <w:rFonts w:ascii="Times New Roman" w:cs="Times New Roman" w:eastAsia="Times New Roman" w:hAnsi="Times New Roman"/>
                <w:sz w:val="20"/>
                <w:szCs w:val="20"/>
                <w:color w:val="1E1E1E"/>
              </w:rPr>
              <w:t>21.00%</w:t>
            </w:r>
          </w:p>
        </w:tc>
        <w:tc>
          <w:tcPr>
            <w:tcW w:w="670" w:type="dxa"/>
            <w:vAlign w:val="bottom"/>
            <w:tcBorders>
              <w:top w:val="single" w:sz="8" w:color="E4E4E4"/>
            </w:tcBorders>
            <w:shd w:val="clear" w:color="auto" w:fill="E4E4E4"/>
          </w:tcPr>
          <w:p>
            <w:pPr>
              <w:spacing w:after="0"/>
              <w:rPr>
                <w:sz w:val="18"/>
                <w:szCs w:val="18"/>
                <w:color w:val="auto"/>
              </w:rPr>
            </w:pPr>
          </w:p>
        </w:tc>
        <w:tc>
          <w:tcPr>
            <w:tcW w:w="1040" w:type="dxa"/>
            <w:vAlign w:val="bottom"/>
            <w:tcBorders>
              <w:top w:val="single" w:sz="8" w:color="E4E4E4"/>
            </w:tcBorders>
            <w:gridSpan w:val="2"/>
            <w:shd w:val="clear" w:color="auto" w:fill="E4E4E4"/>
          </w:tcPr>
          <w:p>
            <w:pPr>
              <w:jc w:val="right"/>
              <w:ind w:right="80"/>
              <w:spacing w:after="0" w:line="214" w:lineRule="exact"/>
              <w:rPr>
                <w:sz w:val="20"/>
                <w:szCs w:val="20"/>
                <w:color w:val="auto"/>
              </w:rPr>
            </w:pPr>
            <w:r>
              <w:rPr>
                <w:rFonts w:ascii="Times New Roman" w:cs="Times New Roman" w:eastAsia="Times New Roman" w:hAnsi="Times New Roman"/>
                <w:sz w:val="20"/>
                <w:szCs w:val="20"/>
                <w:color w:val="1E1E1E"/>
              </w:rPr>
              <w:t>21.00%</w:t>
            </w:r>
          </w:p>
        </w:tc>
      </w:tr>
      <w:tr>
        <w:trPr>
          <w:trHeight w:val="245"/>
        </w:trPr>
        <w:tc>
          <w:tcPr>
            <w:tcW w:w="20" w:type="dxa"/>
            <w:vAlign w:val="bottom"/>
          </w:tcPr>
          <w:p>
            <w:pPr>
              <w:spacing w:after="0"/>
              <w:rPr>
                <w:sz w:val="21"/>
                <w:szCs w:val="21"/>
                <w:color w:val="auto"/>
              </w:rPr>
            </w:pPr>
          </w:p>
        </w:tc>
        <w:tc>
          <w:tcPr>
            <w:tcW w:w="696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20"/>
                <w:szCs w:val="20"/>
                <w:color w:val="1E1E1E"/>
              </w:rPr>
              <w:t>State taxes (net of federal tax benefit)</w:t>
            </w:r>
          </w:p>
        </w:tc>
        <w:tc>
          <w:tcPr>
            <w:tcW w:w="140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1.06</w:t>
            </w:r>
          </w:p>
        </w:tc>
        <w:tc>
          <w:tcPr>
            <w:tcW w:w="170" w:type="dxa"/>
            <w:vAlign w:val="bottom"/>
            <w:tcBorders>
              <w:bottom w:val="single" w:sz="8" w:color="E4E4E4"/>
            </w:tcBorders>
          </w:tcPr>
          <w:p>
            <w:pPr>
              <w:spacing w:after="0"/>
              <w:rPr>
                <w:sz w:val="21"/>
                <w:szCs w:val="21"/>
                <w:color w:val="auto"/>
              </w:rPr>
            </w:pPr>
          </w:p>
        </w:tc>
        <w:tc>
          <w:tcPr>
            <w:tcW w:w="670" w:type="dxa"/>
            <w:vAlign w:val="bottom"/>
            <w:tcBorders>
              <w:bottom w:val="single" w:sz="8" w:color="E4E4E4"/>
            </w:tcBorders>
          </w:tcPr>
          <w:p>
            <w:pPr>
              <w:spacing w:after="0"/>
              <w:rPr>
                <w:sz w:val="21"/>
                <w:szCs w:val="21"/>
                <w:color w:val="auto"/>
              </w:rPr>
            </w:pPr>
          </w:p>
        </w:tc>
        <w:tc>
          <w:tcPr>
            <w:tcW w:w="1040" w:type="dxa"/>
            <w:vAlign w:val="bottom"/>
            <w:tcBorders>
              <w:bottom w:val="single" w:sz="8" w:color="E4E4E4"/>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(0.92)</w:t>
            </w:r>
          </w:p>
        </w:tc>
      </w:tr>
      <w:tr>
        <w:trPr>
          <w:trHeight w:val="220"/>
        </w:trPr>
        <w:tc>
          <w:tcPr>
            <w:tcW w:w="20" w:type="dxa"/>
            <w:vAlign w:val="bottom"/>
          </w:tcPr>
          <w:p>
            <w:pPr>
              <w:spacing w:after="0"/>
              <w:rPr>
                <w:sz w:val="19"/>
                <w:szCs w:val="19"/>
                <w:color w:val="auto"/>
              </w:rPr>
            </w:pPr>
          </w:p>
        </w:tc>
        <w:tc>
          <w:tcPr>
            <w:tcW w:w="68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Foreign rate differential</w:t>
            </w:r>
          </w:p>
        </w:tc>
        <w:tc>
          <w:tcPr>
            <w:tcW w:w="14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31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1.89</w:t>
            </w:r>
          </w:p>
        </w:tc>
        <w:tc>
          <w:tcPr>
            <w:tcW w:w="170" w:type="dxa"/>
            <w:vAlign w:val="bottom"/>
            <w:shd w:val="clear" w:color="auto" w:fill="E4E4E4"/>
          </w:tcPr>
          <w:p>
            <w:pPr>
              <w:spacing w:after="0"/>
              <w:rPr>
                <w:sz w:val="19"/>
                <w:szCs w:val="19"/>
                <w:color w:val="auto"/>
              </w:rPr>
            </w:pPr>
          </w:p>
        </w:tc>
        <w:tc>
          <w:tcPr>
            <w:tcW w:w="67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0.76</w:t>
            </w:r>
          </w:p>
        </w:tc>
        <w:tc>
          <w:tcPr>
            <w:tcW w:w="240" w:type="dxa"/>
            <w:vAlign w:val="bottom"/>
            <w:shd w:val="clear" w:color="auto" w:fill="E4E4E4"/>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96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20"/>
                <w:szCs w:val="20"/>
                <w:color w:val="1E1E1E"/>
              </w:rPr>
              <w:t>Change in valuation allowance</w:t>
            </w:r>
          </w:p>
        </w:tc>
        <w:tc>
          <w:tcPr>
            <w:tcW w:w="140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305.14</w:t>
            </w:r>
          </w:p>
        </w:tc>
        <w:tc>
          <w:tcPr>
            <w:tcW w:w="170" w:type="dxa"/>
            <w:vAlign w:val="bottom"/>
            <w:tcBorders>
              <w:bottom w:val="single" w:sz="8" w:color="E4E4E4"/>
            </w:tcBorders>
          </w:tcPr>
          <w:p>
            <w:pPr>
              <w:spacing w:after="0"/>
              <w:rPr>
                <w:sz w:val="21"/>
                <w:szCs w:val="21"/>
                <w:color w:val="auto"/>
              </w:rPr>
            </w:pPr>
          </w:p>
        </w:tc>
        <w:tc>
          <w:tcPr>
            <w:tcW w:w="670" w:type="dxa"/>
            <w:vAlign w:val="bottom"/>
            <w:tcBorders>
              <w:bottom w:val="single" w:sz="8" w:color="E4E4E4"/>
            </w:tcBorders>
          </w:tcPr>
          <w:p>
            <w:pPr>
              <w:spacing w:after="0"/>
              <w:rPr>
                <w:sz w:val="21"/>
                <w:szCs w:val="21"/>
                <w:color w:val="auto"/>
              </w:rPr>
            </w:pPr>
          </w:p>
        </w:tc>
        <w:tc>
          <w:tcPr>
            <w:tcW w:w="1040" w:type="dxa"/>
            <w:vAlign w:val="bottom"/>
            <w:tcBorders>
              <w:bottom w:val="single" w:sz="8" w:color="E4E4E4"/>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(33.57)</w:t>
            </w:r>
          </w:p>
        </w:tc>
      </w:tr>
      <w:tr>
        <w:trPr>
          <w:trHeight w:val="225"/>
        </w:trPr>
        <w:tc>
          <w:tcPr>
            <w:tcW w:w="20" w:type="dxa"/>
            <w:vAlign w:val="bottom"/>
          </w:tcPr>
          <w:p>
            <w:pPr>
              <w:spacing w:after="0"/>
              <w:rPr>
                <w:sz w:val="19"/>
                <w:szCs w:val="19"/>
                <w:color w:val="auto"/>
              </w:rPr>
            </w:pPr>
          </w:p>
        </w:tc>
        <w:tc>
          <w:tcPr>
            <w:tcW w:w="682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Uncertain tax position</w:t>
            </w:r>
          </w:p>
        </w:tc>
        <w:tc>
          <w:tcPr>
            <w:tcW w:w="14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31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1.10</w:t>
            </w:r>
          </w:p>
        </w:tc>
        <w:tc>
          <w:tcPr>
            <w:tcW w:w="170" w:type="dxa"/>
            <w:vAlign w:val="bottom"/>
            <w:shd w:val="clear" w:color="auto" w:fill="E4E4E4"/>
          </w:tcPr>
          <w:p>
            <w:pPr>
              <w:spacing w:after="0"/>
              <w:rPr>
                <w:sz w:val="19"/>
                <w:szCs w:val="19"/>
                <w:color w:val="auto"/>
              </w:rPr>
            </w:pPr>
          </w:p>
        </w:tc>
        <w:tc>
          <w:tcPr>
            <w:tcW w:w="67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(2.63)</w:t>
            </w:r>
          </w:p>
        </w:tc>
        <w:tc>
          <w:tcPr>
            <w:tcW w:w="240" w:type="dxa"/>
            <w:vAlign w:val="bottom"/>
            <w:shd w:val="clear" w:color="auto" w:fill="E4E4E4"/>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96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20"/>
                <w:szCs w:val="20"/>
                <w:color w:val="1E1E1E"/>
              </w:rPr>
              <w:t>Credits</w:t>
            </w:r>
          </w:p>
        </w:tc>
        <w:tc>
          <w:tcPr>
            <w:tcW w:w="1570" w:type="dxa"/>
            <w:vAlign w:val="bottom"/>
            <w:tcBorders>
              <w:bottom w:val="single" w:sz="8" w:color="E4E4E4"/>
            </w:tcBorders>
            <w:gridSpan w:val="3"/>
          </w:tcPr>
          <w:p>
            <w:pPr>
              <w:jc w:val="right"/>
              <w:ind w:right="110"/>
              <w:spacing w:after="0"/>
              <w:rPr>
                <w:sz w:val="20"/>
                <w:szCs w:val="20"/>
                <w:color w:val="auto"/>
              </w:rPr>
            </w:pPr>
            <w:r>
              <w:rPr>
                <w:rFonts w:ascii="Times New Roman" w:cs="Times New Roman" w:eastAsia="Times New Roman" w:hAnsi="Times New Roman"/>
                <w:sz w:val="20"/>
                <w:szCs w:val="20"/>
                <w:color w:val="1E1E1E"/>
              </w:rPr>
              <w:t>(9.83)</w:t>
            </w:r>
          </w:p>
        </w:tc>
        <w:tc>
          <w:tcPr>
            <w:tcW w:w="670" w:type="dxa"/>
            <w:vAlign w:val="bottom"/>
            <w:tcBorders>
              <w:bottom w:val="single" w:sz="8" w:color="E4E4E4"/>
            </w:tcBorders>
          </w:tcPr>
          <w:p>
            <w:pPr>
              <w:spacing w:after="0"/>
              <w:rPr>
                <w:sz w:val="21"/>
                <w:szCs w:val="21"/>
                <w:color w:val="auto"/>
              </w:rPr>
            </w:pPr>
          </w:p>
        </w:tc>
        <w:tc>
          <w:tcPr>
            <w:tcW w:w="8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4.54</w:t>
            </w:r>
          </w:p>
        </w:tc>
        <w:tc>
          <w:tcPr>
            <w:tcW w:w="240" w:type="dxa"/>
            <w:vAlign w:val="bottom"/>
            <w:tcBorders>
              <w:bottom w:val="single" w:sz="8" w:color="E4E4E4"/>
            </w:tcBorders>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682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Global intangible low-tax income</w:t>
            </w:r>
          </w:p>
        </w:tc>
        <w:tc>
          <w:tcPr>
            <w:tcW w:w="14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31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w:t>
            </w:r>
          </w:p>
        </w:tc>
        <w:tc>
          <w:tcPr>
            <w:tcW w:w="170" w:type="dxa"/>
            <w:vAlign w:val="bottom"/>
            <w:shd w:val="clear" w:color="auto" w:fill="E4E4E4"/>
          </w:tcPr>
          <w:p>
            <w:pPr>
              <w:spacing w:after="0"/>
              <w:rPr>
                <w:sz w:val="19"/>
                <w:szCs w:val="19"/>
                <w:color w:val="auto"/>
              </w:rPr>
            </w:pPr>
          </w:p>
        </w:tc>
        <w:tc>
          <w:tcPr>
            <w:tcW w:w="67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(2.34)</w:t>
            </w:r>
          </w:p>
        </w:tc>
        <w:tc>
          <w:tcPr>
            <w:tcW w:w="240" w:type="dxa"/>
            <w:vAlign w:val="bottom"/>
            <w:shd w:val="clear" w:color="auto" w:fill="E4E4E4"/>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696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20"/>
                <w:szCs w:val="20"/>
                <w:color w:val="1E1E1E"/>
              </w:rPr>
              <w:t>Permanent items</w:t>
            </w:r>
          </w:p>
        </w:tc>
        <w:tc>
          <w:tcPr>
            <w:tcW w:w="140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11.56</w:t>
            </w:r>
          </w:p>
        </w:tc>
        <w:tc>
          <w:tcPr>
            <w:tcW w:w="170" w:type="dxa"/>
            <w:vAlign w:val="bottom"/>
            <w:tcBorders>
              <w:bottom w:val="single" w:sz="8" w:color="E4E4E4"/>
            </w:tcBorders>
          </w:tcPr>
          <w:p>
            <w:pPr>
              <w:spacing w:after="0"/>
              <w:rPr>
                <w:sz w:val="20"/>
                <w:szCs w:val="20"/>
                <w:color w:val="auto"/>
              </w:rPr>
            </w:pPr>
          </w:p>
        </w:tc>
        <w:tc>
          <w:tcPr>
            <w:tcW w:w="670" w:type="dxa"/>
            <w:vAlign w:val="bottom"/>
            <w:tcBorders>
              <w:bottom w:val="single" w:sz="8" w:color="E4E4E4"/>
            </w:tcBorders>
          </w:tcPr>
          <w:p>
            <w:pPr>
              <w:spacing w:after="0"/>
              <w:rPr>
                <w:sz w:val="20"/>
                <w:szCs w:val="20"/>
                <w:color w:val="auto"/>
              </w:rPr>
            </w:pPr>
          </w:p>
        </w:tc>
        <w:tc>
          <w:tcPr>
            <w:tcW w:w="1040" w:type="dxa"/>
            <w:vAlign w:val="bottom"/>
            <w:tcBorders>
              <w:bottom w:val="single" w:sz="8" w:color="E4E4E4"/>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(4.50)</w:t>
            </w:r>
          </w:p>
        </w:tc>
      </w:tr>
      <w:tr>
        <w:trPr>
          <w:trHeight w:val="225"/>
        </w:trPr>
        <w:tc>
          <w:tcPr>
            <w:tcW w:w="20" w:type="dxa"/>
            <w:vAlign w:val="bottom"/>
          </w:tcPr>
          <w:p>
            <w:pPr>
              <w:spacing w:after="0"/>
              <w:rPr>
                <w:sz w:val="19"/>
                <w:szCs w:val="19"/>
                <w:color w:val="auto"/>
              </w:rPr>
            </w:pPr>
          </w:p>
        </w:tc>
        <w:tc>
          <w:tcPr>
            <w:tcW w:w="6820" w:type="dxa"/>
            <w:vAlign w:val="bottom"/>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IRS interest</w:t>
            </w:r>
          </w:p>
        </w:tc>
        <w:tc>
          <w:tcPr>
            <w:tcW w:w="140" w:type="dxa"/>
            <w:vAlign w:val="bottom"/>
            <w:shd w:val="clear" w:color="auto" w:fill="E4E4E4"/>
          </w:tcPr>
          <w:p>
            <w:pPr>
              <w:spacing w:after="0"/>
              <w:rPr>
                <w:sz w:val="19"/>
                <w:szCs w:val="19"/>
                <w:color w:val="auto"/>
              </w:rPr>
            </w:pPr>
          </w:p>
        </w:tc>
        <w:tc>
          <w:tcPr>
            <w:tcW w:w="90" w:type="dxa"/>
            <w:vAlign w:val="bottom"/>
            <w:shd w:val="clear" w:color="auto" w:fill="E4E4E4"/>
          </w:tcPr>
          <w:p>
            <w:pPr>
              <w:spacing w:after="0"/>
              <w:rPr>
                <w:sz w:val="19"/>
                <w:szCs w:val="19"/>
                <w:color w:val="auto"/>
              </w:rPr>
            </w:pPr>
          </w:p>
        </w:tc>
        <w:tc>
          <w:tcPr>
            <w:tcW w:w="131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(25.99)</w:t>
            </w:r>
          </w:p>
        </w:tc>
        <w:tc>
          <w:tcPr>
            <w:tcW w:w="170" w:type="dxa"/>
            <w:vAlign w:val="bottom"/>
            <w:shd w:val="clear" w:color="auto" w:fill="E4E4E4"/>
          </w:tcPr>
          <w:p>
            <w:pPr>
              <w:spacing w:after="0"/>
              <w:rPr>
                <w:sz w:val="19"/>
                <w:szCs w:val="19"/>
                <w:color w:val="auto"/>
              </w:rPr>
            </w:pPr>
          </w:p>
        </w:tc>
        <w:tc>
          <w:tcPr>
            <w:tcW w:w="67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9.90</w:t>
            </w:r>
          </w:p>
        </w:tc>
        <w:tc>
          <w:tcPr>
            <w:tcW w:w="240" w:type="dxa"/>
            <w:vAlign w:val="bottom"/>
            <w:shd w:val="clear" w:color="auto" w:fill="E4E4E4"/>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Other</w:t>
            </w:r>
          </w:p>
        </w:tc>
        <w:tc>
          <w:tcPr>
            <w:tcW w:w="14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3.70</w:t>
            </w:r>
          </w:p>
        </w:tc>
        <w:tc>
          <w:tcPr>
            <w:tcW w:w="170" w:type="dxa"/>
            <w:vAlign w:val="bottom"/>
            <w:tcBorders>
              <w:bottom w:val="single" w:sz="8" w:color="1E1E1E"/>
            </w:tcBorders>
          </w:tcPr>
          <w:p>
            <w:pPr>
              <w:spacing w:after="0"/>
              <w:rPr>
                <w:sz w:val="23"/>
                <w:szCs w:val="23"/>
                <w:color w:val="auto"/>
              </w:rPr>
            </w:pPr>
          </w:p>
        </w:tc>
        <w:tc>
          <w:tcPr>
            <w:tcW w:w="67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(0.75)</w:t>
            </w:r>
          </w:p>
        </w:tc>
      </w:tr>
      <w:tr>
        <w:trPr>
          <w:trHeight w:val="217"/>
        </w:trPr>
        <w:tc>
          <w:tcPr>
            <w:tcW w:w="20" w:type="dxa"/>
            <w:vAlign w:val="bottom"/>
            <w:tcBorders>
              <w:bottom w:val="single" w:sz="8" w:color="1E1E1E"/>
            </w:tcBorders>
          </w:tcPr>
          <w:p>
            <w:pPr>
              <w:spacing w:after="0"/>
              <w:rPr>
                <w:sz w:val="18"/>
                <w:szCs w:val="18"/>
                <w:color w:val="auto"/>
              </w:rPr>
            </w:pPr>
          </w:p>
        </w:tc>
        <w:tc>
          <w:tcPr>
            <w:tcW w:w="6820" w:type="dxa"/>
            <w:vAlign w:val="bottom"/>
            <w:tcBorders>
              <w:top w:val="single" w:sz="8" w:color="E4E4E4"/>
              <w:bottom w:val="single" w:sz="8" w:color="1E1E1E"/>
            </w:tcBorders>
            <w:shd w:val="clear" w:color="auto" w:fill="E4E4E4"/>
          </w:tcPr>
          <w:p>
            <w:pPr>
              <w:spacing w:after="0" w:line="217" w:lineRule="exact"/>
              <w:rPr>
                <w:sz w:val="20"/>
                <w:szCs w:val="20"/>
                <w:color w:val="auto"/>
              </w:rPr>
            </w:pPr>
            <w:r>
              <w:rPr>
                <w:rFonts w:ascii="Times New Roman" w:cs="Times New Roman" w:eastAsia="Times New Roman" w:hAnsi="Times New Roman"/>
                <w:sz w:val="20"/>
                <w:szCs w:val="20"/>
                <w:b w:val="1"/>
                <w:bCs w:val="1"/>
                <w:color w:val="1E1E1E"/>
              </w:rPr>
              <w:t>Effective Tax Rate</w:t>
            </w:r>
          </w:p>
        </w:tc>
        <w:tc>
          <w:tcPr>
            <w:tcW w:w="140" w:type="dxa"/>
            <w:vAlign w:val="bottom"/>
            <w:tcBorders>
              <w:top w:val="single" w:sz="8" w:color="E4E4E4"/>
              <w:bottom w:val="single" w:sz="8" w:color="1E1E1E"/>
            </w:tcBorders>
            <w:shd w:val="clear" w:color="auto" w:fill="E4E4E4"/>
          </w:tcPr>
          <w:p>
            <w:pPr>
              <w:spacing w:after="0"/>
              <w:rPr>
                <w:sz w:val="18"/>
                <w:szCs w:val="18"/>
                <w:color w:val="auto"/>
              </w:rPr>
            </w:pPr>
          </w:p>
        </w:tc>
        <w:tc>
          <w:tcPr>
            <w:tcW w:w="90" w:type="dxa"/>
            <w:vAlign w:val="bottom"/>
            <w:tcBorders>
              <w:top w:val="single" w:sz="8" w:color="E4E4E4"/>
              <w:bottom w:val="single" w:sz="8" w:color="1E1E1E"/>
            </w:tcBorders>
            <w:shd w:val="clear" w:color="auto" w:fill="E4E4E4"/>
          </w:tcPr>
          <w:p>
            <w:pPr>
              <w:spacing w:after="0"/>
              <w:rPr>
                <w:sz w:val="18"/>
                <w:szCs w:val="18"/>
                <w:color w:val="auto"/>
              </w:rPr>
            </w:pPr>
          </w:p>
        </w:tc>
        <w:tc>
          <w:tcPr>
            <w:tcW w:w="1310" w:type="dxa"/>
            <w:vAlign w:val="bottom"/>
            <w:tcBorders>
              <w:top w:val="single" w:sz="8" w:color="E4E4E4"/>
              <w:bottom w:val="single" w:sz="8" w:color="1E1E1E"/>
            </w:tcBorders>
            <w:shd w:val="clear" w:color="auto" w:fill="E4E4E4"/>
          </w:tcPr>
          <w:p>
            <w:pPr>
              <w:jc w:val="right"/>
              <w:spacing w:after="0" w:line="217" w:lineRule="exact"/>
              <w:rPr>
                <w:sz w:val="20"/>
                <w:szCs w:val="20"/>
                <w:color w:val="auto"/>
              </w:rPr>
            </w:pPr>
            <w:r>
              <w:rPr>
                <w:rFonts w:ascii="Times New Roman" w:cs="Times New Roman" w:eastAsia="Times New Roman" w:hAnsi="Times New Roman"/>
                <w:sz w:val="20"/>
                <w:szCs w:val="20"/>
                <w:color w:val="1E1E1E"/>
              </w:rPr>
              <w:t>309.63%</w:t>
            </w:r>
          </w:p>
        </w:tc>
        <w:tc>
          <w:tcPr>
            <w:tcW w:w="170" w:type="dxa"/>
            <w:vAlign w:val="bottom"/>
            <w:tcBorders>
              <w:top w:val="single" w:sz="8" w:color="E4E4E4"/>
              <w:bottom w:val="single" w:sz="8" w:color="1E1E1E"/>
            </w:tcBorders>
            <w:shd w:val="clear" w:color="auto" w:fill="E4E4E4"/>
          </w:tcPr>
          <w:p>
            <w:pPr>
              <w:spacing w:after="0"/>
              <w:rPr>
                <w:sz w:val="18"/>
                <w:szCs w:val="18"/>
                <w:color w:val="auto"/>
              </w:rPr>
            </w:pPr>
          </w:p>
        </w:tc>
        <w:tc>
          <w:tcPr>
            <w:tcW w:w="670" w:type="dxa"/>
            <w:vAlign w:val="bottom"/>
            <w:tcBorders>
              <w:top w:val="single" w:sz="8" w:color="E4E4E4"/>
              <w:bottom w:val="single" w:sz="8" w:color="1E1E1E"/>
            </w:tcBorders>
            <w:shd w:val="clear" w:color="auto" w:fill="E4E4E4"/>
          </w:tcPr>
          <w:p>
            <w:pPr>
              <w:spacing w:after="0"/>
              <w:rPr>
                <w:sz w:val="18"/>
                <w:szCs w:val="18"/>
                <w:color w:val="auto"/>
              </w:rPr>
            </w:pPr>
          </w:p>
        </w:tc>
        <w:tc>
          <w:tcPr>
            <w:tcW w:w="1040" w:type="dxa"/>
            <w:vAlign w:val="bottom"/>
            <w:tcBorders>
              <w:top w:val="single" w:sz="8" w:color="E4E4E4"/>
              <w:bottom w:val="single" w:sz="8" w:color="1E1E1E"/>
            </w:tcBorders>
            <w:gridSpan w:val="2"/>
            <w:shd w:val="clear" w:color="auto" w:fill="E4E4E4"/>
          </w:tcPr>
          <w:p>
            <w:pPr>
              <w:jc w:val="right"/>
              <w:ind w:right="20"/>
              <w:spacing w:after="0" w:line="217" w:lineRule="exact"/>
              <w:rPr>
                <w:sz w:val="20"/>
                <w:szCs w:val="20"/>
                <w:color w:val="auto"/>
              </w:rPr>
            </w:pPr>
            <w:r>
              <w:rPr>
                <w:rFonts w:ascii="Times New Roman" w:cs="Times New Roman" w:eastAsia="Times New Roman" w:hAnsi="Times New Roman"/>
                <w:sz w:val="20"/>
                <w:szCs w:val="20"/>
                <w:color w:val="1E1E1E"/>
              </w:rPr>
              <w:t>(8.51)%</w:t>
            </w: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682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1310" w:type="dxa"/>
            <w:vAlign w:val="bottom"/>
            <w:tcBorders>
              <w:bottom w:val="single" w:sz="8" w:color="1E1E1E"/>
            </w:tcBorders>
          </w:tcPr>
          <w:p>
            <w:pPr>
              <w:spacing w:after="0" w:line="20" w:lineRule="exact"/>
              <w:rPr>
                <w:sz w:val="1"/>
                <w:szCs w:val="1"/>
                <w:color w:val="auto"/>
              </w:rPr>
            </w:pPr>
          </w:p>
        </w:tc>
        <w:tc>
          <w:tcPr>
            <w:tcW w:w="170" w:type="dxa"/>
            <w:vAlign w:val="bottom"/>
            <w:tcBorders>
              <w:bottom w:val="single" w:sz="8" w:color="1E1E1E"/>
            </w:tcBorders>
          </w:tcPr>
          <w:p>
            <w:pPr>
              <w:spacing w:after="0" w:line="20" w:lineRule="exact"/>
              <w:rPr>
                <w:sz w:val="1"/>
                <w:szCs w:val="1"/>
                <w:color w:val="auto"/>
              </w:rPr>
            </w:pPr>
          </w:p>
        </w:tc>
        <w:tc>
          <w:tcPr>
            <w:tcW w:w="67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4431030</wp:posOffset>
                </wp:positionH>
                <wp:positionV relativeFrom="paragraph">
                  <wp:posOffset>-1897380</wp:posOffset>
                </wp:positionV>
                <wp:extent cx="208788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78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9pt,-149.3999pt" to="513.3pt,-149.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4495800</wp:posOffset>
                </wp:positionH>
                <wp:positionV relativeFrom="paragraph">
                  <wp:posOffset>-1731010</wp:posOffset>
                </wp:positionV>
                <wp:extent cx="812800" cy="14605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146050"/>
                        </a:xfrm>
                        <a:prstGeom prst="rect">
                          <a:avLst/>
                        </a:prstGeom>
                        <a:solidFill>
                          <a:srgbClr val="E4E4E4"/>
                        </a:solidFill>
                      </wps:spPr>
                      <wps:bodyPr/>
                    </wps:wsp>
                  </a:graphicData>
                </a:graphic>
              </wp:anchor>
            </w:drawing>
          </mc:Choice>
          <mc:Fallback>
            <w:pict>
              <v:rect id="Shape 87" o:spid="_x0000_s1112" style="position:absolute;margin-left:354pt;margin-top:-136.2999pt;width:6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5580380</wp:posOffset>
                </wp:positionH>
                <wp:positionV relativeFrom="paragraph">
                  <wp:posOffset>-1731010</wp:posOffset>
                </wp:positionV>
                <wp:extent cx="767715" cy="14605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7715" cy="146050"/>
                        </a:xfrm>
                        <a:prstGeom prst="rect">
                          <a:avLst/>
                        </a:prstGeom>
                        <a:solidFill>
                          <a:srgbClr val="E4E4E4"/>
                        </a:solidFill>
                      </wps:spPr>
                      <wps:bodyPr/>
                    </wps:wsp>
                  </a:graphicData>
                </a:graphic>
              </wp:anchor>
            </w:drawing>
          </mc:Choice>
          <mc:Fallback>
            <w:pict>
              <v:rect id="Shape 88" o:spid="_x0000_s1113" style="position:absolute;margin-left:439.4pt;margin-top:-136.2999pt;width:60.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-1272540</wp:posOffset>
                </wp:positionV>
                <wp:extent cx="651065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00.1999pt" to="513.3pt,-100.1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-961390</wp:posOffset>
                </wp:positionV>
                <wp:extent cx="651065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75.6999pt" to="513.3pt,-75.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5580380</wp:posOffset>
                </wp:positionH>
                <wp:positionV relativeFrom="paragraph">
                  <wp:posOffset>-175260</wp:posOffset>
                </wp:positionV>
                <wp:extent cx="767715" cy="14478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7715" cy="144780"/>
                        </a:xfrm>
                        <a:prstGeom prst="rect">
                          <a:avLst/>
                        </a:prstGeom>
                        <a:solidFill>
                          <a:srgbClr val="E4E4E4"/>
                        </a:solidFill>
                      </wps:spPr>
                      <wps:bodyPr/>
                    </wps:wsp>
                  </a:graphicData>
                </a:graphic>
              </wp:anchor>
            </w:drawing>
          </mc:Choice>
          <mc:Fallback>
            <w:pict>
              <v:rect id="Shape 91" o:spid="_x0000_s1116" style="position:absolute;margin-left:439.4pt;margin-top:-13.7999pt;width:60.4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4E4E4" stroked="f"/>
            </w:pict>
          </mc:Fallback>
        </mc:AlternateContent>
      </w:r>
    </w:p>
    <w:p>
      <w:pPr>
        <w:spacing w:after="0" w:line="159" w:lineRule="exact"/>
        <w:rPr>
          <w:sz w:val="20"/>
          <w:szCs w:val="20"/>
          <w:color w:val="auto"/>
        </w:rPr>
      </w:pPr>
    </w:p>
    <w:p>
      <w:pPr>
        <w:jc w:val="both"/>
        <w:ind w:left="20"/>
        <w:spacing w:after="0" w:line="291" w:lineRule="auto"/>
        <w:rPr>
          <w:sz w:val="20"/>
          <w:szCs w:val="20"/>
          <w:color w:val="auto"/>
        </w:rPr>
      </w:pPr>
      <w:r>
        <w:rPr>
          <w:rFonts w:ascii="Times New Roman" w:cs="Times New Roman" w:eastAsia="Times New Roman" w:hAnsi="Times New Roman"/>
          <w:sz w:val="20"/>
          <w:szCs w:val="20"/>
          <w:color w:val="1E1E1E"/>
        </w:rPr>
        <w:t xml:space="preserve">On July 4, 2025, H.R. 1, a bill to provide for reconciliation pursuant to title II of H. Con. Res. 14, informally known as the One Big Beautiful Bill Act ("OBBBA"), which includes several measures affecting corporations and other business entities, was signed into law. Among these measures, the OBBBA modifies and permanently extends certain expiring provisions of the 2017 Tax Cuts and Jobs Act (“TCJA”), including the restoration of 100% bonus depreciation, which was scheduled to phase out in 2027 under the TCJA. The OBBBA also permits immediate expensing of research and development expenditures previously capitalized under the TCJA and modifies various components of the international tax framework. The legislation has multiple effective dates, with some provisions taking effect in 2025 and others phased in through 2027. In accordance with ASC 740, </w:t>
      </w:r>
      <w:r>
        <w:rPr>
          <w:rFonts w:ascii="Times New Roman" w:cs="Times New Roman" w:eastAsia="Times New Roman" w:hAnsi="Times New Roman"/>
          <w:sz w:val="20"/>
          <w:szCs w:val="20"/>
          <w:i w:val="1"/>
          <w:iCs w:val="1"/>
          <w:color w:val="1E1E1E"/>
        </w:rPr>
        <w:t xml:space="preserve">“Income Taxes,” </w:t>
      </w:r>
      <w:r>
        <w:rPr>
          <w:rFonts w:ascii="Times New Roman" w:cs="Times New Roman" w:eastAsia="Times New Roman" w:hAnsi="Times New Roman"/>
          <w:sz w:val="20"/>
          <w:szCs w:val="20"/>
          <w:color w:val="1E1E1E"/>
        </w:rPr>
        <w:t>we recognized effects of the OBBBA during the second quarter of Fiscal 2026 for the provisions enacted at that</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point in time. For the fiscal year ended January 31, 2026, we had a material decrease in our U.S. jurisdiction to both the current tax liability and the effective income tax rate as a result of the enactment of income tax law changes under the OBBBA and their interaction with our valuation allowance in the U.S. jurisdiction. Including the impact of the OBBBA tax law changes, we recorded an effective income tax rate of (5.4)% in Fiscal 2026.</w:t>
      </w:r>
    </w:p>
    <w:p>
      <w:pPr>
        <w:spacing w:after="0" w:line="158" w:lineRule="exact"/>
        <w:rPr>
          <w:sz w:val="20"/>
          <w:szCs w:val="20"/>
          <w:color w:val="auto"/>
        </w:rPr>
      </w:pPr>
    </w:p>
    <w:p>
      <w:pPr>
        <w:jc w:val="both"/>
        <w:ind w:left="20"/>
        <w:spacing w:after="0" w:line="311" w:lineRule="auto"/>
        <w:rPr>
          <w:sz w:val="20"/>
          <w:szCs w:val="20"/>
          <w:color w:val="auto"/>
        </w:rPr>
      </w:pPr>
      <w:r>
        <w:rPr>
          <w:rFonts w:ascii="Times New Roman" w:cs="Times New Roman" w:eastAsia="Times New Roman" w:hAnsi="Times New Roman"/>
          <w:sz w:val="20"/>
          <w:szCs w:val="20"/>
          <w:color w:val="1E1E1E"/>
        </w:rPr>
        <w:t>We are subject to a tax on global intangible low-tax income (“GILTI”). GILTI taxes foreign income in excess of deemed return on tangible assets of a foreign corporation and we elected to treat this tax as a period cost. The impact from GILTI was not material for Fiscal 2026, 2025 or 2024.</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72</w:t>
      </w:r>
    </w:p>
    <w:p>
      <w:pPr>
        <w:sectPr>
          <w:pgSz w:w="12240" w:h="15840" w:orient="portrait"/>
          <w:cols w:equalWidth="0" w:num="1">
            <w:col w:w="10280"/>
          </w:cols>
          <w:pgMar w:left="980" w:top="1156" w:right="980" w:bottom="178"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Note 11</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20" w:type="dxa"/>
            <w:vAlign w:val="bottom"/>
          </w:tcPr>
          <w:p>
            <w:pPr>
              <w:spacing w:after="0"/>
              <w:rPr>
                <w:sz w:val="24"/>
                <w:szCs w:val="24"/>
                <w:color w:val="auto"/>
              </w:rPr>
            </w:pPr>
          </w:p>
        </w:tc>
        <w:tc>
          <w:tcPr>
            <w:tcW w:w="21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w w:val="98"/>
              </w:rPr>
              <w:t>Income Taxes, Continued</w:t>
            </w: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Deferred tax assets and liabilities are comprised of the following:</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3"/>
        </w:trPr>
        <w:tc>
          <w:tcPr>
            <w:tcW w:w="20" w:type="dxa"/>
            <w:vAlign w:val="bottom"/>
          </w:tcPr>
          <w:p>
            <w:pPr>
              <w:spacing w:after="0"/>
              <w:rPr>
                <w:sz w:val="24"/>
                <w:szCs w:val="24"/>
                <w:color w:val="auto"/>
              </w:rPr>
            </w:pPr>
          </w:p>
        </w:tc>
        <w:tc>
          <w:tcPr>
            <w:tcW w:w="580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20" w:type="dxa"/>
            <w:vAlign w:val="bottom"/>
            <w:tcBorders>
              <w:bottom w:val="single" w:sz="8" w:color="1E1E1E"/>
            </w:tcBorders>
          </w:tcPr>
          <w:p>
            <w:pPr>
              <w:spacing w:after="0"/>
              <w:rPr>
                <w:sz w:val="24"/>
                <w:szCs w:val="24"/>
                <w:color w:val="auto"/>
              </w:rPr>
            </w:pPr>
          </w:p>
        </w:tc>
        <w:tc>
          <w:tcPr>
            <w:tcW w:w="2000" w:type="dxa"/>
            <w:vAlign w:val="bottom"/>
            <w:tcBorders>
              <w:bottom w:val="single" w:sz="8" w:color="1E1E1E"/>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220" w:type="dxa"/>
            <w:vAlign w:val="bottom"/>
            <w:tcBorders>
              <w:bottom w:val="single" w:sz="8" w:color="1E1E1E"/>
            </w:tcBorders>
          </w:tcPr>
          <w:p>
            <w:pPr>
              <w:spacing w:after="0"/>
              <w:rPr>
                <w:sz w:val="24"/>
                <w:szCs w:val="24"/>
                <w:color w:val="auto"/>
              </w:rPr>
            </w:pPr>
          </w:p>
        </w:tc>
        <w:tc>
          <w:tcPr>
            <w:tcW w:w="100" w:type="dxa"/>
            <w:vAlign w:val="bottom"/>
            <w:tcBorders>
              <w:bottom w:val="single" w:sz="8" w:color="1E1E1E"/>
            </w:tcBorders>
          </w:tcPr>
          <w:p>
            <w:pPr>
              <w:spacing w:after="0"/>
              <w:rPr>
                <w:sz w:val="24"/>
                <w:szCs w:val="24"/>
                <w:color w:val="auto"/>
              </w:rPr>
            </w:pPr>
          </w:p>
        </w:tc>
        <w:tc>
          <w:tcPr>
            <w:tcW w:w="2020" w:type="dxa"/>
            <w:vAlign w:val="bottom"/>
            <w:tcBorders>
              <w:bottom w:val="single" w:sz="8" w:color="1E1E1E"/>
            </w:tcBorders>
            <w:gridSpan w:val="3"/>
          </w:tcPr>
          <w:p>
            <w:pPr>
              <w:ind w:left="520"/>
              <w:spacing w:after="0"/>
              <w:rPr>
                <w:sz w:val="20"/>
                <w:szCs w:val="20"/>
                <w:color w:val="auto"/>
              </w:rPr>
            </w:pPr>
            <w:r>
              <w:rPr>
                <w:rFonts w:ascii="Times New Roman" w:cs="Times New Roman" w:eastAsia="Times New Roman" w:hAnsi="Times New Roman"/>
                <w:sz w:val="20"/>
                <w:szCs w:val="20"/>
                <w:color w:val="1E1E1E"/>
              </w:rPr>
              <w:t>February 1, 2025</w:t>
            </w:r>
          </w:p>
        </w:tc>
      </w:tr>
      <w:tr>
        <w:trPr>
          <w:trHeight w:val="214"/>
        </w:trPr>
        <w:tc>
          <w:tcPr>
            <w:tcW w:w="20" w:type="dxa"/>
            <w:vAlign w:val="bottom"/>
          </w:tcPr>
          <w:p>
            <w:pPr>
              <w:spacing w:after="0"/>
              <w:rPr>
                <w:sz w:val="18"/>
                <w:szCs w:val="18"/>
                <w:color w:val="auto"/>
              </w:rPr>
            </w:pPr>
          </w:p>
        </w:tc>
        <w:tc>
          <w:tcPr>
            <w:tcW w:w="5800" w:type="dxa"/>
            <w:vAlign w:val="bottom"/>
            <w:tcBorders>
              <w:top w:val="single" w:sz="8" w:color="E4E4E4"/>
            </w:tcBorders>
            <w:gridSpan w:val="2"/>
            <w:shd w:val="clear" w:color="auto" w:fill="E4E4E4"/>
          </w:tcPr>
          <w:p>
            <w:pPr>
              <w:spacing w:after="0" w:line="214" w:lineRule="exact"/>
              <w:rPr>
                <w:sz w:val="20"/>
                <w:szCs w:val="20"/>
                <w:color w:val="auto"/>
              </w:rPr>
            </w:pPr>
            <w:r>
              <w:rPr>
                <w:rFonts w:ascii="Times New Roman" w:cs="Times New Roman" w:eastAsia="Times New Roman" w:hAnsi="Times New Roman"/>
                <w:sz w:val="20"/>
                <w:szCs w:val="20"/>
                <w:color w:val="1E1E1E"/>
              </w:rPr>
              <w:t>Pensions</w:t>
            </w:r>
          </w:p>
        </w:tc>
        <w:tc>
          <w:tcPr>
            <w:tcW w:w="12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w w:val="99"/>
                <w:shd w:val="clear" w:color="auto" w:fill="E4E4E4"/>
              </w:rPr>
              <w:t>$</w:t>
            </w:r>
          </w:p>
        </w:tc>
        <w:tc>
          <w:tcPr>
            <w:tcW w:w="192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1E1E1E"/>
              </w:rPr>
              <w:t>1,047</w:t>
            </w:r>
          </w:p>
        </w:tc>
        <w:tc>
          <w:tcPr>
            <w:tcW w:w="80" w:type="dxa"/>
            <w:vAlign w:val="bottom"/>
            <w:tcBorders>
              <w:top w:val="single" w:sz="8" w:color="E4E4E4"/>
            </w:tcBorders>
            <w:shd w:val="clear" w:color="auto" w:fill="E4E4E4"/>
          </w:tcPr>
          <w:p>
            <w:pPr>
              <w:spacing w:after="0"/>
              <w:rPr>
                <w:sz w:val="18"/>
                <w:szCs w:val="18"/>
                <w:color w:val="auto"/>
              </w:rPr>
            </w:pPr>
          </w:p>
        </w:tc>
        <w:tc>
          <w:tcPr>
            <w:tcW w:w="2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900" w:type="dxa"/>
            <w:vAlign w:val="bottom"/>
            <w:tcBorders>
              <w:top w:val="single" w:sz="8" w:color="E4E4E4"/>
            </w:tcBorders>
            <w:shd w:val="clear" w:color="auto" w:fill="E4E4E4"/>
          </w:tcPr>
          <w:p>
            <w:pPr>
              <w:jc w:val="right"/>
              <w:spacing w:after="0" w:line="214" w:lineRule="exact"/>
              <w:rPr>
                <w:sz w:val="20"/>
                <w:szCs w:val="20"/>
                <w:color w:val="auto"/>
              </w:rPr>
            </w:pPr>
            <w:r>
              <w:rPr>
                <w:rFonts w:ascii="Times New Roman" w:cs="Times New Roman" w:eastAsia="Times New Roman" w:hAnsi="Times New Roman"/>
                <w:sz w:val="20"/>
                <w:szCs w:val="20"/>
                <w:color w:val="1E1E1E"/>
              </w:rPr>
              <w:t>738</w:t>
            </w:r>
          </w:p>
        </w:tc>
        <w:tc>
          <w:tcPr>
            <w:tcW w:w="10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1E1E1E"/>
            </w:tcBorders>
            <w:shd w:val="clear" w:color="auto" w:fill="E4E4E4"/>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Lease obligation</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135,366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126,744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Book over tax depreciation</w:t>
            </w:r>
          </w:p>
        </w:tc>
        <w:tc>
          <w:tcPr>
            <w:tcW w:w="120" w:type="dxa"/>
            <w:vAlign w:val="bottom"/>
            <w:shd w:val="clear" w:color="auto" w:fill="E4E4E4"/>
          </w:tcPr>
          <w:p>
            <w:pPr>
              <w:spacing w:after="0"/>
              <w:rPr>
                <w:sz w:val="21"/>
                <w:szCs w:val="21"/>
                <w:color w:val="auto"/>
              </w:rPr>
            </w:pPr>
          </w:p>
        </w:tc>
        <w:tc>
          <w:tcPr>
            <w:tcW w:w="1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13,487</w:t>
            </w:r>
          </w:p>
        </w:tc>
        <w:tc>
          <w:tcPr>
            <w:tcW w:w="8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14,359</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Expense accruals</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9,201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Uniform capitalization costs</w:t>
            </w:r>
          </w:p>
        </w:tc>
        <w:tc>
          <w:tcPr>
            <w:tcW w:w="120" w:type="dxa"/>
            <w:vAlign w:val="bottom"/>
            <w:shd w:val="clear" w:color="auto" w:fill="E4E4E4"/>
          </w:tcPr>
          <w:p>
            <w:pPr>
              <w:spacing w:after="0"/>
              <w:rPr>
                <w:sz w:val="21"/>
                <w:szCs w:val="21"/>
                <w:color w:val="auto"/>
              </w:rPr>
            </w:pPr>
          </w:p>
        </w:tc>
        <w:tc>
          <w:tcPr>
            <w:tcW w:w="1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8,861</w:t>
            </w:r>
          </w:p>
        </w:tc>
        <w:tc>
          <w:tcPr>
            <w:tcW w:w="8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8,840</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Provisions for discontinued operations and restructurings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648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Inventory valuation</w:t>
            </w:r>
          </w:p>
        </w:tc>
        <w:tc>
          <w:tcPr>
            <w:tcW w:w="120" w:type="dxa"/>
            <w:vAlign w:val="bottom"/>
            <w:shd w:val="clear" w:color="auto" w:fill="E4E4E4"/>
          </w:tcPr>
          <w:p>
            <w:pPr>
              <w:spacing w:after="0"/>
              <w:rPr>
                <w:sz w:val="21"/>
                <w:szCs w:val="21"/>
                <w:color w:val="auto"/>
              </w:rPr>
            </w:pPr>
          </w:p>
        </w:tc>
        <w:tc>
          <w:tcPr>
            <w:tcW w:w="1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1,614</w:t>
            </w:r>
          </w:p>
        </w:tc>
        <w:tc>
          <w:tcPr>
            <w:tcW w:w="8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1,356</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Tax net operating loss and credit carryforwards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26,632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23,732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58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Allowances for bad debts and notes</w:t>
            </w:r>
          </w:p>
        </w:tc>
        <w:tc>
          <w:tcPr>
            <w:tcW w:w="120" w:type="dxa"/>
            <w:vAlign w:val="bottom"/>
            <w:shd w:val="clear" w:color="auto" w:fill="E4E4E4"/>
          </w:tcPr>
          <w:p>
            <w:pPr>
              <w:spacing w:after="0"/>
              <w:rPr>
                <w:sz w:val="20"/>
                <w:szCs w:val="20"/>
                <w:color w:val="auto"/>
              </w:rPr>
            </w:pPr>
          </w:p>
        </w:tc>
        <w:tc>
          <w:tcPr>
            <w:tcW w:w="1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373</w:t>
            </w:r>
          </w:p>
        </w:tc>
        <w:tc>
          <w:tcPr>
            <w:tcW w:w="80" w:type="dxa"/>
            <w:vAlign w:val="bottom"/>
            <w:shd w:val="clear" w:color="auto" w:fill="E4E4E4"/>
          </w:tcPr>
          <w:p>
            <w:pPr>
              <w:spacing w:after="0"/>
              <w:rPr>
                <w:sz w:val="20"/>
                <w:szCs w:val="20"/>
                <w:color w:val="auto"/>
              </w:rPr>
            </w:pPr>
          </w:p>
        </w:tc>
        <w:tc>
          <w:tcPr>
            <w:tcW w:w="220" w:type="dxa"/>
            <w:vAlign w:val="bottom"/>
            <w:shd w:val="clear" w:color="auto" w:fill="E4E4E4"/>
          </w:tcPr>
          <w:p>
            <w:pPr>
              <w:spacing w:after="0"/>
              <w:rPr>
                <w:sz w:val="20"/>
                <w:szCs w:val="20"/>
                <w:color w:val="auto"/>
              </w:rPr>
            </w:pPr>
          </w:p>
        </w:tc>
        <w:tc>
          <w:tcPr>
            <w:tcW w:w="100" w:type="dxa"/>
            <w:vAlign w:val="bottom"/>
            <w:shd w:val="clear" w:color="auto" w:fill="E4E4E4"/>
          </w:tcPr>
          <w:p>
            <w:pPr>
              <w:spacing w:after="0"/>
              <w:rPr>
                <w:sz w:val="20"/>
                <w:szCs w:val="20"/>
                <w:color w:val="auto"/>
              </w:rPr>
            </w:pPr>
          </w:p>
        </w:tc>
        <w:tc>
          <w:tcPr>
            <w:tcW w:w="1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484</w:t>
            </w:r>
          </w:p>
        </w:tc>
        <w:tc>
          <w:tcPr>
            <w:tcW w:w="100" w:type="dxa"/>
            <w:vAlign w:val="bottom"/>
            <w:shd w:val="clear" w:color="auto" w:fill="E4E4E4"/>
          </w:tcPr>
          <w:p>
            <w:pPr>
              <w:spacing w:after="0"/>
              <w:rPr>
                <w:sz w:val="20"/>
                <w:szCs w:val="20"/>
                <w:color w:val="auto"/>
              </w:rPr>
            </w:pPr>
          </w:p>
        </w:tc>
        <w:tc>
          <w:tcPr>
            <w:tcW w:w="20" w:type="dxa"/>
            <w:vAlign w:val="bottom"/>
            <w:shd w:val="clear" w:color="auto" w:fill="E4E4E4"/>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Deferred compensation and restricted stock</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2,559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Outside basis difference</w:t>
            </w:r>
          </w:p>
        </w:tc>
        <w:tc>
          <w:tcPr>
            <w:tcW w:w="120" w:type="dxa"/>
            <w:vAlign w:val="bottom"/>
            <w:shd w:val="clear" w:color="auto" w:fill="E4E4E4"/>
          </w:tcPr>
          <w:p>
            <w:pPr>
              <w:spacing w:after="0"/>
              <w:rPr>
                <w:sz w:val="21"/>
                <w:szCs w:val="21"/>
                <w:color w:val="auto"/>
              </w:rPr>
            </w:pPr>
          </w:p>
        </w:tc>
        <w:tc>
          <w:tcPr>
            <w:tcW w:w="1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381</w:t>
            </w:r>
          </w:p>
        </w:tc>
        <w:tc>
          <w:tcPr>
            <w:tcW w:w="8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816</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Identified intangibles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4,942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tcBorders>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w:t>
            </w:r>
          </w:p>
        </w:tc>
        <w:tc>
          <w:tcPr>
            <w:tcW w:w="120" w:type="dxa"/>
            <w:vAlign w:val="bottom"/>
            <w:tcBorders>
              <w:bottom w:val="single" w:sz="8" w:color="1E1E1E"/>
            </w:tcBorders>
            <w:shd w:val="clear" w:color="auto" w:fill="E4E4E4"/>
          </w:tcPr>
          <w:p>
            <w:pPr>
              <w:spacing w:after="0"/>
              <w:rPr>
                <w:sz w:val="21"/>
                <w:szCs w:val="21"/>
                <w:color w:val="auto"/>
              </w:rPr>
            </w:pPr>
          </w:p>
        </w:tc>
        <w:tc>
          <w:tcPr>
            <w:tcW w:w="19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30</w:t>
            </w:r>
          </w:p>
        </w:tc>
        <w:tc>
          <w:tcPr>
            <w:tcW w:w="80" w:type="dxa"/>
            <w:vAlign w:val="bottom"/>
            <w:tcBorders>
              <w:bottom w:val="single" w:sz="8" w:color="1E1E1E"/>
            </w:tcBorders>
            <w:shd w:val="clear" w:color="auto" w:fill="E4E4E4"/>
          </w:tcPr>
          <w:p>
            <w:pPr>
              <w:spacing w:after="0"/>
              <w:rPr>
                <w:sz w:val="21"/>
                <w:szCs w:val="21"/>
                <w:color w:val="auto"/>
              </w:rPr>
            </w:pPr>
          </w:p>
        </w:tc>
        <w:tc>
          <w:tcPr>
            <w:tcW w:w="220" w:type="dxa"/>
            <w:vAlign w:val="bottom"/>
            <w:tcBorders>
              <w:bottom w:val="single" w:sz="8" w:color="1E1E1E"/>
            </w:tcBorders>
            <w:shd w:val="clear" w:color="auto" w:fill="E4E4E4"/>
          </w:tcPr>
          <w:p>
            <w:pPr>
              <w:spacing w:after="0"/>
              <w:rPr>
                <w:sz w:val="21"/>
                <w:szCs w:val="21"/>
                <w:color w:val="auto"/>
              </w:rPr>
            </w:pPr>
          </w:p>
        </w:tc>
        <w:tc>
          <w:tcPr>
            <w:tcW w:w="100" w:type="dxa"/>
            <w:vAlign w:val="bottom"/>
            <w:tcBorders>
              <w:bottom w:val="single" w:sz="8" w:color="1E1E1E"/>
            </w:tcBorders>
            <w:shd w:val="clear" w:color="auto" w:fill="E4E4E4"/>
          </w:tcPr>
          <w:p>
            <w:pPr>
              <w:spacing w:after="0"/>
              <w:rPr>
                <w:sz w:val="21"/>
                <w:szCs w:val="21"/>
                <w:color w:val="auto"/>
              </w:rPr>
            </w:pPr>
          </w:p>
        </w:tc>
        <w:tc>
          <w:tcPr>
            <w:tcW w:w="19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100" w:type="dxa"/>
            <w:vAlign w:val="bottom"/>
            <w:tcBorders>
              <w:bottom w:val="single" w:sz="8" w:color="1E1E1E"/>
            </w:tcBorders>
            <w:shd w:val="clear" w:color="auto" w:fill="E4E4E4"/>
          </w:tcPr>
          <w:p>
            <w:pPr>
              <w:spacing w:after="0"/>
              <w:rPr>
                <w:sz w:val="21"/>
                <w:szCs w:val="21"/>
                <w:color w:val="auto"/>
              </w:rPr>
            </w:pPr>
          </w:p>
        </w:tc>
        <w:tc>
          <w:tcPr>
            <w:tcW w:w="20" w:type="dxa"/>
            <w:vAlign w:val="bottom"/>
            <w:tcBorders>
              <w:bottom w:val="single" w:sz="8" w:color="1E1E1E"/>
            </w:tcBorders>
            <w:shd w:val="clear" w:color="auto" w:fill="E4E4E4"/>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Gross deferred tax assets</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205,141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194,439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5800" w:type="dxa"/>
            <w:vAlign w:val="bottom"/>
            <w:tcBorders>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tax asset valuation allowance</w:t>
            </w:r>
          </w:p>
        </w:tc>
        <w:tc>
          <w:tcPr>
            <w:tcW w:w="120" w:type="dxa"/>
            <w:vAlign w:val="bottom"/>
            <w:tcBorders>
              <w:bottom w:val="single" w:sz="8" w:color="1E1E1E"/>
            </w:tcBorders>
            <w:shd w:val="clear" w:color="auto" w:fill="E4E4E4"/>
          </w:tcPr>
          <w:p>
            <w:pPr>
              <w:spacing w:after="0"/>
              <w:rPr>
                <w:sz w:val="21"/>
                <w:szCs w:val="21"/>
                <w:color w:val="auto"/>
              </w:rPr>
            </w:pPr>
          </w:p>
        </w:tc>
        <w:tc>
          <w:tcPr>
            <w:tcW w:w="19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(71,174)</w:t>
            </w:r>
          </w:p>
        </w:tc>
        <w:tc>
          <w:tcPr>
            <w:tcW w:w="80" w:type="dxa"/>
            <w:vAlign w:val="bottom"/>
            <w:tcBorders>
              <w:bottom w:val="single" w:sz="8" w:color="1E1E1E"/>
            </w:tcBorders>
            <w:shd w:val="clear" w:color="auto" w:fill="E4E4E4"/>
          </w:tcPr>
          <w:p>
            <w:pPr>
              <w:spacing w:after="0"/>
              <w:rPr>
                <w:sz w:val="21"/>
                <w:szCs w:val="21"/>
                <w:color w:val="auto"/>
              </w:rPr>
            </w:pPr>
          </w:p>
        </w:tc>
        <w:tc>
          <w:tcPr>
            <w:tcW w:w="220" w:type="dxa"/>
            <w:vAlign w:val="bottom"/>
            <w:tcBorders>
              <w:bottom w:val="single" w:sz="8" w:color="1E1E1E"/>
            </w:tcBorders>
            <w:shd w:val="clear" w:color="auto" w:fill="E4E4E4"/>
          </w:tcPr>
          <w:p>
            <w:pPr>
              <w:spacing w:after="0"/>
              <w:rPr>
                <w:sz w:val="21"/>
                <w:szCs w:val="21"/>
                <w:color w:val="auto"/>
              </w:rPr>
            </w:pPr>
          </w:p>
        </w:tc>
        <w:tc>
          <w:tcPr>
            <w:tcW w:w="100" w:type="dxa"/>
            <w:vAlign w:val="bottom"/>
            <w:tcBorders>
              <w:bottom w:val="single" w:sz="8" w:color="1E1E1E"/>
            </w:tcBorders>
            <w:shd w:val="clear" w:color="auto" w:fill="E4E4E4"/>
          </w:tcPr>
          <w:p>
            <w:pPr>
              <w:spacing w:after="0"/>
              <w:rPr>
                <w:sz w:val="21"/>
                <w:szCs w:val="21"/>
                <w:color w:val="auto"/>
              </w:rPr>
            </w:pPr>
          </w:p>
        </w:tc>
        <w:tc>
          <w:tcPr>
            <w:tcW w:w="19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(72,355)</w:t>
            </w:r>
          </w:p>
        </w:tc>
        <w:tc>
          <w:tcPr>
            <w:tcW w:w="100" w:type="dxa"/>
            <w:vAlign w:val="bottom"/>
            <w:tcBorders>
              <w:bottom w:val="single" w:sz="8" w:color="1E1E1E"/>
            </w:tcBorders>
            <w:shd w:val="clear" w:color="auto" w:fill="E4E4E4"/>
          </w:tcPr>
          <w:p>
            <w:pPr>
              <w:spacing w:after="0"/>
              <w:rPr>
                <w:sz w:val="21"/>
                <w:szCs w:val="21"/>
                <w:color w:val="auto"/>
              </w:rPr>
            </w:pPr>
          </w:p>
        </w:tc>
        <w:tc>
          <w:tcPr>
            <w:tcW w:w="20" w:type="dxa"/>
            <w:vAlign w:val="bottom"/>
            <w:tcBorders>
              <w:bottom w:val="single" w:sz="8" w:color="1E1E1E"/>
            </w:tcBorders>
            <w:shd w:val="clear" w:color="auto" w:fill="E4E4E4"/>
          </w:tcPr>
          <w:p>
            <w:pPr>
              <w:spacing w:after="0"/>
              <w:rPr>
                <w:sz w:val="21"/>
                <w:szCs w:val="21"/>
                <w:color w:val="auto"/>
              </w:rPr>
            </w:pPr>
          </w:p>
        </w:tc>
      </w:tr>
      <w:tr>
        <w:trPr>
          <w:trHeight w:val="259"/>
        </w:trPr>
        <w:tc>
          <w:tcPr>
            <w:tcW w:w="20" w:type="dxa"/>
            <w:vAlign w:val="bottom"/>
          </w:tcPr>
          <w:p>
            <w:pPr>
              <w:spacing w:after="0"/>
              <w:rPr>
                <w:sz w:val="22"/>
                <w:szCs w:val="22"/>
                <w:color w:val="auto"/>
              </w:rPr>
            </w:pPr>
          </w:p>
        </w:tc>
        <w:tc>
          <w:tcPr>
            <w:tcW w:w="580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Deferred tax asset net of valuation allowance</w:t>
            </w:r>
          </w:p>
        </w:tc>
        <w:tc>
          <w:tcPr>
            <w:tcW w:w="120" w:type="dxa"/>
            <w:vAlign w:val="bottom"/>
            <w:tcBorders>
              <w:bottom w:val="single" w:sz="8" w:color="1E1E1E"/>
            </w:tcBorders>
          </w:tcPr>
          <w:p>
            <w:pPr>
              <w:spacing w:after="0"/>
              <w:rPr>
                <w:sz w:val="22"/>
                <w:szCs w:val="22"/>
                <w:color w:val="auto"/>
              </w:rPr>
            </w:pPr>
          </w:p>
        </w:tc>
        <w:tc>
          <w:tcPr>
            <w:tcW w:w="1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133,967</w:t>
            </w:r>
          </w:p>
        </w:tc>
        <w:tc>
          <w:tcPr>
            <w:tcW w:w="80" w:type="dxa"/>
            <w:vAlign w:val="bottom"/>
            <w:tcBorders>
              <w:bottom w:val="single" w:sz="8" w:color="1E1E1E"/>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1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122,084</w:t>
            </w:r>
          </w:p>
        </w:tc>
        <w:tc>
          <w:tcPr>
            <w:tcW w:w="100" w:type="dxa"/>
            <w:vAlign w:val="bottom"/>
            <w:tcBorders>
              <w:bottom w:val="single" w:sz="8" w:color="1E1E1E"/>
            </w:tcBorders>
          </w:tcPr>
          <w:p>
            <w:pPr>
              <w:spacing w:after="0"/>
              <w:rPr>
                <w:sz w:val="22"/>
                <w:szCs w:val="22"/>
                <w:color w:val="auto"/>
              </w:rPr>
            </w:pPr>
          </w:p>
        </w:tc>
        <w:tc>
          <w:tcPr>
            <w:tcW w:w="20" w:type="dxa"/>
            <w:vAlign w:val="bottom"/>
            <w:tcBorders>
              <w:bottom w:val="single" w:sz="8" w:color="1E1E1E"/>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E4E4E4"/>
            </w:tcBorders>
            <w:gridSpan w:val="2"/>
            <w:shd w:val="clear" w:color="auto" w:fill="E4E4E4"/>
          </w:tcPr>
          <w:p>
            <w:pPr>
              <w:spacing w:after="0" w:line="209" w:lineRule="exact"/>
              <w:rPr>
                <w:sz w:val="20"/>
                <w:szCs w:val="20"/>
                <w:color w:val="auto"/>
              </w:rPr>
            </w:pPr>
            <w:r>
              <w:rPr>
                <w:rFonts w:ascii="Times New Roman" w:cs="Times New Roman" w:eastAsia="Times New Roman" w:hAnsi="Times New Roman"/>
                <w:sz w:val="20"/>
                <w:szCs w:val="20"/>
                <w:color w:val="1E1E1E"/>
              </w:rPr>
              <w:t>Identified intangibles</w:t>
            </w:r>
          </w:p>
        </w:tc>
        <w:tc>
          <w:tcPr>
            <w:tcW w:w="120" w:type="dxa"/>
            <w:vAlign w:val="bottom"/>
            <w:tcBorders>
              <w:top w:val="single" w:sz="8" w:color="E4E4E4"/>
            </w:tcBorders>
            <w:shd w:val="clear" w:color="auto" w:fill="E4E4E4"/>
          </w:tcPr>
          <w:p>
            <w:pPr>
              <w:spacing w:after="0"/>
              <w:rPr>
                <w:sz w:val="18"/>
                <w:szCs w:val="18"/>
                <w:color w:val="auto"/>
              </w:rPr>
            </w:pPr>
          </w:p>
        </w:tc>
        <w:tc>
          <w:tcPr>
            <w:tcW w:w="192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1E1E1E"/>
              </w:rPr>
              <w:t>(5,764)</w:t>
            </w:r>
          </w:p>
        </w:tc>
        <w:tc>
          <w:tcPr>
            <w:tcW w:w="80" w:type="dxa"/>
            <w:vAlign w:val="bottom"/>
            <w:tcBorders>
              <w:top w:val="single" w:sz="8" w:color="E4E4E4"/>
            </w:tcBorders>
            <w:shd w:val="clear" w:color="auto" w:fill="E4E4E4"/>
          </w:tcPr>
          <w:p>
            <w:pPr>
              <w:spacing w:after="0"/>
              <w:rPr>
                <w:sz w:val="18"/>
                <w:szCs w:val="18"/>
                <w:color w:val="auto"/>
              </w:rPr>
            </w:pPr>
          </w:p>
        </w:tc>
        <w:tc>
          <w:tcPr>
            <w:tcW w:w="2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1900" w:type="dxa"/>
            <w:vAlign w:val="bottom"/>
            <w:tcBorders>
              <w:top w:val="single" w:sz="8" w:color="E4E4E4"/>
            </w:tcBorders>
            <w:shd w:val="clear" w:color="auto" w:fill="E4E4E4"/>
          </w:tcPr>
          <w:p>
            <w:pPr>
              <w:jc w:val="right"/>
              <w:spacing w:after="0" w:line="209" w:lineRule="exact"/>
              <w:rPr>
                <w:sz w:val="20"/>
                <w:szCs w:val="20"/>
                <w:color w:val="auto"/>
              </w:rPr>
            </w:pPr>
            <w:r>
              <w:rPr>
                <w:rFonts w:ascii="Times New Roman" w:cs="Times New Roman" w:eastAsia="Times New Roman" w:hAnsi="Times New Roman"/>
                <w:sz w:val="20"/>
                <w:szCs w:val="20"/>
                <w:color w:val="1E1E1E"/>
              </w:rPr>
              <w:t>(5,220)</w:t>
            </w:r>
          </w:p>
        </w:tc>
        <w:tc>
          <w:tcPr>
            <w:tcW w:w="10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1E1E1E"/>
            </w:tcBorders>
            <w:shd w:val="clear" w:color="auto" w:fill="E4E4E4"/>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Right of use asset</w:t>
            </w:r>
          </w:p>
        </w:tc>
        <w:tc>
          <w:tcPr>
            <w:tcW w:w="120" w:type="dxa"/>
            <w:vAlign w:val="bottom"/>
          </w:tcPr>
          <w:p>
            <w:pPr>
              <w:spacing w:after="0"/>
              <w:rPr>
                <w:sz w:val="21"/>
                <w:szCs w:val="21"/>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(128,501)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(119,945)</w:t>
            </w:r>
          </w:p>
        </w:tc>
        <w:tc>
          <w:tcPr>
            <w:tcW w:w="2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Tax over book depreciation</w:t>
            </w:r>
          </w:p>
        </w:tc>
        <w:tc>
          <w:tcPr>
            <w:tcW w:w="120" w:type="dxa"/>
            <w:vAlign w:val="bottom"/>
            <w:shd w:val="clear" w:color="auto" w:fill="E4E4E4"/>
          </w:tcPr>
          <w:p>
            <w:pPr>
              <w:spacing w:after="0"/>
              <w:rPr>
                <w:sz w:val="21"/>
                <w:szCs w:val="21"/>
                <w:color w:val="auto"/>
              </w:rPr>
            </w:pPr>
          </w:p>
        </w:tc>
        <w:tc>
          <w:tcPr>
            <w:tcW w:w="19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(1,470)</w:t>
            </w:r>
          </w:p>
        </w:tc>
        <w:tc>
          <w:tcPr>
            <w:tcW w:w="8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580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Other</w:t>
            </w:r>
          </w:p>
        </w:tc>
        <w:tc>
          <w:tcPr>
            <w:tcW w:w="120" w:type="dxa"/>
            <w:vAlign w:val="bottom"/>
            <w:tcBorders>
              <w:bottom w:val="single" w:sz="8" w:color="1E1E1E"/>
            </w:tcBorders>
          </w:tcPr>
          <w:p>
            <w:pPr>
              <w:spacing w:after="0"/>
              <w:rPr>
                <w:sz w:val="21"/>
                <w:szCs w:val="21"/>
                <w:color w:val="auto"/>
              </w:rPr>
            </w:pPr>
          </w:p>
        </w:tc>
        <w:tc>
          <w:tcPr>
            <w:tcW w:w="20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(1,487)</w:t>
            </w:r>
          </w:p>
        </w:tc>
        <w:tc>
          <w:tcPr>
            <w:tcW w:w="22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20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(993)</w:t>
            </w:r>
          </w:p>
        </w:tc>
        <w:tc>
          <w:tcPr>
            <w:tcW w:w="20" w:type="dxa"/>
            <w:vAlign w:val="bottom"/>
            <w:tcBorders>
              <w:bottom w:val="single" w:sz="8" w:color="1E1E1E"/>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800" w:type="dxa"/>
            <w:vAlign w:val="bottom"/>
            <w:tcBorders>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Gross deferred tax liabilities</w:t>
            </w:r>
          </w:p>
        </w:tc>
        <w:tc>
          <w:tcPr>
            <w:tcW w:w="120" w:type="dxa"/>
            <w:vAlign w:val="bottom"/>
            <w:tcBorders>
              <w:bottom w:val="single" w:sz="8" w:color="1E1E1E"/>
            </w:tcBorders>
            <w:shd w:val="clear" w:color="auto" w:fill="E4E4E4"/>
          </w:tcPr>
          <w:p>
            <w:pPr>
              <w:spacing w:after="0"/>
              <w:rPr>
                <w:sz w:val="20"/>
                <w:szCs w:val="20"/>
                <w:color w:val="auto"/>
              </w:rPr>
            </w:pPr>
          </w:p>
        </w:tc>
        <w:tc>
          <w:tcPr>
            <w:tcW w:w="19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(137,222)</w:t>
            </w:r>
          </w:p>
        </w:tc>
        <w:tc>
          <w:tcPr>
            <w:tcW w:w="80" w:type="dxa"/>
            <w:vAlign w:val="bottom"/>
            <w:tcBorders>
              <w:bottom w:val="single" w:sz="8" w:color="1E1E1E"/>
            </w:tcBorders>
            <w:shd w:val="clear" w:color="auto" w:fill="E4E4E4"/>
          </w:tcPr>
          <w:p>
            <w:pPr>
              <w:spacing w:after="0"/>
              <w:rPr>
                <w:sz w:val="20"/>
                <w:szCs w:val="20"/>
                <w:color w:val="auto"/>
              </w:rPr>
            </w:pPr>
          </w:p>
        </w:tc>
        <w:tc>
          <w:tcPr>
            <w:tcW w:w="220" w:type="dxa"/>
            <w:vAlign w:val="bottom"/>
            <w:tcBorders>
              <w:bottom w:val="single" w:sz="8" w:color="1E1E1E"/>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spacing w:after="0"/>
              <w:rPr>
                <w:sz w:val="20"/>
                <w:szCs w:val="20"/>
                <w:color w:val="auto"/>
              </w:rPr>
            </w:pPr>
          </w:p>
        </w:tc>
        <w:tc>
          <w:tcPr>
            <w:tcW w:w="19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(126,158)</w:t>
            </w:r>
          </w:p>
        </w:tc>
        <w:tc>
          <w:tcPr>
            <w:tcW w:w="100" w:type="dxa"/>
            <w:vAlign w:val="bottom"/>
            <w:tcBorders>
              <w:bottom w:val="single" w:sz="8" w:color="1E1E1E"/>
            </w:tcBorders>
            <w:shd w:val="clear" w:color="auto" w:fill="E4E4E4"/>
          </w:tcPr>
          <w:p>
            <w:pPr>
              <w:spacing w:after="0"/>
              <w:rPr>
                <w:sz w:val="20"/>
                <w:szCs w:val="20"/>
                <w:color w:val="auto"/>
              </w:rPr>
            </w:pPr>
          </w:p>
        </w:tc>
        <w:tc>
          <w:tcPr>
            <w:tcW w:w="20" w:type="dxa"/>
            <w:vAlign w:val="bottom"/>
            <w:tcBorders>
              <w:bottom w:val="single" w:sz="8" w:color="1E1E1E"/>
            </w:tcBorders>
            <w:shd w:val="clear" w:color="auto" w:fill="E4E4E4"/>
          </w:tcPr>
          <w:p>
            <w:pPr>
              <w:spacing w:after="0"/>
              <w:rPr>
                <w:sz w:val="20"/>
                <w:szCs w:val="20"/>
                <w:color w:val="auto"/>
              </w:rPr>
            </w:pPr>
          </w:p>
        </w:tc>
      </w:tr>
      <w:tr>
        <w:trPr>
          <w:trHeight w:val="234"/>
        </w:trPr>
        <w:tc>
          <w:tcPr>
            <w:tcW w:w="20" w:type="dxa"/>
            <w:vAlign w:val="bottom"/>
            <w:tcBorders>
              <w:bottom w:val="single" w:sz="8" w:color="1E1E1E"/>
            </w:tcBorders>
          </w:tcPr>
          <w:p>
            <w:pPr>
              <w:spacing w:after="0"/>
              <w:rPr>
                <w:sz w:val="20"/>
                <w:szCs w:val="20"/>
                <w:color w:val="auto"/>
              </w:rPr>
            </w:pPr>
          </w:p>
        </w:tc>
        <w:tc>
          <w:tcPr>
            <w:tcW w:w="580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b w:val="1"/>
                <w:bCs w:val="1"/>
                <w:color w:val="1E1E1E"/>
              </w:rPr>
              <w:t>Net Deferred Tax Liabilities</w:t>
            </w: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20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(3,255)</w:t>
            </w:r>
          </w:p>
        </w:tc>
        <w:tc>
          <w:tcPr>
            <w:tcW w:w="3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(4,074)</w:t>
            </w:r>
          </w:p>
        </w:tc>
        <w:tc>
          <w:tcPr>
            <w:tcW w:w="20" w:type="dxa"/>
            <w:vAlign w:val="bottom"/>
            <w:tcBorders>
              <w:bottom w:val="single" w:sz="8" w:color="1E1E1E"/>
            </w:tcBorders>
          </w:tcPr>
          <w:p>
            <w:pPr>
              <w:spacing w:after="0"/>
              <w:rPr>
                <w:sz w:val="20"/>
                <w:szCs w:val="20"/>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2180" w:type="dxa"/>
            <w:vAlign w:val="bottom"/>
            <w:tcBorders>
              <w:bottom w:val="single" w:sz="8" w:color="1E1E1E"/>
            </w:tcBorders>
          </w:tcPr>
          <w:p>
            <w:pPr>
              <w:spacing w:after="0" w:line="20" w:lineRule="exact"/>
              <w:rPr>
                <w:sz w:val="1"/>
                <w:szCs w:val="1"/>
                <w:color w:val="auto"/>
              </w:rPr>
            </w:pPr>
          </w:p>
        </w:tc>
        <w:tc>
          <w:tcPr>
            <w:tcW w:w="362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9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9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-2067560</wp:posOffset>
                </wp:positionV>
                <wp:extent cx="651065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62.7999pt" to="513.3pt,-162.7999pt" o:allowincell="f" strokecolor="#FFFFFF" strokeweight="0.7199pt"/>
            </w:pict>
          </mc:Fallback>
        </mc:AlternateConten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deferred tax balances have been classified in our Consolidated Balance Sheets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2300" w:type="dxa"/>
            <w:vAlign w:val="bottom"/>
          </w:tcPr>
          <w:p>
            <w:pPr>
              <w:spacing w:after="0"/>
              <w:rPr>
                <w:sz w:val="22"/>
                <w:szCs w:val="22"/>
                <w:color w:val="auto"/>
              </w:rPr>
            </w:pPr>
          </w:p>
        </w:tc>
        <w:tc>
          <w:tcPr>
            <w:tcW w:w="320" w:type="dxa"/>
            <w:vAlign w:val="bottom"/>
            <w:tcBorders>
              <w:bottom w:val="single" w:sz="8" w:color="1E1E1E"/>
            </w:tcBorders>
          </w:tcPr>
          <w:p>
            <w:pPr>
              <w:spacing w:after="0"/>
              <w:rPr>
                <w:sz w:val="22"/>
                <w:szCs w:val="22"/>
                <w:color w:val="auto"/>
              </w:rPr>
            </w:pPr>
          </w:p>
        </w:tc>
        <w:tc>
          <w:tcPr>
            <w:tcW w:w="22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As of Fiscal Year Ended</w:t>
            </w:r>
          </w:p>
        </w:tc>
        <w:tc>
          <w:tcPr>
            <w:tcW w:w="62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Borders>
              <w:bottom w:val="single" w:sz="8" w:color="1E1E1E"/>
            </w:tcBorders>
            <w:vMerge w:val="continue"/>
          </w:tcPr>
          <w:p>
            <w:pPr>
              <w:spacing w:after="0"/>
              <w:rPr>
                <w:sz w:val="19"/>
                <w:szCs w:val="19"/>
                <w:color w:val="auto"/>
              </w:rPr>
            </w:pPr>
          </w:p>
        </w:tc>
        <w:tc>
          <w:tcPr>
            <w:tcW w:w="2300" w:type="dxa"/>
            <w:vAlign w:val="bottom"/>
            <w:tcBorders>
              <w:bottom w:val="single" w:sz="8" w:color="1E1E1E"/>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right"/>
              <w:ind w:right="79"/>
              <w:spacing w:after="0" w:line="220" w:lineRule="exact"/>
              <w:rPr>
                <w:sz w:val="20"/>
                <w:szCs w:val="20"/>
                <w:color w:val="auto"/>
              </w:rPr>
            </w:pPr>
            <w:r>
              <w:rPr>
                <w:rFonts w:ascii="Times New Roman" w:cs="Times New Roman" w:eastAsia="Times New Roman" w:hAnsi="Times New Roman"/>
                <w:sz w:val="20"/>
                <w:szCs w:val="20"/>
                <w:b w:val="1"/>
                <w:bCs w:val="1"/>
                <w:color w:val="1E1E1E"/>
              </w:rPr>
              <w:t>2026</w:t>
            </w:r>
          </w:p>
        </w:tc>
        <w:tc>
          <w:tcPr>
            <w:tcW w:w="1000" w:type="dxa"/>
            <w:vAlign w:val="bottom"/>
            <w:tcBorders>
              <w:bottom w:val="single" w:sz="8" w:color="1E1E1E"/>
            </w:tcBorders>
          </w:tcPr>
          <w:p>
            <w:pPr>
              <w:spacing w:after="0"/>
              <w:rPr>
                <w:sz w:val="19"/>
                <w:szCs w:val="19"/>
                <w:color w:val="auto"/>
              </w:rPr>
            </w:pPr>
          </w:p>
        </w:tc>
        <w:tc>
          <w:tcPr>
            <w:tcW w:w="62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Net non-current asset</w:t>
            </w:r>
          </w:p>
        </w:tc>
        <w:tc>
          <w:tcPr>
            <w:tcW w:w="2620" w:type="dxa"/>
            <w:vAlign w:val="bottom"/>
            <w:gridSpan w:val="2"/>
            <w:shd w:val="clear" w:color="auto" w:fill="E4E4E4"/>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280" w:type="dxa"/>
            <w:vAlign w:val="bottom"/>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249</w:t>
            </w:r>
          </w:p>
        </w:tc>
        <w:tc>
          <w:tcPr>
            <w:tcW w:w="1000" w:type="dxa"/>
            <w:vAlign w:val="bottom"/>
            <w:shd w:val="clear" w:color="auto" w:fill="E4E4E4"/>
          </w:tcPr>
          <w:p>
            <w:pPr>
              <w:jc w:val="right"/>
              <w:ind w:right="699"/>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6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Net non-current liability</w:t>
            </w:r>
          </w:p>
        </w:tc>
        <w:tc>
          <w:tcPr>
            <w:tcW w:w="2300" w:type="dxa"/>
            <w:vAlign w:val="bottom"/>
            <w:tcBorders>
              <w:bottom w:val="single" w:sz="8" w:color="1E1E1E"/>
            </w:tcBorders>
          </w:tcPr>
          <w:p>
            <w:pPr>
              <w:spacing w:after="0"/>
              <w:rPr>
                <w:sz w:val="20"/>
                <w:szCs w:val="20"/>
                <w:color w:val="auto"/>
              </w:rPr>
            </w:pPr>
          </w:p>
        </w:tc>
        <w:tc>
          <w:tcPr>
            <w:tcW w:w="320" w:type="dxa"/>
            <w:vAlign w:val="bottom"/>
            <w:tcBorders>
              <w:bottom w:val="single" w:sz="8" w:color="1E1E1E"/>
            </w:tcBorders>
          </w:tcPr>
          <w:p>
            <w:pPr>
              <w:spacing w:after="0"/>
              <w:rPr>
                <w:sz w:val="20"/>
                <w:szCs w:val="20"/>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(3,504)</w:t>
            </w:r>
          </w:p>
        </w:tc>
        <w:tc>
          <w:tcPr>
            <w:tcW w:w="1000" w:type="dxa"/>
            <w:vAlign w:val="bottom"/>
            <w:tcBorders>
              <w:bottom w:val="single" w:sz="8" w:color="1E1E1E"/>
            </w:tcBorders>
          </w:tcPr>
          <w:p>
            <w:pPr>
              <w:spacing w:after="0"/>
              <w:rPr>
                <w:sz w:val="20"/>
                <w:szCs w:val="20"/>
                <w:color w:val="auto"/>
              </w:rPr>
            </w:pP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5"/>
              </w:rPr>
              <w:t>(4,463)</w:t>
            </w:r>
          </w:p>
        </w:tc>
        <w:tc>
          <w:tcPr>
            <w:tcW w:w="0" w:type="dxa"/>
            <w:vAlign w:val="bottom"/>
          </w:tcPr>
          <w:p>
            <w:pPr>
              <w:spacing w:after="0"/>
              <w:rPr>
                <w:sz w:val="1"/>
                <w:szCs w:val="1"/>
                <w:color w:val="auto"/>
              </w:rPr>
            </w:pPr>
          </w:p>
        </w:tc>
      </w:tr>
      <w:tr>
        <w:trPr>
          <w:trHeight w:val="222"/>
        </w:trPr>
        <w:tc>
          <w:tcPr>
            <w:tcW w:w="20" w:type="dxa"/>
            <w:vAlign w:val="bottom"/>
            <w:tcBorders>
              <w:bottom w:val="single" w:sz="8" w:color="1E1E1E"/>
            </w:tcBorders>
          </w:tcPr>
          <w:p>
            <w:pPr>
              <w:spacing w:after="0"/>
              <w:rPr>
                <w:sz w:val="19"/>
                <w:szCs w:val="19"/>
                <w:color w:val="auto"/>
              </w:rPr>
            </w:pPr>
          </w:p>
        </w:tc>
        <w:tc>
          <w:tcPr>
            <w:tcW w:w="4720" w:type="dxa"/>
            <w:vAlign w:val="bottom"/>
            <w:tcBorders>
              <w:bottom w:val="single" w:sz="8" w:color="1E1E1E"/>
            </w:tcBorders>
            <w:shd w:val="clear" w:color="auto" w:fill="E4E4E4"/>
          </w:tcPr>
          <w:p>
            <w:pPr>
              <w:spacing w:after="0" w:line="223" w:lineRule="exact"/>
              <w:rPr>
                <w:sz w:val="20"/>
                <w:szCs w:val="20"/>
                <w:color w:val="auto"/>
              </w:rPr>
            </w:pPr>
            <w:r>
              <w:rPr>
                <w:rFonts w:ascii="Times New Roman" w:cs="Times New Roman" w:eastAsia="Times New Roman" w:hAnsi="Times New Roman"/>
                <w:sz w:val="20"/>
                <w:szCs w:val="20"/>
                <w:b w:val="1"/>
                <w:bCs w:val="1"/>
                <w:color w:val="1E1E1E"/>
              </w:rPr>
              <w:t>Net Deferred Tax Liabilities</w:t>
            </w:r>
          </w:p>
        </w:tc>
        <w:tc>
          <w:tcPr>
            <w:tcW w:w="2620" w:type="dxa"/>
            <w:vAlign w:val="bottom"/>
            <w:tcBorders>
              <w:bottom w:val="single" w:sz="8" w:color="1E1E1E"/>
            </w:tcBorders>
            <w:gridSpan w:val="2"/>
            <w:shd w:val="clear" w:color="auto" w:fill="E4E4E4"/>
          </w:tcPr>
          <w:p>
            <w:pPr>
              <w:jc w:val="right"/>
              <w:ind w:right="220"/>
              <w:spacing w:after="0" w:line="223" w:lineRule="exact"/>
              <w:rPr>
                <w:sz w:val="20"/>
                <w:szCs w:val="20"/>
                <w:color w:val="auto"/>
              </w:rPr>
            </w:pPr>
            <w:r>
              <w:rPr>
                <w:rFonts w:ascii="Times New Roman" w:cs="Times New Roman" w:eastAsia="Times New Roman" w:hAnsi="Times New Roman"/>
                <w:sz w:val="20"/>
                <w:szCs w:val="20"/>
                <w:b w:val="1"/>
                <w:bCs w:val="1"/>
                <w:color w:val="1E1E1E"/>
              </w:rPr>
              <w:t>$</w:t>
            </w:r>
          </w:p>
        </w:tc>
        <w:tc>
          <w:tcPr>
            <w:tcW w:w="1280" w:type="dxa"/>
            <w:vAlign w:val="bottom"/>
            <w:tcBorders>
              <w:bottom w:val="single" w:sz="8" w:color="1E1E1E"/>
            </w:tcBorders>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1E1E1E"/>
              </w:rPr>
              <w:t>(3,255)</w:t>
            </w:r>
          </w:p>
        </w:tc>
        <w:tc>
          <w:tcPr>
            <w:tcW w:w="1000" w:type="dxa"/>
            <w:vAlign w:val="bottom"/>
            <w:tcBorders>
              <w:bottom w:val="single" w:sz="8" w:color="1E1E1E"/>
            </w:tcBorders>
            <w:shd w:val="clear" w:color="auto" w:fill="E4E4E4"/>
          </w:tcPr>
          <w:p>
            <w:pPr>
              <w:jc w:val="right"/>
              <w:ind w:right="699"/>
              <w:spacing w:after="0" w:line="223" w:lineRule="exact"/>
              <w:rPr>
                <w:sz w:val="20"/>
                <w:szCs w:val="20"/>
                <w:color w:val="auto"/>
              </w:rPr>
            </w:pPr>
            <w:r>
              <w:rPr>
                <w:rFonts w:ascii="Times New Roman" w:cs="Times New Roman" w:eastAsia="Times New Roman" w:hAnsi="Times New Roman"/>
                <w:sz w:val="20"/>
                <w:szCs w:val="20"/>
                <w:color w:val="1E1E1E"/>
              </w:rPr>
              <w:t>$</w:t>
            </w:r>
          </w:p>
        </w:tc>
        <w:tc>
          <w:tcPr>
            <w:tcW w:w="620" w:type="dxa"/>
            <w:vAlign w:val="bottom"/>
            <w:tcBorders>
              <w:bottom w:val="single" w:sz="8" w:color="1E1E1E"/>
            </w:tcBorders>
            <w:shd w:val="clear" w:color="auto" w:fill="E4E4E4"/>
          </w:tcPr>
          <w:p>
            <w:pPr>
              <w:jc w:val="right"/>
              <w:spacing w:after="0" w:line="223" w:lineRule="exact"/>
              <w:rPr>
                <w:sz w:val="20"/>
                <w:szCs w:val="20"/>
                <w:color w:val="auto"/>
              </w:rPr>
            </w:pPr>
            <w:r>
              <w:rPr>
                <w:rFonts w:ascii="Times New Roman" w:cs="Times New Roman" w:eastAsia="Times New Roman" w:hAnsi="Times New Roman"/>
                <w:sz w:val="20"/>
                <w:szCs w:val="20"/>
                <w:color w:val="1E1E1E"/>
                <w:w w:val="95"/>
              </w:rPr>
              <w:t>(4,074)</w:t>
            </w: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4720" w:type="dxa"/>
            <w:vAlign w:val="bottom"/>
            <w:tcBorders>
              <w:bottom w:val="single" w:sz="8" w:color="1E1E1E"/>
            </w:tcBorders>
          </w:tcPr>
          <w:p>
            <w:pPr>
              <w:spacing w:after="0" w:line="20" w:lineRule="exact"/>
              <w:rPr>
                <w:sz w:val="1"/>
                <w:szCs w:val="1"/>
                <w:color w:val="auto"/>
              </w:rPr>
            </w:pPr>
          </w:p>
        </w:tc>
        <w:tc>
          <w:tcPr>
            <w:tcW w:w="23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20"/>
        <w:spacing w:after="0" w:line="306" w:lineRule="auto"/>
        <w:rPr>
          <w:sz w:val="20"/>
          <w:szCs w:val="20"/>
          <w:color w:val="auto"/>
        </w:rPr>
      </w:pPr>
      <w:r>
        <w:rPr>
          <w:rFonts w:ascii="Times New Roman" w:cs="Times New Roman" w:eastAsia="Times New Roman" w:hAnsi="Times New Roman"/>
          <w:sz w:val="20"/>
          <w:szCs w:val="20"/>
          <w:color w:val="1E1E1E"/>
        </w:rPr>
        <w:t>As of January 31, 2026 and February 1, 2025, we had net state net operating loss carryforwards of $11.3 million and $11.2 million, respectively. We provided a valuation allowance against these attributes of $11.3 million as of January 31, 2026 and $11.2 million as of February 1, 2025. Expiration of these attributes will occur in various years through 2046.</w:t>
      </w:r>
    </w:p>
    <w:p>
      <w:pPr>
        <w:spacing w:after="0" w:line="148" w:lineRule="exact"/>
        <w:rPr>
          <w:sz w:val="20"/>
          <w:szCs w:val="20"/>
          <w:color w:val="auto"/>
        </w:rPr>
      </w:pPr>
    </w:p>
    <w:p>
      <w:pPr>
        <w:jc w:val="both"/>
        <w:ind w:left="20"/>
        <w:spacing w:after="0" w:line="306" w:lineRule="auto"/>
        <w:rPr>
          <w:sz w:val="20"/>
          <w:szCs w:val="20"/>
          <w:color w:val="auto"/>
        </w:rPr>
      </w:pPr>
      <w:r>
        <w:rPr>
          <w:rFonts w:ascii="Times New Roman" w:cs="Times New Roman" w:eastAsia="Times New Roman" w:hAnsi="Times New Roman"/>
          <w:sz w:val="20"/>
          <w:szCs w:val="20"/>
          <w:color w:val="1E1E1E"/>
        </w:rPr>
        <w:t>As of each of January 31, 2026 and February 1, 2025, we had state tax credits of $0.6 million. We provided a valuation allowance against these attributes of $0.6 million as of each of January 31, 2026 and February 1, 2025 and $0.6 million of these credits have a remaining carryforward period of 5 years or less.</w:t>
      </w:r>
    </w:p>
    <w:p>
      <w:pPr>
        <w:sectPr>
          <w:pgSz w:w="12240" w:h="15840" w:orient="portrait"/>
          <w:cols w:equalWidth="0" w:num="1">
            <w:col w:w="10260"/>
          </w:cols>
          <w:pgMar w:left="980" w:top="1156"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73</w:t>
      </w:r>
    </w:p>
    <w:p>
      <w:pPr>
        <w:sectPr>
          <w:pgSz w:w="12240" w:h="15840" w:orient="portrait"/>
          <w:cols w:equalWidth="0" w:num="1">
            <w:col w:w="10260"/>
          </w:cols>
          <w:pgMar w:left="980" w:top="1156" w:right="1000" w:bottom="178"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11</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Income Taxes, Continued</w:t>
      </w:r>
    </w:p>
    <w:p>
      <w:pPr>
        <w:spacing w:after="0" w:line="247" w:lineRule="exact"/>
        <w:rPr>
          <w:sz w:val="20"/>
          <w:szCs w:val="20"/>
          <w:color w:val="auto"/>
        </w:rPr>
      </w:pPr>
    </w:p>
    <w:p>
      <w:pPr>
        <w:jc w:val="both"/>
        <w:ind w:left="20"/>
        <w:spacing w:after="0" w:line="294" w:lineRule="auto"/>
        <w:rPr>
          <w:sz w:val="20"/>
          <w:szCs w:val="20"/>
          <w:color w:val="auto"/>
        </w:rPr>
      </w:pPr>
      <w:r>
        <w:rPr>
          <w:rFonts w:ascii="Times New Roman" w:cs="Times New Roman" w:eastAsia="Times New Roman" w:hAnsi="Times New Roman"/>
          <w:sz w:val="20"/>
          <w:szCs w:val="20"/>
          <w:color w:val="1E1E1E"/>
        </w:rPr>
        <w:t>Based upon evaluation of our worldwide operations and specific plans to remit foreign earnings back to the U.S., we can no longer assert that earnings from certain U.K. subsidiaries will be indefinitely reinvested. As of January 31, 2026, we believe there are no deferred taxes applicable to the accumulated undistributed earnings of those foreign operations beyond the amounts recorded for deemed repatriation of such earnings, as required in the TCJA. The earnings of our remaining foreign operations are indefinitely reinvested, and accordingly, deferred taxes have not been provided. If changes occur in future investment opportunities and plans, those changes will be reflected when known and may result in providing residual U.S. deferred taxes on unremitted international earnings. If our unremitted international earnings were not considered indefinitely reinvested as of January 31, 2026, an immaterial amount of additional deferred taxes would have been provided.</w:t>
      </w:r>
    </w:p>
    <w:p>
      <w:pPr>
        <w:spacing w:after="0" w:line="156" w:lineRule="exact"/>
        <w:rPr>
          <w:sz w:val="20"/>
          <w:szCs w:val="20"/>
          <w:color w:val="auto"/>
        </w:rPr>
      </w:pPr>
    </w:p>
    <w:p>
      <w:pPr>
        <w:jc w:val="both"/>
        <w:ind w:left="20"/>
        <w:spacing w:after="0" w:line="308" w:lineRule="auto"/>
        <w:rPr>
          <w:sz w:val="20"/>
          <w:szCs w:val="20"/>
          <w:color w:val="auto"/>
        </w:rPr>
      </w:pPr>
      <w:r>
        <w:rPr>
          <w:rFonts w:ascii="Times New Roman" w:cs="Times New Roman" w:eastAsia="Times New Roman" w:hAnsi="Times New Roman"/>
          <w:sz w:val="20"/>
          <w:szCs w:val="20"/>
          <w:color w:val="1E1E1E"/>
        </w:rPr>
        <w:t>As of January 31, 2026, foreign tax credit carryforwards of approximately $2.3 million were available to reduce possible future U.S. income taxes and expire from 2028 to 2031. As a result of the TCJA, we may no longer utilize certain U.S. foreign tax credit carryforwards. A valuation allowance of $2.3 million has been established against these credits.</w:t>
      </w:r>
    </w:p>
    <w:p>
      <w:pPr>
        <w:spacing w:after="0" w:line="142" w:lineRule="exact"/>
        <w:rPr>
          <w:sz w:val="20"/>
          <w:szCs w:val="20"/>
          <w:color w:val="auto"/>
        </w:rPr>
      </w:pPr>
    </w:p>
    <w:p>
      <w:pPr>
        <w:jc w:val="both"/>
        <w:ind w:left="20"/>
        <w:spacing w:after="0" w:line="326" w:lineRule="auto"/>
        <w:rPr>
          <w:sz w:val="20"/>
          <w:szCs w:val="20"/>
          <w:color w:val="auto"/>
        </w:rPr>
      </w:pPr>
      <w:r>
        <w:rPr>
          <w:rFonts w:ascii="Times New Roman" w:cs="Times New Roman" w:eastAsia="Times New Roman" w:hAnsi="Times New Roman"/>
          <w:sz w:val="20"/>
          <w:szCs w:val="20"/>
          <w:color w:val="1E1E1E"/>
        </w:rPr>
        <w:t>As of January 31, 2026 and February 1, 2025, we had gross foreign net operating loss carryforwards of $54.2 million and $40.0 million, respectively, which have a carryforward period of at least 13 years.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1E1E1E"/>
        </w:rPr>
        <w:t>The benefit relating to operating loss and credit carryforwards discussed above as of January 31, 2026, consisted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spacing w:after="0"/>
              <w:rPr>
                <w:sz w:val="22"/>
                <w:szCs w:val="22"/>
                <w:color w:val="auto"/>
              </w:rPr>
            </w:pPr>
          </w:p>
        </w:tc>
        <w:tc>
          <w:tcPr>
            <w:tcW w:w="1720" w:type="dxa"/>
            <w:vAlign w:val="bottom"/>
            <w:tcBorders>
              <w:bottom w:val="single" w:sz="8" w:color="1E1E1E"/>
            </w:tcBorders>
            <w:gridSpan w:val="2"/>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January 31, 2026</w:t>
            </w:r>
          </w:p>
        </w:tc>
        <w:tc>
          <w:tcPr>
            <w:tcW w:w="120" w:type="dxa"/>
            <w:vAlign w:val="bottom"/>
            <w:tcBorders>
              <w:bottom w:val="single" w:sz="8" w:color="1E1E1E"/>
            </w:tcBorders>
          </w:tcPr>
          <w:p>
            <w:pPr>
              <w:spacing w:after="0"/>
              <w:rPr>
                <w:sz w:val="22"/>
                <w:szCs w:val="22"/>
                <w:color w:val="auto"/>
              </w:rPr>
            </w:pPr>
          </w:p>
        </w:tc>
        <w:tc>
          <w:tcPr>
            <w:tcW w:w="1200" w:type="dxa"/>
            <w:vAlign w:val="bottom"/>
            <w:tcBorders>
              <w:bottom w:val="single" w:sz="8" w:color="1E1E1E"/>
            </w:tcBorders>
          </w:tcPr>
          <w:p>
            <w:pPr>
              <w:spacing w:after="0"/>
              <w:rPr>
                <w:sz w:val="22"/>
                <w:szCs w:val="22"/>
                <w:color w:val="auto"/>
              </w:rPr>
            </w:pP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1E1E1E"/>
              </w:rPr>
              <w:t>Gross</w:t>
            </w:r>
          </w:p>
        </w:tc>
        <w:tc>
          <w:tcPr>
            <w:tcW w:w="360" w:type="dxa"/>
            <w:vAlign w:val="bottom"/>
          </w:tcPr>
          <w:p>
            <w:pPr>
              <w:spacing w:after="0"/>
              <w:rPr>
                <w:sz w:val="18"/>
                <w:szCs w:val="18"/>
                <w:color w:val="auto"/>
              </w:rPr>
            </w:pPr>
          </w:p>
        </w:tc>
        <w:tc>
          <w:tcPr>
            <w:tcW w:w="1360" w:type="dxa"/>
            <w:vAlign w:val="bottom"/>
          </w:tcPr>
          <w:p>
            <w:pPr>
              <w:jc w:val="right"/>
              <w:ind w:right="159"/>
              <w:spacing w:after="0" w:line="212" w:lineRule="exact"/>
              <w:rPr>
                <w:sz w:val="20"/>
                <w:szCs w:val="20"/>
                <w:color w:val="auto"/>
              </w:rPr>
            </w:pPr>
            <w:r>
              <w:rPr>
                <w:rFonts w:ascii="Times New Roman" w:cs="Times New Roman" w:eastAsia="Times New Roman" w:hAnsi="Times New Roman"/>
                <w:sz w:val="20"/>
                <w:szCs w:val="20"/>
                <w:color w:val="1E1E1E"/>
              </w:rPr>
              <w:t>Benefit</w:t>
            </w:r>
          </w:p>
        </w:tc>
        <w:tc>
          <w:tcPr>
            <w:tcW w:w="120" w:type="dxa"/>
            <w:vAlign w:val="bottom"/>
          </w:tcPr>
          <w:p>
            <w:pPr>
              <w:spacing w:after="0"/>
              <w:rPr>
                <w:sz w:val="18"/>
                <w:szCs w:val="18"/>
                <w:color w:val="auto"/>
              </w:rPr>
            </w:pPr>
          </w:p>
        </w:tc>
        <w:tc>
          <w:tcPr>
            <w:tcW w:w="12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1E1E1E"/>
              </w:rPr>
              <w:t>Valuation</w:t>
            </w:r>
          </w:p>
        </w:tc>
      </w:tr>
      <w:tr>
        <w:trPr>
          <w:trHeight w:val="253"/>
        </w:trPr>
        <w:tc>
          <w:tcPr>
            <w:tcW w:w="20" w:type="dxa"/>
            <w:vAlign w:val="bottom"/>
          </w:tcPr>
          <w:p>
            <w:pPr>
              <w:spacing w:after="0"/>
              <w:rPr>
                <w:sz w:val="21"/>
                <w:szCs w:val="21"/>
                <w:color w:val="auto"/>
              </w:rPr>
            </w:pPr>
          </w:p>
        </w:tc>
        <w:tc>
          <w:tcPr>
            <w:tcW w:w="60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00" w:type="dxa"/>
            <w:vAlign w:val="bottom"/>
            <w:tcBorders>
              <w:bottom w:val="single" w:sz="8" w:color="1E1E1E"/>
            </w:tcBorders>
          </w:tcPr>
          <w:p>
            <w:pPr>
              <w:spacing w:after="0"/>
              <w:rPr>
                <w:sz w:val="21"/>
                <w:szCs w:val="21"/>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Carryforward</w:t>
            </w:r>
          </w:p>
        </w:tc>
        <w:tc>
          <w:tcPr>
            <w:tcW w:w="360" w:type="dxa"/>
            <w:vAlign w:val="bottom"/>
            <w:tcBorders>
              <w:bottom w:val="single" w:sz="8" w:color="1E1E1E"/>
            </w:tcBorders>
          </w:tcPr>
          <w:p>
            <w:pPr>
              <w:spacing w:after="0"/>
              <w:rPr>
                <w:sz w:val="21"/>
                <w:szCs w:val="21"/>
                <w:color w:val="auto"/>
              </w:rPr>
            </w:pPr>
          </w:p>
        </w:tc>
        <w:tc>
          <w:tcPr>
            <w:tcW w:w="1360" w:type="dxa"/>
            <w:vAlign w:val="bottom"/>
            <w:tcBorders>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color w:val="1E1E1E"/>
              </w:rPr>
              <w:t>Amount</w:t>
            </w:r>
          </w:p>
        </w:tc>
        <w:tc>
          <w:tcPr>
            <w:tcW w:w="12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Allowance</w:t>
            </w:r>
          </w:p>
        </w:tc>
      </w:tr>
      <w:tr>
        <w:trPr>
          <w:trHeight w:val="234"/>
        </w:trPr>
        <w:tc>
          <w:tcPr>
            <w:tcW w:w="20" w:type="dxa"/>
            <w:vAlign w:val="bottom"/>
          </w:tcPr>
          <w:p>
            <w:pPr>
              <w:spacing w:after="0"/>
              <w:rPr>
                <w:sz w:val="20"/>
                <w:szCs w:val="20"/>
                <w:color w:val="auto"/>
              </w:rPr>
            </w:pPr>
          </w:p>
        </w:tc>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State operating loss carryforwards</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183,934</w:t>
            </w:r>
          </w:p>
        </w:tc>
        <w:tc>
          <w:tcPr>
            <w:tcW w:w="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360" w:type="dxa"/>
            <w:vAlign w:val="bottom"/>
            <w:shd w:val="clear" w:color="auto" w:fill="E4E4E4"/>
          </w:tcPr>
          <w:p>
            <w:pPr>
              <w:jc w:val="right"/>
              <w:ind w:right="159"/>
              <w:spacing w:after="0"/>
              <w:rPr>
                <w:sz w:val="20"/>
                <w:szCs w:val="20"/>
                <w:color w:val="auto"/>
              </w:rPr>
            </w:pPr>
            <w:r>
              <w:rPr>
                <w:rFonts w:ascii="Times New Roman" w:cs="Times New Roman" w:eastAsia="Times New Roman" w:hAnsi="Times New Roman"/>
                <w:sz w:val="20"/>
                <w:szCs w:val="20"/>
                <w:color w:val="1E1E1E"/>
              </w:rPr>
              <w:t>11,301</w:t>
            </w: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99"/>
                <w:shd w:val="clear" w:color="auto" w:fill="E4E4E4"/>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(11,301)</w:t>
            </w:r>
          </w:p>
        </w:tc>
      </w:tr>
      <w:tr>
        <w:trPr>
          <w:trHeight w:val="24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20"/>
                <w:szCs w:val="20"/>
                <w:color w:val="1E1E1E"/>
              </w:rPr>
              <w:t>State credit carryforwards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tcPr>
          <w:p>
            <w:pPr>
              <w:spacing w:after="0"/>
              <w:rPr>
                <w:sz w:val="20"/>
                <w:szCs w:val="20"/>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1E1E1E"/>
              </w:rPr>
              <w:t>593</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(593)</w:t>
            </w:r>
          </w:p>
        </w:tc>
      </w:tr>
      <w:tr>
        <w:trPr>
          <w:trHeight w:val="245"/>
        </w:trPr>
        <w:tc>
          <w:tcPr>
            <w:tcW w:w="20" w:type="dxa"/>
            <w:vAlign w:val="bottom"/>
          </w:tcPr>
          <w:p>
            <w:pPr>
              <w:spacing w:after="0"/>
              <w:rPr>
                <w:sz w:val="21"/>
                <w:szCs w:val="21"/>
                <w:color w:val="auto"/>
              </w:rPr>
            </w:pPr>
          </w:p>
        </w:tc>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Foreign tax credit carryforwards</w:t>
            </w:r>
          </w:p>
        </w:tc>
        <w:tc>
          <w:tcPr>
            <w:tcW w:w="10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E4E4E4"/>
          </w:tcPr>
          <w:p>
            <w:pPr>
              <w:spacing w:after="0"/>
              <w:rPr>
                <w:sz w:val="21"/>
                <w:szCs w:val="21"/>
                <w:color w:val="auto"/>
              </w:rPr>
            </w:pPr>
          </w:p>
        </w:tc>
        <w:tc>
          <w:tcPr>
            <w:tcW w:w="1360" w:type="dxa"/>
            <w:vAlign w:val="bottom"/>
            <w:shd w:val="clear" w:color="auto" w:fill="E4E4E4"/>
          </w:tcPr>
          <w:p>
            <w:pPr>
              <w:jc w:val="right"/>
              <w:ind w:right="159"/>
              <w:spacing w:after="0"/>
              <w:rPr>
                <w:sz w:val="20"/>
                <w:szCs w:val="20"/>
                <w:color w:val="auto"/>
              </w:rPr>
            </w:pPr>
            <w:r>
              <w:rPr>
                <w:rFonts w:ascii="Times New Roman" w:cs="Times New Roman" w:eastAsia="Times New Roman" w:hAnsi="Times New Roman"/>
                <w:sz w:val="20"/>
                <w:szCs w:val="20"/>
                <w:color w:val="1E1E1E"/>
              </w:rPr>
              <w:t>2,331</w:t>
            </w:r>
          </w:p>
        </w:tc>
        <w:tc>
          <w:tcPr>
            <w:tcW w:w="12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(2,331)</w:t>
            </w:r>
          </w:p>
        </w:tc>
      </w:tr>
      <w:tr>
        <w:trPr>
          <w:trHeight w:val="245"/>
        </w:trPr>
        <w:tc>
          <w:tcPr>
            <w:tcW w:w="2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20"/>
                <w:szCs w:val="20"/>
                <w:color w:val="1E1E1E"/>
              </w:rPr>
              <w:t>U.K. operating loss carryforwards</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7,982</w:t>
            </w:r>
          </w:p>
        </w:tc>
        <w:tc>
          <w:tcPr>
            <w:tcW w:w="360" w:type="dxa"/>
            <w:vAlign w:val="bottom"/>
          </w:tcPr>
          <w:p>
            <w:pPr>
              <w:spacing w:after="0"/>
              <w:rPr>
                <w:sz w:val="21"/>
                <w:szCs w:val="21"/>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1E1E1E"/>
              </w:rPr>
              <w:t>1,995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45"/>
        </w:trPr>
        <w:tc>
          <w:tcPr>
            <w:tcW w:w="20" w:type="dxa"/>
            <w:vAlign w:val="bottom"/>
          </w:tcPr>
          <w:p>
            <w:pPr>
              <w:spacing w:after="0"/>
              <w:rPr>
                <w:sz w:val="21"/>
                <w:szCs w:val="21"/>
                <w:color w:val="auto"/>
              </w:rPr>
            </w:pPr>
          </w:p>
        </w:tc>
        <w:tc>
          <w:tcPr>
            <w:tcW w:w="6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ROI operating loss carryforwards</w:t>
            </w:r>
          </w:p>
        </w:tc>
        <w:tc>
          <w:tcPr>
            <w:tcW w:w="10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12,603</w:t>
            </w:r>
          </w:p>
        </w:tc>
        <w:tc>
          <w:tcPr>
            <w:tcW w:w="360" w:type="dxa"/>
            <w:vAlign w:val="bottom"/>
            <w:shd w:val="clear" w:color="auto" w:fill="E4E4E4"/>
          </w:tcPr>
          <w:p>
            <w:pPr>
              <w:spacing w:after="0"/>
              <w:rPr>
                <w:sz w:val="21"/>
                <w:szCs w:val="21"/>
                <w:color w:val="auto"/>
              </w:rPr>
            </w:pPr>
          </w:p>
        </w:tc>
        <w:tc>
          <w:tcPr>
            <w:tcW w:w="1360" w:type="dxa"/>
            <w:vAlign w:val="bottom"/>
            <w:shd w:val="clear" w:color="auto" w:fill="E4E4E4"/>
          </w:tcPr>
          <w:p>
            <w:pPr>
              <w:jc w:val="right"/>
              <w:ind w:right="159"/>
              <w:spacing w:after="0"/>
              <w:rPr>
                <w:sz w:val="20"/>
                <w:szCs w:val="20"/>
                <w:color w:val="auto"/>
              </w:rPr>
            </w:pPr>
            <w:r>
              <w:rPr>
                <w:rFonts w:ascii="Times New Roman" w:cs="Times New Roman" w:eastAsia="Times New Roman" w:hAnsi="Times New Roman"/>
                <w:sz w:val="20"/>
                <w:szCs w:val="20"/>
                <w:color w:val="1E1E1E"/>
              </w:rPr>
              <w:t>1,575</w:t>
            </w:r>
          </w:p>
        </w:tc>
        <w:tc>
          <w:tcPr>
            <w:tcW w:w="12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(1,575)</w:t>
            </w:r>
          </w:p>
        </w:tc>
      </w:tr>
      <w:tr>
        <w:trPr>
          <w:trHeight w:val="245"/>
        </w:trPr>
        <w:tc>
          <w:tcPr>
            <w:tcW w:w="2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20"/>
                <w:szCs w:val="20"/>
                <w:color w:val="1E1E1E"/>
              </w:rPr>
              <w:t>Puerto Rico operating loss carryforwards</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130</w:t>
            </w:r>
          </w:p>
        </w:tc>
        <w:tc>
          <w:tcPr>
            <w:tcW w:w="360" w:type="dxa"/>
            <w:vAlign w:val="bottom"/>
          </w:tcPr>
          <w:p>
            <w:pPr>
              <w:spacing w:after="0"/>
              <w:rPr>
                <w:sz w:val="21"/>
                <w:szCs w:val="21"/>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20"/>
                <w:szCs w:val="20"/>
                <w:color w:val="1E1E1E"/>
              </w:rPr>
              <w:t>49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45"/>
        </w:trPr>
        <w:tc>
          <w:tcPr>
            <w:tcW w:w="20" w:type="dxa"/>
            <w:vAlign w:val="bottom"/>
          </w:tcPr>
          <w:p>
            <w:pPr>
              <w:spacing w:after="0"/>
              <w:rPr>
                <w:sz w:val="21"/>
                <w:szCs w:val="21"/>
                <w:color w:val="auto"/>
              </w:rPr>
            </w:pPr>
          </w:p>
        </w:tc>
        <w:tc>
          <w:tcPr>
            <w:tcW w:w="600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Canada operating loss carryforwards</w:t>
            </w:r>
          </w:p>
        </w:tc>
        <w:tc>
          <w:tcPr>
            <w:tcW w:w="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33,501</w:t>
            </w:r>
          </w:p>
        </w:tc>
        <w:tc>
          <w:tcPr>
            <w:tcW w:w="360" w:type="dxa"/>
            <w:vAlign w:val="bottom"/>
            <w:tcBorders>
              <w:bottom w:val="single" w:sz="8" w:color="1E1E1E"/>
            </w:tcBorders>
            <w:shd w:val="clear" w:color="auto" w:fill="E4E4E4"/>
          </w:tcPr>
          <w:p>
            <w:pPr>
              <w:spacing w:after="0"/>
              <w:rPr>
                <w:sz w:val="21"/>
                <w:szCs w:val="21"/>
                <w:color w:val="auto"/>
              </w:rPr>
            </w:pPr>
          </w:p>
        </w:tc>
        <w:tc>
          <w:tcPr>
            <w:tcW w:w="1360" w:type="dxa"/>
            <w:vAlign w:val="bottom"/>
            <w:tcBorders>
              <w:bottom w:val="single" w:sz="8" w:color="1E1E1E"/>
            </w:tcBorders>
            <w:shd w:val="clear" w:color="auto" w:fill="E4E4E4"/>
          </w:tcPr>
          <w:p>
            <w:pPr>
              <w:jc w:val="right"/>
              <w:ind w:right="159"/>
              <w:spacing w:after="0"/>
              <w:rPr>
                <w:sz w:val="20"/>
                <w:szCs w:val="20"/>
                <w:color w:val="auto"/>
              </w:rPr>
            </w:pPr>
            <w:r>
              <w:rPr>
                <w:rFonts w:ascii="Times New Roman" w:cs="Times New Roman" w:eastAsia="Times New Roman" w:hAnsi="Times New Roman"/>
                <w:sz w:val="20"/>
                <w:szCs w:val="20"/>
                <w:color w:val="1E1E1E"/>
              </w:rPr>
              <w:t>8,788</w:t>
            </w:r>
          </w:p>
        </w:tc>
        <w:tc>
          <w:tcPr>
            <w:tcW w:w="120" w:type="dxa"/>
            <w:vAlign w:val="bottom"/>
            <w:tcBorders>
              <w:bottom w:val="single" w:sz="8" w:color="1E1E1E"/>
            </w:tcBorders>
            <w:shd w:val="clear" w:color="auto" w:fill="E4E4E4"/>
          </w:tcPr>
          <w:p>
            <w:pPr>
              <w:spacing w:after="0"/>
              <w:rPr>
                <w:sz w:val="21"/>
                <w:szCs w:val="21"/>
                <w:color w:val="auto"/>
              </w:rPr>
            </w:pPr>
          </w:p>
        </w:tc>
        <w:tc>
          <w:tcPr>
            <w:tcW w:w="12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(8,788)</w:t>
            </w:r>
          </w:p>
        </w:tc>
      </w:tr>
      <w:tr>
        <w:trPr>
          <w:trHeight w:val="234"/>
        </w:trPr>
        <w:tc>
          <w:tcPr>
            <w:tcW w:w="20" w:type="dxa"/>
            <w:vAlign w:val="bottom"/>
            <w:tcBorders>
              <w:bottom w:val="single" w:sz="8" w:color="1E1E1E"/>
            </w:tcBorders>
          </w:tcPr>
          <w:p>
            <w:pPr>
              <w:spacing w:after="0"/>
              <w:rPr>
                <w:sz w:val="20"/>
                <w:szCs w:val="20"/>
                <w:color w:val="auto"/>
              </w:rPr>
            </w:pPr>
          </w:p>
        </w:tc>
        <w:tc>
          <w:tcPr>
            <w:tcW w:w="60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Total Benefit Amount/Valuation Allowance</w:t>
            </w:r>
          </w:p>
        </w:tc>
        <w:tc>
          <w:tcPr>
            <w:tcW w:w="100" w:type="dxa"/>
            <w:vAlign w:val="bottom"/>
            <w:tcBorders>
              <w:bottom w:val="single" w:sz="8" w:color="1E1E1E"/>
            </w:tcBorders>
          </w:tcPr>
          <w:p>
            <w:pPr>
              <w:spacing w:after="0"/>
              <w:rPr>
                <w:sz w:val="20"/>
                <w:szCs w:val="20"/>
                <w:color w:val="auto"/>
              </w:rPr>
            </w:pPr>
          </w:p>
        </w:tc>
        <w:tc>
          <w:tcPr>
            <w:tcW w:w="1100" w:type="dxa"/>
            <w:vAlign w:val="bottom"/>
            <w:tcBorders>
              <w:bottom w:val="single" w:sz="8" w:color="1E1E1E"/>
            </w:tcBorders>
          </w:tcPr>
          <w:p>
            <w:pPr>
              <w:spacing w:after="0"/>
              <w:rPr>
                <w:sz w:val="20"/>
                <w:szCs w:val="20"/>
                <w:color w:val="auto"/>
              </w:rPr>
            </w:pP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360" w:type="dxa"/>
            <w:vAlign w:val="bottom"/>
            <w:tcBorders>
              <w:bottom w:val="single" w:sz="8" w:color="1E1E1E"/>
            </w:tcBorders>
          </w:tcPr>
          <w:p>
            <w:pPr>
              <w:jc w:val="right"/>
              <w:ind w:right="159"/>
              <w:spacing w:after="0"/>
              <w:rPr>
                <w:sz w:val="20"/>
                <w:szCs w:val="20"/>
                <w:color w:val="auto"/>
              </w:rPr>
            </w:pPr>
            <w:r>
              <w:rPr>
                <w:rFonts w:ascii="Times New Roman" w:cs="Times New Roman" w:eastAsia="Times New Roman" w:hAnsi="Times New Roman"/>
                <w:sz w:val="20"/>
                <w:szCs w:val="20"/>
                <w:b w:val="1"/>
                <w:bCs w:val="1"/>
                <w:color w:val="1E1E1E"/>
              </w:rPr>
              <w:t>26,632</w:t>
            </w: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(24,588)</w:t>
            </w: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60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r>
    </w:tbl>
    <w:p>
      <w:pPr>
        <w:spacing w:after="0" w:line="179" w:lineRule="exact"/>
        <w:rPr>
          <w:sz w:val="20"/>
          <w:szCs w:val="20"/>
          <w:color w:val="auto"/>
        </w:rPr>
      </w:pPr>
    </w:p>
    <w:p>
      <w:pPr>
        <w:jc w:val="both"/>
        <w:ind w:left="20"/>
        <w:spacing w:after="0" w:line="294" w:lineRule="auto"/>
        <w:rPr>
          <w:sz w:val="20"/>
          <w:szCs w:val="20"/>
          <w:color w:val="auto"/>
        </w:rPr>
      </w:pPr>
      <w:r>
        <w:rPr>
          <w:rFonts w:ascii="Times New Roman" w:cs="Times New Roman" w:eastAsia="Times New Roman" w:hAnsi="Times New Roman"/>
          <w:sz w:val="20"/>
          <w:szCs w:val="20"/>
          <w:color w:val="1E1E1E"/>
        </w:rPr>
        <w:t>We regularly evaluate the need for a valuation allowance against our deferred tax assets. In making this determination, we consider all available evidence, both positive and negative, including but not limited to earnings history, projected future outcomes, industry and market trends and the nature of each of the deferred tax assets in assessing the extent to which a valuation allowance should be applied against our U.S. and foreign deferred tax assets. Based on this assessment, as of January 31, 2026 and February 1, 2025, we provided a total valuation allowance of approximately $71.2 million and $72.4 million, respectively, on U.S. and foreign deferred tax assets for which management has determined it is more likely than not that the deferred tax assets will not be realized.</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74</w:t>
      </w:r>
    </w:p>
    <w:p>
      <w:pPr>
        <w:sectPr>
          <w:pgSz w:w="12240" w:h="15840" w:orient="portrait"/>
          <w:cols w:equalWidth="0" w:num="1">
            <w:col w:w="10280"/>
          </w:cols>
          <w:pgMar w:left="980" w:top="1156" w:right="980" w:bottom="178"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11</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Income Taxes, Continued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following is a tabular reconciliation of the total amounts of unrecognized tax benefits.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88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140" w:type="dxa"/>
            <w:vAlign w:val="bottom"/>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spacing w:after="0"/>
              <w:rPr>
                <w:sz w:val="22"/>
                <w:szCs w:val="22"/>
                <w:color w:val="auto"/>
              </w:rPr>
            </w:pPr>
          </w:p>
        </w:tc>
        <w:tc>
          <w:tcPr>
            <w:tcW w:w="360" w:type="dxa"/>
            <w:vAlign w:val="bottom"/>
            <w:tcBorders>
              <w:bottom w:val="single" w:sz="8" w:color="1E1E1E"/>
            </w:tcBorders>
          </w:tcPr>
          <w:p>
            <w:pPr>
              <w:spacing w:after="0"/>
              <w:rPr>
                <w:sz w:val="22"/>
                <w:szCs w:val="22"/>
                <w:color w:val="auto"/>
              </w:rPr>
            </w:pPr>
          </w:p>
        </w:tc>
        <w:tc>
          <w:tcPr>
            <w:tcW w:w="1200" w:type="dxa"/>
            <w:vAlign w:val="bottom"/>
            <w:tcBorders>
              <w:bottom w:val="single" w:sz="8" w:color="1E1E1E"/>
            </w:tcBorders>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1E1E1E"/>
                <w:w w:val="98"/>
              </w:rPr>
              <w:t>Fiscal Year</w:t>
            </w:r>
          </w:p>
        </w:tc>
        <w:tc>
          <w:tcPr>
            <w:tcW w:w="260" w:type="dxa"/>
            <w:vAlign w:val="bottom"/>
            <w:tcBorders>
              <w:bottom w:val="single" w:sz="8" w:color="1E1E1E"/>
            </w:tcBorders>
          </w:tcPr>
          <w:p>
            <w:pPr>
              <w:spacing w:after="0"/>
              <w:rPr>
                <w:sz w:val="22"/>
                <w:szCs w:val="22"/>
                <w:color w:val="auto"/>
              </w:rPr>
            </w:pPr>
          </w:p>
        </w:tc>
        <w:tc>
          <w:tcPr>
            <w:tcW w:w="1110" w:type="dxa"/>
            <w:vAlign w:val="bottom"/>
            <w:tcBorders>
              <w:bottom w:val="single" w:sz="8" w:color="1E1E1E"/>
            </w:tcBorders>
          </w:tcPr>
          <w:p>
            <w:pPr>
              <w:spacing w:after="0"/>
              <w:rPr>
                <w:sz w:val="22"/>
                <w:szCs w:val="22"/>
                <w:color w:val="auto"/>
              </w:rPr>
            </w:pPr>
          </w:p>
        </w:tc>
        <w:tc>
          <w:tcPr>
            <w:tcW w:w="9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Borders>
              <w:bottom w:val="single" w:sz="8" w:color="1E1E1E"/>
            </w:tcBorders>
            <w:vMerge w:val="continue"/>
          </w:tcPr>
          <w:p>
            <w:pPr>
              <w:spacing w:after="0"/>
              <w:rPr>
                <w:sz w:val="20"/>
                <w:szCs w:val="20"/>
                <w:color w:val="auto"/>
              </w:rPr>
            </w:pPr>
          </w:p>
        </w:tc>
        <w:tc>
          <w:tcPr>
            <w:tcW w:w="14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2026</w:t>
            </w:r>
          </w:p>
        </w:tc>
        <w:tc>
          <w:tcPr>
            <w:tcW w:w="360" w:type="dxa"/>
            <w:vAlign w:val="bottom"/>
            <w:tcBorders>
              <w:bottom w:val="single" w:sz="8" w:color="1E1E1E"/>
            </w:tcBorders>
          </w:tcPr>
          <w:p>
            <w:pPr>
              <w:spacing w:after="0"/>
              <w:rPr>
                <w:sz w:val="20"/>
                <w:szCs w:val="20"/>
                <w:color w:val="auto"/>
              </w:rPr>
            </w:pP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90" w:type="dxa"/>
            <w:vAlign w:val="bottom"/>
            <w:tcBorders>
              <w:bottom w:val="single" w:sz="8" w:color="1E1E1E"/>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90" w:type="dxa"/>
            <w:vAlign w:val="bottom"/>
            <w:tcBorders>
              <w:bottom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Unrecognized Tax Benefit – Beginning of Period</w:t>
            </w:r>
          </w:p>
        </w:tc>
        <w:tc>
          <w:tcPr>
            <w:tcW w:w="140" w:type="dxa"/>
            <w:vAlign w:val="bottom"/>
            <w:shd w:val="clear" w:color="auto" w:fill="E4E4E4"/>
          </w:tcPr>
          <w:p>
            <w:pPr>
              <w:spacing w:after="0"/>
              <w:rPr>
                <w:sz w:val="20"/>
                <w:szCs w:val="20"/>
                <w:color w:val="auto"/>
              </w:rPr>
            </w:pP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w w:val="79"/>
                <w:shd w:val="clear" w:color="auto" w:fill="E4E4E4"/>
              </w:rPr>
              <w:t>$</w:t>
            </w: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664</w:t>
            </w:r>
          </w:p>
        </w:tc>
        <w:tc>
          <w:tcPr>
            <w:tcW w:w="3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1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751</w:t>
            </w:r>
          </w:p>
        </w:tc>
        <w:tc>
          <w:tcPr>
            <w:tcW w:w="90" w:type="dxa"/>
            <w:vAlign w:val="bottom"/>
            <w:shd w:val="clear" w:color="auto" w:fill="E4E4E4"/>
          </w:tcPr>
          <w:p>
            <w:pPr>
              <w:spacing w:after="0"/>
              <w:rPr>
                <w:sz w:val="20"/>
                <w:szCs w:val="20"/>
                <w:color w:val="auto"/>
              </w:rPr>
            </w:pPr>
          </w:p>
        </w:tc>
        <w:tc>
          <w:tcPr>
            <w:tcW w:w="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shd w:val="clear" w:color="auto" w:fill="E4E4E4"/>
              </w:rPr>
              <w:t>$</w:t>
            </w:r>
          </w:p>
        </w:tc>
        <w:tc>
          <w:tcPr>
            <w:tcW w:w="11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9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Gross Decreases – Tax Positions in a Prior Period</w:t>
            </w:r>
          </w:p>
        </w:tc>
        <w:tc>
          <w:tcPr>
            <w:tcW w:w="14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tcBorders>
              <w:bottom w:val="single" w:sz="8" w:color="E4E4E4"/>
            </w:tcBorders>
          </w:tcPr>
          <w:p>
            <w:pPr>
              <w:spacing w:after="0"/>
              <w:rPr>
                <w:sz w:val="21"/>
                <w:szCs w:val="21"/>
                <w:color w:val="auto"/>
              </w:rPr>
            </w:pPr>
          </w:p>
        </w:tc>
        <w:tc>
          <w:tcPr>
            <w:tcW w:w="1200" w:type="dxa"/>
            <w:vAlign w:val="bottom"/>
            <w:tcBorders>
              <w:bottom w:val="single" w:sz="8" w:color="E4E4E4"/>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(144)</w:t>
            </w:r>
          </w:p>
        </w:tc>
        <w:tc>
          <w:tcPr>
            <w:tcW w:w="260" w:type="dxa"/>
            <w:vAlign w:val="bottom"/>
            <w:tcBorders>
              <w:bottom w:val="single" w:sz="8" w:color="E4E4E4"/>
            </w:tcBorders>
          </w:tcPr>
          <w:p>
            <w:pPr>
              <w:spacing w:after="0"/>
              <w:rPr>
                <w:sz w:val="21"/>
                <w:szCs w:val="21"/>
                <w:color w:val="auto"/>
              </w:rPr>
            </w:pPr>
          </w:p>
        </w:tc>
        <w:tc>
          <w:tcPr>
            <w:tcW w:w="1200" w:type="dxa"/>
            <w:vAlign w:val="bottom"/>
            <w:tcBorders>
              <w:bottom w:val="single" w:sz="8" w:color="E4E4E4"/>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Gross Increases – Tax Positions in a Prior Period</w:t>
            </w:r>
          </w:p>
        </w:tc>
        <w:tc>
          <w:tcPr>
            <w:tcW w:w="1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360" w:type="dxa"/>
            <w:vAlign w:val="bottom"/>
            <w:shd w:val="clear" w:color="auto" w:fill="E4E4E4"/>
          </w:tcPr>
          <w:p>
            <w:pPr>
              <w:spacing w:after="0"/>
              <w:rPr>
                <w:sz w:val="19"/>
                <w:szCs w:val="19"/>
                <w:color w:val="auto"/>
              </w:rPr>
            </w:pPr>
          </w:p>
        </w:tc>
        <w:tc>
          <w:tcPr>
            <w:tcW w:w="111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541</w:t>
            </w:r>
          </w:p>
        </w:tc>
        <w:tc>
          <w:tcPr>
            <w:tcW w:w="9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1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Gross Increases – Tax Positions in a Current Period</w:t>
            </w:r>
          </w:p>
        </w:tc>
        <w:tc>
          <w:tcPr>
            <w:tcW w:w="14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11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62</w:t>
            </w:r>
          </w:p>
        </w:tc>
        <w:tc>
          <w:tcPr>
            <w:tcW w:w="360" w:type="dxa"/>
            <w:vAlign w:val="bottom"/>
            <w:tcBorders>
              <w:bottom w:val="single" w:sz="8" w:color="E4E4E4"/>
            </w:tcBorders>
          </w:tcPr>
          <w:p>
            <w:pPr>
              <w:spacing w:after="0"/>
              <w:rPr>
                <w:sz w:val="21"/>
                <w:szCs w:val="21"/>
                <w:color w:val="auto"/>
              </w:rPr>
            </w:pPr>
          </w:p>
        </w:tc>
        <w:tc>
          <w:tcPr>
            <w:tcW w:w="111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90" w:type="dxa"/>
            <w:vAlign w:val="bottom"/>
            <w:tcBorders>
              <w:bottom w:val="single" w:sz="8" w:color="E4E4E4"/>
            </w:tcBorders>
          </w:tcPr>
          <w:p>
            <w:pPr>
              <w:spacing w:after="0"/>
              <w:rPr>
                <w:sz w:val="21"/>
                <w:szCs w:val="21"/>
                <w:color w:val="auto"/>
              </w:rPr>
            </w:pPr>
          </w:p>
        </w:tc>
        <w:tc>
          <w:tcPr>
            <w:tcW w:w="260" w:type="dxa"/>
            <w:vAlign w:val="bottom"/>
            <w:tcBorders>
              <w:bottom w:val="single" w:sz="8" w:color="E4E4E4"/>
            </w:tcBorders>
          </w:tcPr>
          <w:p>
            <w:pPr>
              <w:spacing w:after="0"/>
              <w:rPr>
                <w:sz w:val="21"/>
                <w:szCs w:val="21"/>
                <w:color w:val="auto"/>
              </w:rPr>
            </w:pPr>
          </w:p>
        </w:tc>
        <w:tc>
          <w:tcPr>
            <w:tcW w:w="111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573</w:t>
            </w:r>
          </w:p>
        </w:tc>
        <w:tc>
          <w:tcPr>
            <w:tcW w:w="9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80" w:type="dxa"/>
            <w:vAlign w:val="bottom"/>
            <w:tcBorders>
              <w:bottom w:val="single" w:sz="8" w:color="1E1E1E"/>
            </w:tcBorders>
            <w:shd w:val="clear" w:color="auto" w:fill="E4E4E4"/>
          </w:tcPr>
          <w:p>
            <w:pPr>
              <w:spacing w:after="0" w:line="225" w:lineRule="exact"/>
              <w:rPr>
                <w:sz w:val="20"/>
                <w:szCs w:val="20"/>
                <w:color w:val="auto"/>
              </w:rPr>
            </w:pPr>
            <w:r>
              <w:rPr>
                <w:rFonts w:ascii="Times New Roman" w:cs="Times New Roman" w:eastAsia="Times New Roman" w:hAnsi="Times New Roman"/>
                <w:sz w:val="20"/>
                <w:szCs w:val="20"/>
                <w:color w:val="1E1E1E"/>
              </w:rPr>
              <w:t>Settlements</w:t>
            </w:r>
          </w:p>
        </w:tc>
        <w:tc>
          <w:tcPr>
            <w:tcW w:w="140" w:type="dxa"/>
            <w:vAlign w:val="bottom"/>
            <w:tcBorders>
              <w:bottom w:val="single" w:sz="8" w:color="1E1E1E"/>
            </w:tcBorders>
            <w:shd w:val="clear" w:color="auto" w:fill="E4E4E4"/>
          </w:tcPr>
          <w:p>
            <w:pPr>
              <w:spacing w:after="0"/>
              <w:rPr>
                <w:sz w:val="19"/>
                <w:szCs w:val="19"/>
                <w:color w:val="auto"/>
              </w:rPr>
            </w:pPr>
          </w:p>
        </w:tc>
        <w:tc>
          <w:tcPr>
            <w:tcW w:w="10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1E1E1E"/>
              </w:rPr>
              <w:t>—</w:t>
            </w:r>
          </w:p>
        </w:tc>
        <w:tc>
          <w:tcPr>
            <w:tcW w:w="360" w:type="dxa"/>
            <w:vAlign w:val="bottom"/>
            <w:tcBorders>
              <w:bottom w:val="single" w:sz="8" w:color="1E1E1E"/>
            </w:tcBorders>
            <w:shd w:val="clear" w:color="auto" w:fill="E4E4E4"/>
          </w:tcPr>
          <w:p>
            <w:pPr>
              <w:spacing w:after="0"/>
              <w:rPr>
                <w:sz w:val="19"/>
                <w:szCs w:val="19"/>
                <w:color w:val="auto"/>
              </w:rPr>
            </w:pPr>
          </w:p>
        </w:tc>
        <w:tc>
          <w:tcPr>
            <w:tcW w:w="111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(541)</w:t>
            </w:r>
          </w:p>
        </w:tc>
        <w:tc>
          <w:tcPr>
            <w:tcW w:w="90" w:type="dxa"/>
            <w:vAlign w:val="bottom"/>
            <w:tcBorders>
              <w:bottom w:val="single" w:sz="8" w:color="1E1E1E"/>
            </w:tcBorders>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spacing w:after="0"/>
              <w:rPr>
                <w:sz w:val="19"/>
                <w:szCs w:val="19"/>
                <w:color w:val="auto"/>
              </w:rPr>
            </w:pPr>
          </w:p>
        </w:tc>
        <w:tc>
          <w:tcPr>
            <w:tcW w:w="1110" w:type="dxa"/>
            <w:vAlign w:val="bottom"/>
            <w:tcBorders>
              <w:bottom w:val="single" w:sz="8" w:color="1E1E1E"/>
            </w:tcBorders>
            <w:shd w:val="clear" w:color="auto" w:fill="E4E4E4"/>
          </w:tcPr>
          <w:p>
            <w:pPr>
              <w:jc w:val="right"/>
              <w:spacing w:after="0" w:line="225" w:lineRule="exact"/>
              <w:rPr>
                <w:sz w:val="20"/>
                <w:szCs w:val="20"/>
                <w:color w:val="auto"/>
              </w:rPr>
            </w:pPr>
            <w:r>
              <w:rPr>
                <w:rFonts w:ascii="Times New Roman" w:cs="Times New Roman" w:eastAsia="Times New Roman" w:hAnsi="Times New Roman"/>
                <w:sz w:val="20"/>
                <w:szCs w:val="20"/>
                <w:color w:val="1E1E1E"/>
              </w:rPr>
              <w:t>—</w:t>
            </w:r>
          </w:p>
        </w:tc>
        <w:tc>
          <w:tcPr>
            <w:tcW w:w="90" w:type="dxa"/>
            <w:vAlign w:val="bottom"/>
            <w:tcBorders>
              <w:bottom w:val="single" w:sz="8" w:color="1E1E1E"/>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1E1E1E"/>
            </w:tcBorders>
          </w:tcPr>
          <w:p>
            <w:pPr>
              <w:spacing w:after="0"/>
              <w:rPr>
                <w:sz w:val="20"/>
                <w:szCs w:val="20"/>
                <w:color w:val="auto"/>
              </w:rPr>
            </w:pPr>
          </w:p>
        </w:tc>
        <w:tc>
          <w:tcPr>
            <w:tcW w:w="5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Unrecognized Tax Benefit – End of Period</w:t>
            </w:r>
          </w:p>
        </w:tc>
        <w:tc>
          <w:tcPr>
            <w:tcW w:w="24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726</w:t>
            </w:r>
          </w:p>
        </w:tc>
        <w:tc>
          <w:tcPr>
            <w:tcW w:w="3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664</w:t>
            </w:r>
          </w:p>
        </w:tc>
        <w:tc>
          <w:tcPr>
            <w:tcW w:w="90" w:type="dxa"/>
            <w:vAlign w:val="bottom"/>
            <w:tcBorders>
              <w:bottom w:val="single" w:sz="8" w:color="1E1E1E"/>
            </w:tcBorders>
          </w:tcPr>
          <w:p>
            <w:pPr>
              <w:spacing w:after="0"/>
              <w:rPr>
                <w:sz w:val="20"/>
                <w:szCs w:val="20"/>
                <w:color w:val="auto"/>
              </w:rPr>
            </w:pPr>
          </w:p>
        </w:tc>
        <w:tc>
          <w:tcPr>
            <w:tcW w:w="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751</w:t>
            </w:r>
          </w:p>
        </w:tc>
        <w:tc>
          <w:tcPr>
            <w:tcW w:w="90" w:type="dxa"/>
            <w:vAlign w:val="bottom"/>
            <w:tcBorders>
              <w:bottom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588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1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11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3839845</wp:posOffset>
                </wp:positionH>
                <wp:positionV relativeFrom="paragraph">
                  <wp:posOffset>-1120140</wp:posOffset>
                </wp:positionV>
                <wp:extent cx="267906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790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35pt,-88.1999pt" to="513.3pt,-88.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-495300</wp:posOffset>
                </wp:positionV>
                <wp:extent cx="651065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39pt" to="513.3pt,-39pt" o:allowincell="f" strokecolor="#FFFFFF" strokeweight="0.7199pt"/>
            </w:pict>
          </mc:Fallback>
        </mc:AlternateContent>
      </w:r>
    </w:p>
    <w:p>
      <w:pPr>
        <w:spacing w:after="0" w:line="159" w:lineRule="exact"/>
        <w:rPr>
          <w:sz w:val="20"/>
          <w:szCs w:val="20"/>
          <w:color w:val="auto"/>
        </w:rPr>
      </w:pPr>
    </w:p>
    <w:p>
      <w:pPr>
        <w:jc w:val="both"/>
        <w:ind w:left="20"/>
        <w:spacing w:after="0" w:line="302" w:lineRule="auto"/>
        <w:rPr>
          <w:sz w:val="20"/>
          <w:szCs w:val="20"/>
          <w:color w:val="auto"/>
        </w:rPr>
      </w:pPr>
      <w:r>
        <w:rPr>
          <w:rFonts w:ascii="Times New Roman" w:cs="Times New Roman" w:eastAsia="Times New Roman" w:hAnsi="Times New Roman"/>
          <w:sz w:val="20"/>
          <w:szCs w:val="20"/>
          <w:color w:val="1E1E1E"/>
        </w:rPr>
        <w:t>The amount of unrecognized tax benefits which would impact the annual effective tax rate if recognized were $0.7 million as of January 31, 2026, $0.7 million as of February 1, 2025 and $0.8 million as of February 3, 2024. The amount of unrecognized tax benefits may change during the next twelve months but we do not believe the change, if any, will be material to our consolidated financial position or results of operations.</w:t>
      </w:r>
    </w:p>
    <w:p>
      <w:pPr>
        <w:spacing w:after="0" w:line="148" w:lineRule="exact"/>
        <w:rPr>
          <w:sz w:val="20"/>
          <w:szCs w:val="20"/>
          <w:color w:val="auto"/>
        </w:rPr>
      </w:pPr>
    </w:p>
    <w:p>
      <w:pPr>
        <w:jc w:val="both"/>
        <w:ind w:left="20"/>
        <w:spacing w:after="0" w:line="298" w:lineRule="auto"/>
        <w:rPr>
          <w:sz w:val="20"/>
          <w:szCs w:val="20"/>
          <w:color w:val="auto"/>
        </w:rPr>
      </w:pPr>
      <w:r>
        <w:rPr>
          <w:rFonts w:ascii="Times New Roman" w:cs="Times New Roman" w:eastAsia="Times New Roman" w:hAnsi="Times New Roman"/>
          <w:sz w:val="20"/>
          <w:szCs w:val="20"/>
          <w:color w:val="1E1E1E"/>
        </w:rPr>
        <w:t>We recognize interest expense and penalties related to the above unrecognized tax benefits within income tax expense on the Consolidated Statements of Operations and it was not material for Fiscal 2026, 2025 or 2024. We recorded $0.9 million, $2.9 million and $2.7 million of interest income within income tax expense, net on the Consolidated Statements of Operations for the years ended January 31, 2026, February 1, 2025 and February 3, 2024, respectively, primarily related to our outstanding federal refund request.</w:t>
      </w:r>
    </w:p>
    <w:p>
      <w:pPr>
        <w:spacing w:after="0" w:line="151" w:lineRule="exact"/>
        <w:rPr>
          <w:sz w:val="20"/>
          <w:szCs w:val="20"/>
          <w:color w:val="auto"/>
        </w:rPr>
      </w:pPr>
    </w:p>
    <w:p>
      <w:pPr>
        <w:jc w:val="both"/>
        <w:ind w:left="20"/>
        <w:spacing w:after="0" w:line="298" w:lineRule="auto"/>
        <w:rPr>
          <w:sz w:val="20"/>
          <w:szCs w:val="20"/>
          <w:color w:val="auto"/>
        </w:rPr>
      </w:pPr>
      <w:r>
        <w:rPr>
          <w:rFonts w:ascii="Times New Roman" w:cs="Times New Roman" w:eastAsia="Times New Roman" w:hAnsi="Times New Roman"/>
          <w:sz w:val="20"/>
          <w:szCs w:val="20"/>
          <w:color w:val="1E1E1E"/>
        </w:rPr>
        <w:t>We file income tax returns in federal and in many state and local jurisdictions as well as foreign jurisdictions. With few exceptions, our state and local income tax returns for fiscal years ended January 28, 2023 and beyond remain subject to examination. In addition, we have subsidiaries in various foreign jurisdictions that have statutes of limitation generally ranging from two to six years. As part of the IRS audit of our federal income tax return for the fiscal year ended January 30, 2021, we have extended the statute of limitations for our fiscal years February 1, 2020, forward through March 31, 2026.</w:t>
      </w:r>
    </w:p>
    <w:p>
      <w:pPr>
        <w:spacing w:after="0" w:line="151" w:lineRule="exact"/>
        <w:rPr>
          <w:sz w:val="20"/>
          <w:szCs w:val="20"/>
          <w:color w:val="auto"/>
        </w:rPr>
      </w:pPr>
    </w:p>
    <w:p>
      <w:pPr>
        <w:jc w:val="both"/>
        <w:ind w:left="20"/>
        <w:spacing w:after="0" w:line="292" w:lineRule="auto"/>
        <w:rPr>
          <w:sz w:val="20"/>
          <w:szCs w:val="20"/>
          <w:color w:val="auto"/>
        </w:rPr>
      </w:pPr>
      <w:r>
        <w:rPr>
          <w:rFonts w:ascii="Times New Roman" w:cs="Times New Roman" w:eastAsia="Times New Roman" w:hAnsi="Times New Roman"/>
          <w:sz w:val="20"/>
          <w:szCs w:val="20"/>
          <w:color w:val="1E1E1E"/>
        </w:rPr>
        <w:t>In addition, changes in the tax laws of foreign jurisdictions may arise as a result of the Pillar Two ("Pillar Two") Global Anti-Base Erosion model rules that were released by the Organization for Economic Cooperation and Development ("OECD") in 2021, which proposed a 15% global minimum tax applied on a country-by country basis. Numerous countries have enacted legislation that implemented certain aspects of Pillar Two effective January 1, 2024, or adopted legislation that became effective in 2025, while additional jurisdictions may enact similar legislation in the future. In January 2026, the OECD issued further administrative guidance introducing a side-by-side framework under Pillar Two, largely exempting U.S.-headquartered companies from the application of Pillar Two. The OECD and implementing countries are expected to continue to make further revisions to their legislation and release additional guidance intended to adopt this side-by-side framework into law in each of the member countries. We recorded $0.3 million of additional tax expense under the Pillar Two rules in Fiscal 2026 and do not expect the Pillar Two rules to have a material impact on our tax provision or effective tax rate in future periods.</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75</w:t>
      </w:r>
    </w:p>
    <w:p>
      <w:pPr>
        <w:sectPr>
          <w:pgSz w:w="12240" w:h="15840" w:orient="portrait"/>
          <w:cols w:equalWidth="0" w:num="1">
            <w:col w:w="10280"/>
          </w:cols>
          <w:pgMar w:left="980" w:top="1156" w:right="980" w:bottom="178" w:gutter="0" w:footer="0" w:header="0"/>
          <w:type w:val="continuous"/>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Income Taxes, Continued</w:t>
      </w:r>
    </w:p>
    <w:p>
      <w:pPr>
        <w:spacing w:after="0" w:line="24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For the fiscal year ended January 31, 2026, income taxes paid included a $60.1 million refund, including interest, from the IRS for our Fiscal 2014 to Fiscal 2021 tax periods and $1.1 million for our fiscal 2023 tax period. In addition, income taxes paid included $2.0 million of non-U.S. tax payments and $0.5 million of U.S. state and local income tax payments, for a total net income tax refund of $58.7 million in Fiscal 2026. No income taxes paid to any specific jurisdiction, outside of the IRS refunds, exceeded 5% of the total net income tax refund in Fiscal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Other Postretirement Benefit Plans</w:t>
      </w:r>
    </w:p>
    <w:p>
      <w:pPr>
        <w:spacing w:after="0" w:line="20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15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As of December 31, 2018, the early retiree medical plan was frozen to new entrants. The grandfathered group of employees as of December 31, 2018 were those that had reached age 45 and had at least 10 years of service with the Company and retire at age 55 or older and have at least 15 years of service with the Company.</w:t>
      </w:r>
    </w:p>
    <w:p>
      <w:pPr>
        <w:spacing w:after="0" w:line="147"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The measurement date of the assets and liabilities for postretirement medical and life insurance plans is the month-end date that is closest to our fiscal year end.</w:t>
      </w:r>
    </w:p>
    <w:p>
      <w:pPr>
        <w:spacing w:after="0" w:line="12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Our Consolidated Balance Sheets include other postretirement medical and life insurance liabilities of $7.0 million and $6.2 million as of January 31, 2026 and February 1, 2025, respectively. The amount recognized in accumulated other comprehensive loss on the Consolidated Balance Sheets was $3.5 million and $2.4 million as of January 31, 2026 and February 1, 2025, respectively. Our Consolidated Statement of Operations includes net periodic benefit cost for other postretirement benefits of $0.6 million, $0.4 million and $0.5 million in Fiscal 2026, 2025 and 2024,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Section 401(k) Savings Plan</w:t>
      </w:r>
    </w:p>
    <w:p>
      <w:pPr>
        <w:spacing w:after="0" w:line="250"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1E1E1E"/>
        </w:rPr>
        <w:t>We have a Section 401(k) Savings Plan available to all employees in the U.S, including retail employees who have completed 500 hours of service within the first six months of employment, and are age 18 or older. There is a similar savings plan available to U.K. employees.</w:t>
      </w:r>
    </w:p>
    <w:p>
      <w:pPr>
        <w:spacing w:after="0" w:line="14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Since January 1, 2005, we began matching 100% of each U.S. employee’s contribution of up to 3% of salary and 50% of the next 2% of salary. In addition, for those employees hired before December 31, 2004, who were eligible for our cash balance retirement plan before it was frozen, we annually make an additional contribution of 2.5% of salary to each employee’s account. Participants are immediately vested in their contributions and our matching contribution plus actual earnings thereon. Our contribution expense for matching programs in the U.S. and U.K. was approximately $6.9 million for Fiscal 2026, $7.0 million for Fiscal 2025 and $6.9 million for Fiscal 2024.</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76</w:t>
      </w:r>
    </w:p>
    <w:p>
      <w:pPr>
        <w:sectPr>
          <w:pgSz w:w="12240" w:h="15840" w:orient="portrait"/>
          <w:cols w:equalWidth="0" w:num="1">
            <w:col w:w="10260"/>
          </w:cols>
          <w:pgMar w:left="1000" w:top="1156" w:right="980" w:bottom="178"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13</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Earnings Per Share</w:t>
      </w:r>
    </w:p>
    <w:p>
      <w:pPr>
        <w:spacing w:after="0" w:line="247" w:lineRule="exact"/>
        <w:rPr>
          <w:sz w:val="20"/>
          <w:szCs w:val="20"/>
          <w:color w:val="auto"/>
        </w:rPr>
      </w:pPr>
    </w:p>
    <w:p>
      <w:pPr>
        <w:jc w:val="both"/>
        <w:ind w:left="20" w:right="20"/>
        <w:spacing w:after="0" w:line="308" w:lineRule="auto"/>
        <w:rPr>
          <w:sz w:val="20"/>
          <w:szCs w:val="20"/>
          <w:color w:val="auto"/>
        </w:rPr>
      </w:pPr>
      <w:r>
        <w:rPr>
          <w:rFonts w:ascii="Times New Roman" w:cs="Times New Roman" w:eastAsia="Times New Roman" w:hAnsi="Times New Roman"/>
          <w:sz w:val="20"/>
          <w:szCs w:val="20"/>
          <w:color w:val="1E1E1E"/>
        </w:rPr>
        <w:t>Basic earnings per share excludes dilution and is computed by dividing earnings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Weighted-average number of shares used for earnings per share is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140" w:type="dxa"/>
            <w:vAlign w:val="bottom"/>
            <w:tcBorders>
              <w:bottom w:val="single" w:sz="8" w:color="1E1E1E"/>
            </w:tcBorders>
          </w:tcPr>
          <w:p>
            <w:pPr>
              <w:spacing w:after="0"/>
              <w:rPr>
                <w:sz w:val="21"/>
                <w:szCs w:val="21"/>
                <w:color w:val="auto"/>
              </w:rPr>
            </w:pPr>
          </w:p>
        </w:tc>
        <w:tc>
          <w:tcPr>
            <w:tcW w:w="2200" w:type="dxa"/>
            <w:vAlign w:val="bottom"/>
            <w:tcBorders>
              <w:bottom w:val="single" w:sz="8" w:color="1E1E1E"/>
            </w:tcBorders>
          </w:tcPr>
          <w:p>
            <w:pPr>
              <w:spacing w:after="0"/>
              <w:rPr>
                <w:sz w:val="21"/>
                <w:szCs w:val="21"/>
                <w:color w:val="auto"/>
              </w:rPr>
            </w:pPr>
          </w:p>
        </w:tc>
        <w:tc>
          <w:tcPr>
            <w:tcW w:w="1800" w:type="dxa"/>
            <w:vAlign w:val="bottom"/>
            <w:tcBorders>
              <w:bottom w:val="single" w:sz="8" w:color="1E1E1E"/>
            </w:tcBorders>
          </w:tcPr>
          <w:p>
            <w:pPr>
              <w:jc w:val="right"/>
              <w:ind w:right="499"/>
              <w:spacing w:after="0"/>
              <w:rPr>
                <w:sz w:val="20"/>
                <w:szCs w:val="20"/>
                <w:color w:val="auto"/>
              </w:rPr>
            </w:pPr>
            <w:r>
              <w:rPr>
                <w:rFonts w:ascii="Times New Roman" w:cs="Times New Roman" w:eastAsia="Times New Roman" w:hAnsi="Times New Roman"/>
                <w:sz w:val="20"/>
                <w:szCs w:val="20"/>
                <w:color w:val="1E1E1E"/>
              </w:rPr>
              <w:t>Fiscal Year</w:t>
            </w:r>
          </w:p>
        </w:tc>
        <w:tc>
          <w:tcPr>
            <w:tcW w:w="1100" w:type="dxa"/>
            <w:vAlign w:val="bottom"/>
            <w:tcBorders>
              <w:bottom w:val="single" w:sz="8" w:color="1E1E1E"/>
            </w:tcBorders>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514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(Shares in thousands)</w:t>
            </w:r>
          </w:p>
        </w:tc>
        <w:tc>
          <w:tcPr>
            <w:tcW w:w="2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2026</w:t>
            </w:r>
          </w:p>
        </w:tc>
        <w:tc>
          <w:tcPr>
            <w:tcW w:w="1800" w:type="dxa"/>
            <w:vAlign w:val="bottom"/>
            <w:tcBorders>
              <w:bottom w:val="single" w:sz="8" w:color="1E1E1E"/>
            </w:tcBorders>
            <w:shd w:val="clear" w:color="auto" w:fill="E4E4E4"/>
          </w:tcPr>
          <w:p>
            <w:pPr>
              <w:jc w:val="right"/>
              <w:ind w:right="359"/>
              <w:spacing w:after="0" w:line="220" w:lineRule="exact"/>
              <w:rPr>
                <w:sz w:val="20"/>
                <w:szCs w:val="20"/>
                <w:color w:val="auto"/>
              </w:rPr>
            </w:pPr>
            <w:r>
              <w:rPr>
                <w:rFonts w:ascii="Times New Roman" w:cs="Times New Roman" w:eastAsia="Times New Roman" w:hAnsi="Times New Roman"/>
                <w:sz w:val="20"/>
                <w:szCs w:val="20"/>
                <w:color w:val="1E1E1E"/>
              </w:rPr>
              <w:t>2025</w:t>
            </w:r>
          </w:p>
        </w:tc>
        <w:tc>
          <w:tcPr>
            <w:tcW w:w="11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2024</w:t>
            </w:r>
          </w:p>
        </w:tc>
      </w:tr>
      <w:tr>
        <w:trPr>
          <w:trHeight w:val="220"/>
        </w:trPr>
        <w:tc>
          <w:tcPr>
            <w:tcW w:w="20" w:type="dxa"/>
            <w:vAlign w:val="bottom"/>
          </w:tcPr>
          <w:p>
            <w:pPr>
              <w:spacing w:after="0"/>
              <w:rPr>
                <w:sz w:val="19"/>
                <w:szCs w:val="19"/>
                <w:color w:val="auto"/>
              </w:rPr>
            </w:pPr>
          </w:p>
        </w:tc>
        <w:tc>
          <w:tcPr>
            <w:tcW w:w="51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Weighted-average number of shares - basic</w:t>
            </w:r>
          </w:p>
        </w:tc>
        <w:tc>
          <w:tcPr>
            <w:tcW w:w="22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10,366</w:t>
            </w:r>
          </w:p>
        </w:tc>
        <w:tc>
          <w:tcPr>
            <w:tcW w:w="1800" w:type="dxa"/>
            <w:vAlign w:val="bottom"/>
          </w:tcPr>
          <w:p>
            <w:pPr>
              <w:jc w:val="right"/>
              <w:ind w:right="359"/>
              <w:spacing w:after="0" w:line="220" w:lineRule="exact"/>
              <w:rPr>
                <w:sz w:val="20"/>
                <w:szCs w:val="20"/>
                <w:color w:val="auto"/>
              </w:rPr>
            </w:pPr>
            <w:r>
              <w:rPr>
                <w:rFonts w:ascii="Times New Roman" w:cs="Times New Roman" w:eastAsia="Times New Roman" w:hAnsi="Times New Roman"/>
                <w:sz w:val="20"/>
                <w:szCs w:val="20"/>
                <w:color w:val="1E1E1E"/>
              </w:rPr>
              <w:t>10,836</w:t>
            </w: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11,243</w:t>
            </w:r>
          </w:p>
        </w:tc>
      </w:tr>
      <w:tr>
        <w:trPr>
          <w:trHeight w:val="230"/>
        </w:trPr>
        <w:tc>
          <w:tcPr>
            <w:tcW w:w="20" w:type="dxa"/>
            <w:vAlign w:val="bottom"/>
          </w:tcPr>
          <w:p>
            <w:pPr>
              <w:spacing w:after="0"/>
              <w:rPr>
                <w:sz w:val="20"/>
                <w:szCs w:val="20"/>
                <w:color w:val="auto"/>
              </w:rPr>
            </w:pPr>
          </w:p>
        </w:tc>
        <w:tc>
          <w:tcPr>
            <w:tcW w:w="514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Common stock equivalents</w:t>
            </w:r>
          </w:p>
        </w:tc>
        <w:tc>
          <w:tcPr>
            <w:tcW w:w="22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258</w:t>
            </w:r>
          </w:p>
        </w:tc>
        <w:tc>
          <w:tcPr>
            <w:tcW w:w="1800" w:type="dxa"/>
            <w:vAlign w:val="bottom"/>
            <w:tcBorders>
              <w:bottom w:val="single" w:sz="8" w:color="1E1E1E"/>
            </w:tcBorders>
            <w:shd w:val="clear" w:color="auto" w:fill="E4E4E4"/>
          </w:tcPr>
          <w:p>
            <w:pPr>
              <w:jc w:val="right"/>
              <w:ind w:right="359"/>
              <w:spacing w:after="0"/>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r>
      <w:tr>
        <w:trPr>
          <w:trHeight w:val="220"/>
        </w:trPr>
        <w:tc>
          <w:tcPr>
            <w:tcW w:w="20" w:type="dxa"/>
            <w:vAlign w:val="bottom"/>
            <w:tcBorders>
              <w:bottom w:val="single" w:sz="8" w:color="1E1E1E"/>
            </w:tcBorders>
          </w:tcPr>
          <w:p>
            <w:pPr>
              <w:spacing w:after="0"/>
              <w:rPr>
                <w:sz w:val="19"/>
                <w:szCs w:val="19"/>
                <w:color w:val="auto"/>
              </w:rPr>
            </w:pPr>
          </w:p>
        </w:tc>
        <w:tc>
          <w:tcPr>
            <w:tcW w:w="514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Weighted-average number of shares - diluted</w:t>
            </w:r>
          </w:p>
        </w:tc>
        <w:tc>
          <w:tcPr>
            <w:tcW w:w="22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10,624</w:t>
            </w:r>
          </w:p>
        </w:tc>
        <w:tc>
          <w:tcPr>
            <w:tcW w:w="1800" w:type="dxa"/>
            <w:vAlign w:val="bottom"/>
            <w:tcBorders>
              <w:bottom w:val="single" w:sz="8" w:color="1E1E1E"/>
            </w:tcBorders>
          </w:tcPr>
          <w:p>
            <w:pPr>
              <w:jc w:val="right"/>
              <w:ind w:right="359"/>
              <w:spacing w:after="0" w:line="220" w:lineRule="exact"/>
              <w:rPr>
                <w:sz w:val="20"/>
                <w:szCs w:val="20"/>
                <w:color w:val="auto"/>
              </w:rPr>
            </w:pPr>
            <w:r>
              <w:rPr>
                <w:rFonts w:ascii="Times New Roman" w:cs="Times New Roman" w:eastAsia="Times New Roman" w:hAnsi="Times New Roman"/>
                <w:sz w:val="20"/>
                <w:szCs w:val="20"/>
                <w:color w:val="1E1E1E"/>
              </w:rPr>
              <w:t>10,836</w:t>
            </w:r>
          </w:p>
        </w:tc>
        <w:tc>
          <w:tcPr>
            <w:tcW w:w="11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11,243</w:t>
            </w:r>
          </w:p>
        </w:tc>
      </w:tr>
    </w:tbl>
    <w:p>
      <w:pPr>
        <w:spacing w:after="0" w:line="208" w:lineRule="exact"/>
        <w:rPr>
          <w:sz w:val="20"/>
          <w:szCs w:val="20"/>
          <w:color w:val="auto"/>
        </w:rPr>
      </w:pPr>
    </w:p>
    <w:p>
      <w:pPr>
        <w:jc w:val="both"/>
        <w:ind w:left="20" w:right="20"/>
        <w:spacing w:after="0" w:line="276" w:lineRule="auto"/>
        <w:rPr>
          <w:sz w:val="20"/>
          <w:szCs w:val="20"/>
          <w:color w:val="auto"/>
        </w:rPr>
      </w:pPr>
      <w:r>
        <w:rPr>
          <w:rFonts w:ascii="Times New Roman" w:cs="Times New Roman" w:eastAsia="Times New Roman" w:hAnsi="Times New Roman"/>
          <w:sz w:val="20"/>
          <w:szCs w:val="20"/>
          <w:color w:val="1E1E1E"/>
        </w:rPr>
        <w:t>Common stock equivalents of 0.2 million shares and 0.1 million shares are excluded for Fiscal 2025 and Fiscal 2024, respectively, due to the loss from continuing operations.</w:t>
      </w:r>
    </w:p>
    <w:p>
      <w:pPr>
        <w:spacing w:after="0" w:line="129" w:lineRule="exact"/>
        <w:rPr>
          <w:sz w:val="20"/>
          <w:szCs w:val="20"/>
          <w:color w:val="auto"/>
        </w:rPr>
      </w:pPr>
    </w:p>
    <w:p>
      <w:pPr>
        <w:jc w:val="both"/>
        <w:ind w:left="20"/>
        <w:spacing w:after="0" w:line="296" w:lineRule="auto"/>
        <w:rPr>
          <w:sz w:val="20"/>
          <w:szCs w:val="20"/>
          <w:color w:val="auto"/>
        </w:rPr>
      </w:pPr>
      <w:r>
        <w:rPr>
          <w:rFonts w:ascii="Times New Roman" w:cs="Times New Roman" w:eastAsia="Times New Roman" w:hAnsi="Times New Roman"/>
          <w:sz w:val="20"/>
          <w:szCs w:val="20"/>
          <w:color w:val="1E1E1E"/>
        </w:rPr>
        <w:t>We repurchased 604,531 shares during Fiscal 2026 at a cost of $12.6 million or an average of $20.79 per share. We were operating under a $100.0 million repurchase authorization from February 2022. In June 2023, we announced an additional $50.0 million share repurchase authorization. As of January 31, 2026, we have $29.8 million remaining under the expanded share repurchase authorization. We repurchased 399,633 shares during Fiscal 2025 at a cost of $9.8 million or an average of $24.49 per share. We repurchased 1,261,295 shares during Fiscal 2024 at a cost of $32.0 million or an average of $25.39 per share. During the first quarter of Fiscal 2027, through March 25, 2026, we did not repurchase any shares.</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14</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Share-Based Compensation Plans</w:t>
      </w:r>
    </w:p>
    <w:p>
      <w:pPr>
        <w:spacing w:after="0" w:line="247" w:lineRule="exact"/>
        <w:rPr>
          <w:sz w:val="20"/>
          <w:szCs w:val="20"/>
          <w:color w:val="auto"/>
        </w:rPr>
      </w:pPr>
    </w:p>
    <w:p>
      <w:pPr>
        <w:jc w:val="both"/>
        <w:ind w:left="20"/>
        <w:spacing w:after="0" w:line="292" w:lineRule="auto"/>
        <w:rPr>
          <w:sz w:val="20"/>
          <w:szCs w:val="20"/>
          <w:color w:val="auto"/>
        </w:rPr>
      </w:pPr>
      <w:r>
        <w:rPr>
          <w:rFonts w:ascii="Times New Roman" w:cs="Times New Roman" w:eastAsia="Times New Roman" w:hAnsi="Times New Roman"/>
          <w:sz w:val="20"/>
          <w:szCs w:val="20"/>
          <w:color w:val="1E1E1E"/>
        </w:rPr>
        <w:t>We have a share-based compensation plan, the 2020 Plan, which became effective June 25, 2020. Under the 2020 Plan, we may grant non-qualified stock options, RSAs, RSUs and PSUs and other stock-based awards to our key employees, non-employee directors and consultants for up to 1.8 million shares of common stock. Under the 2020 Plan, as amended and restated on June 26, 2025, June 25, 2024 and June 22, 2023, an additional 0.3 million shares, 0.6 million shares and 0.5 million shares of common stock, respectively, were authorized for such grants.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The 2020 Plan replaced our Second Amended and Restated 2009 Equity Incentive Plan (the “2009 Plan”). There will be no future awards under the 2009 Plan.</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1E1E1E"/>
        </w:rPr>
        <w:t>Stock Options and Cash Incentive Plans</w:t>
      </w:r>
    </w:p>
    <w:p>
      <w:pPr>
        <w:spacing w:after="0" w:line="243" w:lineRule="exact"/>
        <w:rPr>
          <w:sz w:val="20"/>
          <w:szCs w:val="20"/>
          <w:color w:val="auto"/>
        </w:rPr>
      </w:pPr>
    </w:p>
    <w:p>
      <w:pPr>
        <w:jc w:val="both"/>
        <w:ind w:left="20" w:right="20"/>
        <w:spacing w:after="0" w:line="308" w:lineRule="auto"/>
        <w:rPr>
          <w:sz w:val="20"/>
          <w:szCs w:val="20"/>
          <w:color w:val="auto"/>
        </w:rPr>
      </w:pPr>
      <w:r>
        <w:rPr>
          <w:rFonts w:ascii="Times New Roman" w:cs="Times New Roman" w:eastAsia="Times New Roman" w:hAnsi="Times New Roman"/>
          <w:sz w:val="20"/>
          <w:szCs w:val="20"/>
          <w:color w:val="1E1E1E"/>
        </w:rPr>
        <w:t>Under both the 2009 and 2020 Plans, the exercise price of each stock option equals the market price of our stock on the date of grant, and an option’s maximum term is 10 years. Stock options granted under both plans primarily vest 25% per year over four years. We did not capitalize any share-based compensation expense.</w:t>
      </w:r>
    </w:p>
    <w:p>
      <w:pPr>
        <w:sectPr>
          <w:pgSz w:w="12240" w:h="15840" w:orient="portrait"/>
          <w:cols w:equalWidth="0" w:num="1">
            <w:col w:w="10280"/>
          </w:cols>
          <w:pgMar w:left="980" w:top="1156" w:right="980" w:bottom="178"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77</w:t>
      </w:r>
    </w:p>
    <w:p>
      <w:pPr>
        <w:sectPr>
          <w:pgSz w:w="12240" w:h="15840" w:orient="portrait"/>
          <w:cols w:equalWidth="0" w:num="1">
            <w:col w:w="10280"/>
          </w:cols>
          <w:pgMar w:left="980" w:top="1156" w:right="980" w:bottom="178" w:gutter="0" w:footer="0" w:header="0"/>
          <w:type w:val="continuous"/>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Share-Based Compensation Plans, Continued</w:t>
      </w:r>
    </w:p>
    <w:p>
      <w:pPr>
        <w:spacing w:after="0" w:line="2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1E1E1E"/>
        </w:rPr>
        <w:t>In addition, we established the 2020 Restricted Cash Incentive Program (the “2020 Program”) in Fiscal 2021 and adopted the 2024 Restricted Cash Program in Fiscal 2025 (the "2024 Program" and collectively with the 2020 Program, the "Programs") to attract and retain executive officers and key employees. Officers and employees of the Company or its subsidiaries are eligible to receive grants under the Programs. Total cash of $5.6 million and $5.0 million was granted in Fiscal 2026 and Fiscal 2025, respectively, under the 2024 Program. Cash granted under the 2024 Program will primarily vest 33% per year over three years. Total cash of $2.7 million was granted in June 2020 under the 2020 Program that vested 25% per year over four years. The compensation paid under the Programs is taxable and subject to applicable tax withholding requirements. Compensation expense recognized in selling and administrative expenses in the accompanying Consolidated Statements of Operations for these cash grants was $2.8 million, $1.6 million and $0.5 million for Fiscal 2026, Fiscal 2025 and Fiscal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Restricted Stock Incentive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Director Restricted Stock</w:t>
      </w: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The 2020 Plan permits grants to non-employee directors on such terms as the Board of Directors may approve. Restricted stock awards were made to independent directors on the date of the annual meeting of shareholders in each of Fiscal 2026, 2025 and 2024. The shares granted in each award vested on the earlier of the first anniversary of the grant date and the date of the next annual meeting of shareholders, subject to the director's continued service through that date. The grants for Fiscal 2026, Fiscal 2025 and Fiscal 2024 were valued at $120,000 per director. For Fiscal 2026, 2025 and 2024, we issued 43,144 shares, 36,320 shares and 37,264 shares, respectively, of director restricted stock. In addition, we issued 1,020 shares to newly elected directors in Fiscal 2024. We did not issue any shares to new directors in Fiscal 2026 or Fiscal 2025. We recognized $0.9 million, $0.9 million and $1.0 million of director restricted stock related share-based compensation in Fiscal 2026, 2025 and 2024 in selling and administrative expenses in the accompanying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Employee Restricted Stock Awards and Units</w:t>
      </w:r>
    </w:p>
    <w:p>
      <w:pPr>
        <w:spacing w:after="0" w:line="24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1E1E1E"/>
        </w:rPr>
        <w:t>Under the 2020 Plan, we issued 142,258 shares, 300,157 shares and 256,866 shares of RSAs in Fiscal 2026, 2025 and 2024, respectively. Shares of RSAs issued in Fiscal 2026, 2025 and 2024 primarily vest 33% per year over three years, provided that on such date the grantee has remained continuously employed by the Company since the date of grant. Under the original 2020 Plan, restricted share grants depleted the shares available for future grants at a ratio of 1.72 shares per restricted share granted. Under the 2020 Plan, as amended and restated, restricted share grants made (i) after March 24, 2023 and on or before March 31, 2024, deplete the shares available for future grants at a ratio of 1.52 shares per restricted share granted, (ii) after March 31, 2024 and on or before April 15, 2025, deplete shares available for future grants at a ratio of 1.35 shares per restricted share granted and (iii) after April 15, 2025 deplete the shares available for future grants at a ratio of 1.51 shares per restricted share granted.</w:t>
      </w:r>
    </w:p>
    <w:p>
      <w:pPr>
        <w:spacing w:after="0" w:line="152"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1E1E1E"/>
        </w:rPr>
        <w:t>Additionally, we issued 920, 1,065 and 878 RSUs in Fiscal 2026, 2025 and 2024, respectively, to certain employees at no cost that vest over three years. The fair value of RSAs and RSUs is charged against income as compensation expense over the vesting period. Compensation expense recognized in selling and administrative expenses in the accompanying Consolidated Statements of Operations for these shares was $8.7 million, $10.7 million and $12.6 million for Fiscal 2026, 2025 and 2024, respectively.</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78</w:t>
      </w:r>
    </w:p>
    <w:p>
      <w:pPr>
        <w:sectPr>
          <w:pgSz w:w="12240" w:h="15840" w:orient="portrait"/>
          <w:cols w:equalWidth="0" w:num="1">
            <w:col w:w="10260"/>
          </w:cols>
          <w:pgMar w:left="1000" w:top="1156" w:right="980" w:bottom="178"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14</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Share-Based Compensation Plans, Continued</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A summary of the status of our nonvested shares of our RSAs as of January 31, 2026 is presented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1410" w:type="dxa"/>
            <w:vAlign w:val="bottom"/>
          </w:tcPr>
          <w:p>
            <w:pPr>
              <w:jc w:val="center"/>
              <w:ind w:right="109"/>
              <w:spacing w:after="0"/>
              <w:rPr>
                <w:sz w:val="20"/>
                <w:szCs w:val="20"/>
                <w:color w:val="auto"/>
              </w:rPr>
            </w:pPr>
            <w:r>
              <w:rPr>
                <w:rFonts w:ascii="Times New Roman" w:cs="Times New Roman" w:eastAsia="Times New Roman" w:hAnsi="Times New Roman"/>
                <w:sz w:val="20"/>
                <w:szCs w:val="20"/>
                <w:color w:val="1E1E1E"/>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1410" w:type="dxa"/>
            <w:vAlign w:val="bottom"/>
          </w:tcPr>
          <w:p>
            <w:pPr>
              <w:jc w:val="center"/>
              <w:ind w:right="129"/>
              <w:spacing w:after="0"/>
              <w:rPr>
                <w:sz w:val="20"/>
                <w:szCs w:val="20"/>
                <w:color w:val="auto"/>
              </w:rPr>
            </w:pPr>
            <w:r>
              <w:rPr>
                <w:rFonts w:ascii="Times New Roman" w:cs="Times New Roman" w:eastAsia="Times New Roman" w:hAnsi="Times New Roman"/>
                <w:sz w:val="20"/>
                <w:szCs w:val="20"/>
                <w:color w:val="1E1E1E"/>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Nonvested Restricted Stock Awards</w:t>
            </w:r>
          </w:p>
        </w:tc>
        <w:tc>
          <w:tcPr>
            <w:tcW w:w="1740" w:type="dxa"/>
            <w:vAlign w:val="bottom"/>
          </w:tcPr>
          <w:p>
            <w:pPr>
              <w:spacing w:after="0"/>
              <w:rPr>
                <w:sz w:val="20"/>
                <w:szCs w:val="20"/>
                <w:color w:val="auto"/>
              </w:rPr>
            </w:pPr>
          </w:p>
        </w:tc>
        <w:tc>
          <w:tcPr>
            <w:tcW w:w="230" w:type="dxa"/>
            <w:vAlign w:val="bottom"/>
          </w:tcPr>
          <w:p>
            <w:pPr>
              <w:spacing w:after="0"/>
              <w:rPr>
                <w:sz w:val="20"/>
                <w:szCs w:val="20"/>
                <w:color w:val="auto"/>
              </w:rPr>
            </w:pPr>
          </w:p>
        </w:tc>
        <w:tc>
          <w:tcPr>
            <w:tcW w:w="1410" w:type="dxa"/>
            <w:vAlign w:val="bottom"/>
          </w:tcPr>
          <w:p>
            <w:pPr>
              <w:jc w:val="center"/>
              <w:ind w:right="109"/>
              <w:spacing w:after="0"/>
              <w:rPr>
                <w:sz w:val="20"/>
                <w:szCs w:val="20"/>
                <w:color w:val="auto"/>
              </w:rPr>
            </w:pPr>
            <w:r>
              <w:rPr>
                <w:rFonts w:ascii="Times New Roman" w:cs="Times New Roman" w:eastAsia="Times New Roman" w:hAnsi="Times New Roman"/>
                <w:sz w:val="20"/>
                <w:szCs w:val="20"/>
                <w:color w:val="1E1E1E"/>
                <w:w w:val="99"/>
              </w:rPr>
              <w:t>Grant-Date</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860" w:type="dxa"/>
            <w:vAlign w:val="bottom"/>
            <w:tcBorders>
              <w:bottom w:val="single" w:sz="8" w:color="1E1E1E"/>
            </w:tcBorders>
            <w:vMerge w:val="continue"/>
          </w:tcPr>
          <w:p>
            <w:pPr>
              <w:spacing w:after="0"/>
              <w:rPr>
                <w:sz w:val="21"/>
                <w:szCs w:val="21"/>
                <w:color w:val="auto"/>
              </w:rPr>
            </w:pPr>
          </w:p>
        </w:tc>
        <w:tc>
          <w:tcPr>
            <w:tcW w:w="1740" w:type="dxa"/>
            <w:vAlign w:val="bottom"/>
            <w:tcBorders>
              <w:bottom w:val="single" w:sz="8" w:color="1E1E1E"/>
            </w:tcBorders>
          </w:tcPr>
          <w:p>
            <w:pPr>
              <w:jc w:val="right"/>
              <w:ind w:right="499"/>
              <w:spacing w:after="0"/>
              <w:rPr>
                <w:sz w:val="20"/>
                <w:szCs w:val="20"/>
                <w:color w:val="auto"/>
              </w:rPr>
            </w:pPr>
            <w:r>
              <w:rPr>
                <w:rFonts w:ascii="Times New Roman" w:cs="Times New Roman" w:eastAsia="Times New Roman" w:hAnsi="Times New Roman"/>
                <w:sz w:val="20"/>
                <w:szCs w:val="20"/>
                <w:color w:val="1E1E1E"/>
              </w:rPr>
              <w:t>Shares</w:t>
            </w:r>
          </w:p>
        </w:tc>
        <w:tc>
          <w:tcPr>
            <w:tcW w:w="230" w:type="dxa"/>
            <w:vAlign w:val="bottom"/>
            <w:tcBorders>
              <w:bottom w:val="single" w:sz="8" w:color="1E1E1E"/>
            </w:tcBorders>
          </w:tcPr>
          <w:p>
            <w:pPr>
              <w:spacing w:after="0"/>
              <w:rPr>
                <w:sz w:val="21"/>
                <w:szCs w:val="21"/>
                <w:color w:val="auto"/>
              </w:rPr>
            </w:pPr>
          </w:p>
        </w:tc>
        <w:tc>
          <w:tcPr>
            <w:tcW w:w="1410" w:type="dxa"/>
            <w:vAlign w:val="bottom"/>
            <w:tcBorders>
              <w:bottom w:val="single" w:sz="8" w:color="1E1E1E"/>
            </w:tcBorders>
          </w:tcPr>
          <w:p>
            <w:pPr>
              <w:jc w:val="center"/>
              <w:ind w:right="109"/>
              <w:spacing w:after="0"/>
              <w:rPr>
                <w:sz w:val="20"/>
                <w:szCs w:val="20"/>
                <w:color w:val="auto"/>
              </w:rPr>
            </w:pPr>
            <w:r>
              <w:rPr>
                <w:rFonts w:ascii="Times New Roman" w:cs="Times New Roman" w:eastAsia="Times New Roman" w:hAnsi="Times New Roman"/>
                <w:sz w:val="20"/>
                <w:szCs w:val="20"/>
                <w:color w:val="1E1E1E"/>
              </w:rPr>
              <w:t>Fair Value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Nonvested at January 28, 2023</w:t>
            </w:r>
          </w:p>
        </w:tc>
        <w:tc>
          <w:tcPr>
            <w:tcW w:w="1740" w:type="dxa"/>
            <w:vAlign w:val="bottom"/>
            <w:tcBorders>
              <w:bottom w:val="single" w:sz="8" w:color="1E1E1E"/>
            </w:tcBorders>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color w:val="1E1E1E"/>
              </w:rPr>
              <w:t>689,145</w:t>
            </w:r>
          </w:p>
        </w:tc>
        <w:tc>
          <w:tcPr>
            <w:tcW w:w="23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41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47.85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Granted</w:t>
            </w:r>
          </w:p>
        </w:tc>
        <w:tc>
          <w:tcPr>
            <w:tcW w:w="1740" w:type="dxa"/>
            <w:vAlign w:val="bottom"/>
          </w:tcPr>
          <w:p>
            <w:pPr>
              <w:jc w:val="right"/>
              <w:ind w:right="59"/>
              <w:spacing w:after="0" w:line="220" w:lineRule="exact"/>
              <w:rPr>
                <w:sz w:val="20"/>
                <w:szCs w:val="20"/>
                <w:color w:val="auto"/>
              </w:rPr>
            </w:pPr>
            <w:r>
              <w:rPr>
                <w:rFonts w:ascii="Times New Roman" w:cs="Times New Roman" w:eastAsia="Times New Roman" w:hAnsi="Times New Roman"/>
                <w:sz w:val="20"/>
                <w:szCs w:val="20"/>
                <w:color w:val="1E1E1E"/>
              </w:rPr>
              <w:t>256,866</w:t>
            </w:r>
          </w:p>
        </w:tc>
        <w:tc>
          <w:tcPr>
            <w:tcW w:w="230" w:type="dxa"/>
            <w:vAlign w:val="bottom"/>
          </w:tcPr>
          <w:p>
            <w:pPr>
              <w:spacing w:after="0"/>
              <w:rPr>
                <w:sz w:val="19"/>
                <w:szCs w:val="19"/>
                <w:color w:val="auto"/>
              </w:rPr>
            </w:pPr>
          </w:p>
        </w:tc>
        <w:tc>
          <w:tcPr>
            <w:tcW w:w="141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36.21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Vested</w:t>
            </w:r>
          </w:p>
        </w:tc>
        <w:tc>
          <w:tcPr>
            <w:tcW w:w="1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(210,757)</w:t>
            </w:r>
          </w:p>
        </w:tc>
        <w:tc>
          <w:tcPr>
            <w:tcW w:w="230" w:type="dxa"/>
            <w:vAlign w:val="bottom"/>
            <w:shd w:val="clear" w:color="auto" w:fill="E4E4E4"/>
          </w:tcPr>
          <w:p>
            <w:pPr>
              <w:spacing w:after="0"/>
              <w:rPr>
                <w:sz w:val="20"/>
                <w:szCs w:val="20"/>
                <w:color w:val="auto"/>
              </w:rPr>
            </w:pPr>
          </w:p>
        </w:tc>
        <w:tc>
          <w:tcPr>
            <w:tcW w:w="14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46.10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1E1E1E"/>
              </w:rPr>
              <w:t>Withheld for federal taxes</w:t>
            </w:r>
          </w:p>
        </w:tc>
        <w:tc>
          <w:tcPr>
            <w:tcW w:w="17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(86,179)</w:t>
            </w:r>
          </w:p>
        </w:tc>
        <w:tc>
          <w:tcPr>
            <w:tcW w:w="230" w:type="dxa"/>
            <w:vAlign w:val="bottom"/>
          </w:tcPr>
          <w:p>
            <w:pPr>
              <w:spacing w:after="0"/>
              <w:rPr>
                <w:sz w:val="19"/>
                <w:szCs w:val="19"/>
                <w:color w:val="auto"/>
              </w:rPr>
            </w:pPr>
          </w:p>
        </w:tc>
        <w:tc>
          <w:tcPr>
            <w:tcW w:w="141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1E1E1E"/>
              </w:rPr>
              <w:t>44.87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Forfeited</w:t>
            </w:r>
          </w:p>
        </w:tc>
        <w:tc>
          <w:tcPr>
            <w:tcW w:w="17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(76,633)</w:t>
            </w:r>
          </w:p>
        </w:tc>
        <w:tc>
          <w:tcPr>
            <w:tcW w:w="230" w:type="dxa"/>
            <w:vAlign w:val="bottom"/>
            <w:tcBorders>
              <w:bottom w:val="single" w:sz="8" w:color="1E1E1E"/>
            </w:tcBorders>
            <w:shd w:val="clear" w:color="auto" w:fill="E4E4E4"/>
          </w:tcPr>
          <w:p>
            <w:pPr>
              <w:spacing w:after="0"/>
              <w:rPr>
                <w:sz w:val="20"/>
                <w:szCs w:val="20"/>
                <w:color w:val="auto"/>
              </w:rPr>
            </w:pPr>
          </w:p>
        </w:tc>
        <w:tc>
          <w:tcPr>
            <w:tcW w:w="141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45.32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Nonvested at February 3, 2024</w:t>
            </w:r>
          </w:p>
        </w:tc>
        <w:tc>
          <w:tcPr>
            <w:tcW w:w="1740" w:type="dxa"/>
            <w:vAlign w:val="bottom"/>
            <w:tcBorders>
              <w:bottom w:val="single" w:sz="8" w:color="1E1E1E"/>
            </w:tcBorders>
          </w:tcPr>
          <w:p>
            <w:pPr>
              <w:jc w:val="right"/>
              <w:ind w:right="59"/>
              <w:spacing w:after="0" w:line="220" w:lineRule="exact"/>
              <w:rPr>
                <w:sz w:val="20"/>
                <w:szCs w:val="20"/>
                <w:color w:val="auto"/>
              </w:rPr>
            </w:pPr>
            <w:r>
              <w:rPr>
                <w:rFonts w:ascii="Times New Roman" w:cs="Times New Roman" w:eastAsia="Times New Roman" w:hAnsi="Times New Roman"/>
                <w:sz w:val="20"/>
                <w:szCs w:val="20"/>
                <w:color w:val="1E1E1E"/>
              </w:rPr>
              <w:t>572,442</w:t>
            </w:r>
          </w:p>
        </w:tc>
        <w:tc>
          <w:tcPr>
            <w:tcW w:w="230" w:type="dxa"/>
            <w:vAlign w:val="bottom"/>
            <w:tcBorders>
              <w:bottom w:val="single" w:sz="8" w:color="1E1E1E"/>
            </w:tcBorders>
          </w:tcPr>
          <w:p>
            <w:pPr>
              <w:spacing w:after="0"/>
              <w:rPr>
                <w:sz w:val="19"/>
                <w:szCs w:val="19"/>
                <w:color w:val="auto"/>
              </w:rPr>
            </w:pPr>
          </w:p>
        </w:tc>
        <w:tc>
          <w:tcPr>
            <w:tcW w:w="141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44.06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Granted</w:t>
            </w:r>
          </w:p>
        </w:tc>
        <w:tc>
          <w:tcPr>
            <w:tcW w:w="1740" w:type="dxa"/>
            <w:vAlign w:val="bottom"/>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color w:val="1E1E1E"/>
              </w:rPr>
              <w:t>300,157</w:t>
            </w:r>
          </w:p>
        </w:tc>
        <w:tc>
          <w:tcPr>
            <w:tcW w:w="230" w:type="dxa"/>
            <w:vAlign w:val="bottom"/>
            <w:shd w:val="clear" w:color="auto" w:fill="E4E4E4"/>
          </w:tcPr>
          <w:p>
            <w:pPr>
              <w:spacing w:after="0"/>
              <w:rPr>
                <w:sz w:val="19"/>
                <w:szCs w:val="19"/>
                <w:color w:val="auto"/>
              </w:rPr>
            </w:pPr>
          </w:p>
        </w:tc>
        <w:tc>
          <w:tcPr>
            <w:tcW w:w="141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20"/>
                <w:szCs w:val="20"/>
                <w:color w:val="1E1E1E"/>
              </w:rPr>
              <w:t>Vested</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(216,025)</w:t>
            </w:r>
          </w:p>
        </w:tc>
        <w:tc>
          <w:tcPr>
            <w:tcW w:w="230" w:type="dxa"/>
            <w:vAlign w:val="bottom"/>
          </w:tcPr>
          <w:p>
            <w:pPr>
              <w:spacing w:after="0"/>
              <w:rPr>
                <w:sz w:val="20"/>
                <w:szCs w:val="20"/>
                <w:color w:val="auto"/>
              </w:rPr>
            </w:pPr>
          </w:p>
        </w:tc>
        <w:tc>
          <w:tcPr>
            <w:tcW w:w="141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Withheld for federal taxes</w:t>
            </w:r>
          </w:p>
        </w:tc>
        <w:tc>
          <w:tcPr>
            <w:tcW w:w="1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(89,942)</w:t>
            </w:r>
          </w:p>
        </w:tc>
        <w:tc>
          <w:tcPr>
            <w:tcW w:w="230" w:type="dxa"/>
            <w:vAlign w:val="bottom"/>
            <w:shd w:val="clear" w:color="auto" w:fill="E4E4E4"/>
          </w:tcPr>
          <w:p>
            <w:pPr>
              <w:spacing w:after="0"/>
              <w:rPr>
                <w:sz w:val="20"/>
                <w:szCs w:val="20"/>
                <w:color w:val="auto"/>
              </w:rPr>
            </w:pPr>
          </w:p>
        </w:tc>
        <w:tc>
          <w:tcPr>
            <w:tcW w:w="14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Forfeited</w:t>
            </w:r>
          </w:p>
        </w:tc>
        <w:tc>
          <w:tcPr>
            <w:tcW w:w="1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(35,408)</w:t>
            </w:r>
          </w:p>
        </w:tc>
        <w:tc>
          <w:tcPr>
            <w:tcW w:w="230" w:type="dxa"/>
            <w:vAlign w:val="bottom"/>
            <w:tcBorders>
              <w:bottom w:val="single" w:sz="8" w:color="1E1E1E"/>
            </w:tcBorders>
          </w:tcPr>
          <w:p>
            <w:pPr>
              <w:spacing w:after="0"/>
              <w:rPr>
                <w:sz w:val="20"/>
                <w:szCs w:val="20"/>
                <w:color w:val="auto"/>
              </w:rPr>
            </w:pPr>
          </w:p>
        </w:tc>
        <w:tc>
          <w:tcPr>
            <w:tcW w:w="141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Nonvested at February 1, 2025</w:t>
            </w:r>
          </w:p>
        </w:tc>
        <w:tc>
          <w:tcPr>
            <w:tcW w:w="1740" w:type="dxa"/>
            <w:vAlign w:val="bottom"/>
            <w:tcBorders>
              <w:bottom w:val="single" w:sz="8" w:color="1E1E1E"/>
            </w:tcBorders>
            <w:shd w:val="clear" w:color="auto" w:fill="E4E4E4"/>
          </w:tcPr>
          <w:p>
            <w:pPr>
              <w:jc w:val="right"/>
              <w:ind w:right="59"/>
              <w:spacing w:after="0" w:line="220" w:lineRule="exact"/>
              <w:rPr>
                <w:sz w:val="20"/>
                <w:szCs w:val="20"/>
                <w:color w:val="auto"/>
              </w:rPr>
            </w:pPr>
            <w:r>
              <w:rPr>
                <w:rFonts w:ascii="Times New Roman" w:cs="Times New Roman" w:eastAsia="Times New Roman" w:hAnsi="Times New Roman"/>
                <w:sz w:val="20"/>
                <w:szCs w:val="20"/>
                <w:color w:val="1E1E1E"/>
              </w:rPr>
              <w:t>531,224</w:t>
            </w:r>
          </w:p>
        </w:tc>
        <w:tc>
          <w:tcPr>
            <w:tcW w:w="230" w:type="dxa"/>
            <w:vAlign w:val="bottom"/>
            <w:tcBorders>
              <w:bottom w:val="single" w:sz="8" w:color="1E1E1E"/>
            </w:tcBorders>
            <w:shd w:val="clear" w:color="auto" w:fill="E4E4E4"/>
          </w:tcPr>
          <w:p>
            <w:pPr>
              <w:spacing w:after="0"/>
              <w:rPr>
                <w:sz w:val="19"/>
                <w:szCs w:val="19"/>
                <w:color w:val="auto"/>
              </w:rPr>
            </w:pPr>
          </w:p>
        </w:tc>
        <w:tc>
          <w:tcPr>
            <w:tcW w:w="141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39.10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Granted</w:t>
            </w:r>
          </w:p>
        </w:tc>
        <w:tc>
          <w:tcPr>
            <w:tcW w:w="1740" w:type="dxa"/>
            <w:vAlign w:val="bottom"/>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142,258</w:t>
            </w:r>
          </w:p>
        </w:tc>
        <w:tc>
          <w:tcPr>
            <w:tcW w:w="230" w:type="dxa"/>
            <w:vAlign w:val="bottom"/>
          </w:tcPr>
          <w:p>
            <w:pPr>
              <w:spacing w:after="0"/>
              <w:rPr>
                <w:sz w:val="19"/>
                <w:szCs w:val="19"/>
                <w:color w:val="auto"/>
              </w:rPr>
            </w:pPr>
          </w:p>
        </w:tc>
        <w:tc>
          <w:tcPr>
            <w:tcW w:w="141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18.28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Vested</w:t>
            </w:r>
          </w:p>
        </w:tc>
        <w:tc>
          <w:tcPr>
            <w:tcW w:w="17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(151,611)</w:t>
            </w:r>
          </w:p>
        </w:tc>
        <w:tc>
          <w:tcPr>
            <w:tcW w:w="230" w:type="dxa"/>
            <w:vAlign w:val="bottom"/>
            <w:shd w:val="clear" w:color="auto" w:fill="E4E4E4"/>
          </w:tcPr>
          <w:p>
            <w:pPr>
              <w:spacing w:after="0"/>
              <w:rPr>
                <w:sz w:val="20"/>
                <w:szCs w:val="20"/>
                <w:color w:val="auto"/>
              </w:rPr>
            </w:pPr>
          </w:p>
        </w:tc>
        <w:tc>
          <w:tcPr>
            <w:tcW w:w="141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41.35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Withheld for federal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(64,529)</w:t>
            </w:r>
          </w:p>
        </w:tc>
        <w:tc>
          <w:tcPr>
            <w:tcW w:w="230" w:type="dxa"/>
            <w:vAlign w:val="bottom"/>
          </w:tcPr>
          <w:p>
            <w:pPr>
              <w:spacing w:after="0"/>
              <w:rPr>
                <w:sz w:val="20"/>
                <w:szCs w:val="20"/>
                <w:color w:val="auto"/>
              </w:rPr>
            </w:pPr>
          </w:p>
        </w:tc>
        <w:tc>
          <w:tcPr>
            <w:tcW w:w="141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Forfeited</w:t>
            </w:r>
          </w:p>
        </w:tc>
        <w:tc>
          <w:tcPr>
            <w:tcW w:w="17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(13,372)</w:t>
            </w:r>
          </w:p>
        </w:tc>
        <w:tc>
          <w:tcPr>
            <w:tcW w:w="230" w:type="dxa"/>
            <w:vAlign w:val="bottom"/>
            <w:tcBorders>
              <w:bottom w:val="single" w:sz="8" w:color="1E1E1E"/>
            </w:tcBorders>
            <w:shd w:val="clear" w:color="auto" w:fill="E4E4E4"/>
          </w:tcPr>
          <w:p>
            <w:pPr>
              <w:spacing w:after="0"/>
              <w:rPr>
                <w:sz w:val="20"/>
                <w:szCs w:val="20"/>
                <w:color w:val="auto"/>
              </w:rPr>
            </w:pPr>
          </w:p>
        </w:tc>
        <w:tc>
          <w:tcPr>
            <w:tcW w:w="141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43.33</w:t>
            </w:r>
          </w:p>
        </w:tc>
        <w:tc>
          <w:tcPr>
            <w:tcW w:w="0" w:type="dxa"/>
            <w:vAlign w:val="bottom"/>
          </w:tcPr>
          <w:p>
            <w:pPr>
              <w:spacing w:after="0"/>
              <w:rPr>
                <w:sz w:val="1"/>
                <w:szCs w:val="1"/>
                <w:color w:val="auto"/>
              </w:rPr>
            </w:pPr>
          </w:p>
        </w:tc>
      </w:tr>
      <w:tr>
        <w:trPr>
          <w:trHeight w:val="220"/>
        </w:trPr>
        <w:tc>
          <w:tcPr>
            <w:tcW w:w="20" w:type="dxa"/>
            <w:vAlign w:val="bottom"/>
            <w:tcBorders>
              <w:bottom w:val="single" w:sz="8" w:color="1E1E1E"/>
            </w:tcBorders>
          </w:tcPr>
          <w:p>
            <w:pPr>
              <w:spacing w:after="0"/>
              <w:rPr>
                <w:sz w:val="19"/>
                <w:szCs w:val="19"/>
                <w:color w:val="auto"/>
              </w:rPr>
            </w:pPr>
          </w:p>
        </w:tc>
        <w:tc>
          <w:tcPr>
            <w:tcW w:w="6860" w:type="dxa"/>
            <w:vAlign w:val="bottom"/>
            <w:tcBorders>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Nonvested at January 31, 2026</w:t>
            </w:r>
          </w:p>
        </w:tc>
        <w:tc>
          <w:tcPr>
            <w:tcW w:w="1740" w:type="dxa"/>
            <w:vAlign w:val="bottom"/>
            <w:tcBorders>
              <w:bottom w:val="single" w:sz="8" w:color="1E1E1E"/>
            </w:tcBorders>
          </w:tcPr>
          <w:p>
            <w:pPr>
              <w:jc w:val="right"/>
              <w:ind w:right="59"/>
              <w:spacing w:after="0" w:line="220" w:lineRule="exact"/>
              <w:rPr>
                <w:sz w:val="20"/>
                <w:szCs w:val="20"/>
                <w:color w:val="auto"/>
              </w:rPr>
            </w:pPr>
            <w:r>
              <w:rPr>
                <w:rFonts w:ascii="Times New Roman" w:cs="Times New Roman" w:eastAsia="Times New Roman" w:hAnsi="Times New Roman"/>
                <w:sz w:val="20"/>
                <w:szCs w:val="20"/>
                <w:b w:val="1"/>
                <w:bCs w:val="1"/>
                <w:color w:val="1E1E1E"/>
              </w:rPr>
              <w:t>443,970</w:t>
            </w:r>
          </w:p>
        </w:tc>
        <w:tc>
          <w:tcPr>
            <w:tcW w:w="23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w:t>
            </w:r>
          </w:p>
        </w:tc>
        <w:tc>
          <w:tcPr>
            <w:tcW w:w="141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1E1E1E"/>
              </w:rPr>
              <w:t>31.22</w:t>
            </w: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6860" w:type="dxa"/>
            <w:vAlign w:val="bottom"/>
            <w:tcBorders>
              <w:bottom w:val="single" w:sz="8" w:color="1E1E1E"/>
            </w:tcBorders>
          </w:tcPr>
          <w:p>
            <w:pPr>
              <w:spacing w:after="0" w:line="20" w:lineRule="exact"/>
              <w:rPr>
                <w:sz w:val="1"/>
                <w:szCs w:val="1"/>
                <w:color w:val="auto"/>
              </w:rPr>
            </w:pPr>
          </w:p>
        </w:tc>
        <w:tc>
          <w:tcPr>
            <w:tcW w:w="1740" w:type="dxa"/>
            <w:vAlign w:val="bottom"/>
            <w:tcBorders>
              <w:bottom w:val="single" w:sz="8" w:color="1E1E1E"/>
            </w:tcBorders>
          </w:tcPr>
          <w:p>
            <w:pPr>
              <w:spacing w:after="0" w:line="20" w:lineRule="exact"/>
              <w:rPr>
                <w:sz w:val="1"/>
                <w:szCs w:val="1"/>
                <w:color w:val="auto"/>
              </w:rPr>
            </w:pPr>
          </w:p>
        </w:tc>
        <w:tc>
          <w:tcPr>
            <w:tcW w:w="230" w:type="dxa"/>
            <w:vAlign w:val="bottom"/>
            <w:tcBorders>
              <w:bottom w:val="single" w:sz="8" w:color="1E1E1E"/>
            </w:tcBorders>
          </w:tcPr>
          <w:p>
            <w:pPr>
              <w:spacing w:after="0" w:line="20" w:lineRule="exact"/>
              <w:rPr>
                <w:sz w:val="1"/>
                <w:szCs w:val="1"/>
                <w:color w:val="auto"/>
              </w:rPr>
            </w:pPr>
          </w:p>
        </w:tc>
        <w:tc>
          <w:tcPr>
            <w:tcW w:w="141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20" w:right="20"/>
        <w:spacing w:after="0" w:line="331" w:lineRule="auto"/>
        <w:rPr>
          <w:sz w:val="20"/>
          <w:szCs w:val="20"/>
          <w:color w:val="auto"/>
        </w:rPr>
      </w:pPr>
      <w:r>
        <w:rPr>
          <w:rFonts w:ascii="Times New Roman" w:cs="Times New Roman" w:eastAsia="Times New Roman" w:hAnsi="Times New Roman"/>
          <w:sz w:val="19"/>
          <w:szCs w:val="19"/>
          <w:color w:val="1E1E1E"/>
        </w:rPr>
        <w:t>The number of restricted stock awards issued on the date the stock awards vest is net of shares withheld to satisfy the minimum statutory tax withholding requirements, which we pay on behalf of our employees. Although shares withheld are not issued, they are treated similar to common stock repurchases as they reduce the number of shares that would have been issued upon vesting.</w:t>
      </w:r>
    </w:p>
    <w:p>
      <w:pPr>
        <w:spacing w:after="0" w:line="123" w:lineRule="exact"/>
        <w:rPr>
          <w:sz w:val="20"/>
          <w:szCs w:val="20"/>
          <w:color w:val="auto"/>
        </w:rPr>
      </w:pPr>
    </w:p>
    <w:p>
      <w:pPr>
        <w:jc w:val="both"/>
        <w:ind w:left="20" w:right="20"/>
        <w:spacing w:after="0" w:line="331" w:lineRule="auto"/>
        <w:rPr>
          <w:sz w:val="20"/>
          <w:szCs w:val="20"/>
          <w:color w:val="auto"/>
        </w:rPr>
      </w:pPr>
      <w:r>
        <w:rPr>
          <w:rFonts w:ascii="Times New Roman" w:cs="Times New Roman" w:eastAsia="Times New Roman" w:hAnsi="Times New Roman"/>
          <w:sz w:val="20"/>
          <w:szCs w:val="20"/>
          <w:color w:val="1E1E1E"/>
        </w:rPr>
        <w:t>As of January 31, 2026, we had $7.8 million of total unrecognized compensation expense related to nonvested RSAs discussed above. That cost is expected to be recognized over a weighted average period of 1.55 years.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1E1E1E"/>
        </w:rPr>
        <w:t>Performance-Based Share Units</w:t>
      </w:r>
    </w:p>
    <w:p>
      <w:pPr>
        <w:spacing w:after="0" w:line="245" w:lineRule="exact"/>
        <w:rPr>
          <w:sz w:val="20"/>
          <w:szCs w:val="20"/>
          <w:color w:val="auto"/>
        </w:rPr>
      </w:pPr>
    </w:p>
    <w:p>
      <w:pPr>
        <w:jc w:val="both"/>
        <w:ind w:left="20"/>
        <w:spacing w:after="0" w:line="292" w:lineRule="auto"/>
        <w:rPr>
          <w:sz w:val="20"/>
          <w:szCs w:val="20"/>
          <w:color w:val="auto"/>
        </w:rPr>
      </w:pPr>
      <w:r>
        <w:rPr>
          <w:rFonts w:ascii="Times New Roman" w:cs="Times New Roman" w:eastAsia="Times New Roman" w:hAnsi="Times New Roman"/>
          <w:sz w:val="20"/>
          <w:szCs w:val="20"/>
          <w:color w:val="1E1E1E"/>
        </w:rPr>
        <w:t>In Fiscal 2026, 2025 and 2024, we granted 171,503 PSUs, 153,602 PSUs and 96,866 PSUs, respectively, (assuming target level achievement) to certain members of senior management. The actual number of shares that will be issued will be based on actual performance and can range from 50% to 200% or result in 0% of the shares granted. Performance conditions include both total Company and business unit performance metrics along with a requirement that a recipient's service with the Company continue through the end of the performance period. Compensation expense for PSUs, net of forfeitures, is recognized on a straight-line basis over the requisite service period and is updated for our expected performance level against performance goals at the end of each reporting period, which involves judgment as to the achievement of those goals. If performance goals are achieved, the PSUs will be issued based on the achievement level and will cliff vest in full at the end of the three-year performance period. Any portion of the PSUs that are not earned by the end of the three year period will be forfeited. Under the 2020 Plan, as amended and restated, PSUs granted in Fiscal 2026 deplete the shares available for future</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79</w:t>
      </w:r>
    </w:p>
    <w:p>
      <w:pPr>
        <w:sectPr>
          <w:pgSz w:w="12240" w:h="15840" w:orient="portrait"/>
          <w:cols w:equalWidth="0" w:num="1">
            <w:col w:w="10280"/>
          </w:cols>
          <w:pgMar w:left="980" w:top="1156" w:right="980" w:bottom="178"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14</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Share-Based Compensation Plans, Continued</w:t>
      </w:r>
    </w:p>
    <w:p>
      <w:pPr>
        <w:spacing w:after="0" w:line="247" w:lineRule="exact"/>
        <w:rPr>
          <w:sz w:val="20"/>
          <w:szCs w:val="20"/>
          <w:color w:val="auto"/>
        </w:rPr>
      </w:pPr>
    </w:p>
    <w:p>
      <w:pPr>
        <w:jc w:val="both"/>
        <w:ind w:left="20"/>
        <w:spacing w:after="0" w:line="294" w:lineRule="auto"/>
        <w:rPr>
          <w:sz w:val="20"/>
          <w:szCs w:val="20"/>
          <w:color w:val="auto"/>
        </w:rPr>
      </w:pPr>
      <w:r>
        <w:rPr>
          <w:rFonts w:ascii="Times New Roman" w:cs="Times New Roman" w:eastAsia="Times New Roman" w:hAnsi="Times New Roman"/>
          <w:sz w:val="20"/>
          <w:szCs w:val="20"/>
          <w:color w:val="1E1E1E"/>
        </w:rPr>
        <w:t>grants at a ratio of 1.51 shares per PSU granted, PSUs granted in Fiscal 2025 deplete the shares available for future grants at a ratio of 1.35 shares per PSU granted and PSUs granted in Fiscal 2024 deplete the shares available for future grants at a ratio of 1.52 shares per PSU granted. During the twelve months ended January 31, 2026, we estimated the probable outcome of the performance goals for each PSU grant and the corresponding expense for the year ended January 31, 2026 is reflected in PSU compensation expense. Compensation expense recognized in selling and administrative expenses in the accompanying Consolidated Statements of Operations for PSUs was $2.6 million, $1.3 million and $0.3 million for Fiscal 2026, 2025 and 2024, respectively.</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A summary of the status of nonvested shares of our PSUs as of January 31, 2026 is presented below:</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848" w:type="dxa"/>
            <w:vAlign w:val="bottom"/>
          </w:tcPr>
          <w:p>
            <w:pPr>
              <w:spacing w:after="0"/>
              <w:rPr>
                <w:sz w:val="20"/>
                <w:szCs w:val="20"/>
                <w:color w:val="auto"/>
              </w:rPr>
            </w:pPr>
          </w:p>
        </w:tc>
        <w:tc>
          <w:tcPr>
            <w:tcW w:w="153" w:type="dxa"/>
            <w:vAlign w:val="bottom"/>
          </w:tcPr>
          <w:p>
            <w:pPr>
              <w:spacing w:after="0"/>
              <w:rPr>
                <w:sz w:val="20"/>
                <w:szCs w:val="20"/>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20"/>
                <w:szCs w:val="20"/>
                <w:color w:val="1E1E1E"/>
                <w:w w:val="99"/>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848" w:type="dxa"/>
            <w:vAlign w:val="bottom"/>
          </w:tcPr>
          <w:p>
            <w:pPr>
              <w:spacing w:after="0"/>
              <w:rPr>
                <w:sz w:val="20"/>
                <w:szCs w:val="20"/>
                <w:color w:val="auto"/>
              </w:rPr>
            </w:pPr>
          </w:p>
        </w:tc>
        <w:tc>
          <w:tcPr>
            <w:tcW w:w="153" w:type="dxa"/>
            <w:vAlign w:val="bottom"/>
          </w:tcPr>
          <w:p>
            <w:pPr>
              <w:spacing w:after="0"/>
              <w:rPr>
                <w:sz w:val="20"/>
                <w:szCs w:val="20"/>
                <w:color w:val="auto"/>
              </w:rPr>
            </w:pPr>
          </w:p>
        </w:tc>
        <w:tc>
          <w:tcPr>
            <w:tcW w:w="1420" w:type="dxa"/>
            <w:vAlign w:val="bottom"/>
          </w:tcPr>
          <w:p>
            <w:pPr>
              <w:jc w:val="center"/>
              <w:ind w:right="119"/>
              <w:spacing w:after="0"/>
              <w:rPr>
                <w:sz w:val="20"/>
                <w:szCs w:val="20"/>
                <w:color w:val="auto"/>
              </w:rPr>
            </w:pPr>
            <w:r>
              <w:rPr>
                <w:rFonts w:ascii="Times New Roman" w:cs="Times New Roman" w:eastAsia="Times New Roman" w:hAnsi="Times New Roman"/>
                <w:sz w:val="20"/>
                <w:szCs w:val="20"/>
                <w:color w:val="1E1E1E"/>
              </w:rPr>
              <w:t>Average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Nonvested Performance-Based Share Units</w:t>
            </w:r>
          </w:p>
        </w:tc>
        <w:tc>
          <w:tcPr>
            <w:tcW w:w="1848" w:type="dxa"/>
            <w:vAlign w:val="bottom"/>
          </w:tcPr>
          <w:p>
            <w:pPr>
              <w:spacing w:after="0"/>
              <w:rPr>
                <w:sz w:val="19"/>
                <w:szCs w:val="19"/>
                <w:color w:val="auto"/>
              </w:rPr>
            </w:pPr>
          </w:p>
        </w:tc>
        <w:tc>
          <w:tcPr>
            <w:tcW w:w="153" w:type="dxa"/>
            <w:vAlign w:val="bottom"/>
          </w:tcPr>
          <w:p>
            <w:pPr>
              <w:spacing w:after="0"/>
              <w:rPr>
                <w:sz w:val="19"/>
                <w:szCs w:val="19"/>
                <w:color w:val="auto"/>
              </w:rPr>
            </w:pPr>
          </w:p>
        </w:tc>
        <w:tc>
          <w:tcPr>
            <w:tcW w:w="1420" w:type="dxa"/>
            <w:vAlign w:val="bottom"/>
          </w:tcPr>
          <w:p>
            <w:pPr>
              <w:jc w:val="center"/>
              <w:ind w:right="119"/>
              <w:spacing w:after="0" w:line="226" w:lineRule="exact"/>
              <w:rPr>
                <w:sz w:val="20"/>
                <w:szCs w:val="20"/>
                <w:color w:val="auto"/>
              </w:rPr>
            </w:pPr>
            <w:r>
              <w:rPr>
                <w:rFonts w:ascii="Times New Roman" w:cs="Times New Roman" w:eastAsia="Times New Roman" w:hAnsi="Times New Roman"/>
                <w:sz w:val="20"/>
                <w:szCs w:val="20"/>
                <w:color w:val="1E1E1E"/>
              </w:rPr>
              <w:t>Grant-Date</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820" w:type="dxa"/>
            <w:vAlign w:val="bottom"/>
            <w:tcBorders>
              <w:bottom w:val="single" w:sz="8" w:color="1E1E1E"/>
            </w:tcBorders>
            <w:vMerge w:val="continue"/>
          </w:tcPr>
          <w:p>
            <w:pPr>
              <w:spacing w:after="0"/>
              <w:rPr>
                <w:sz w:val="21"/>
                <w:szCs w:val="21"/>
                <w:color w:val="auto"/>
              </w:rPr>
            </w:pPr>
          </w:p>
        </w:tc>
        <w:tc>
          <w:tcPr>
            <w:tcW w:w="1848" w:type="dxa"/>
            <w:vAlign w:val="bottom"/>
            <w:tcBorders>
              <w:bottom w:val="single" w:sz="8" w:color="1E1E1E"/>
            </w:tcBorders>
          </w:tcPr>
          <w:p>
            <w:pPr>
              <w:jc w:val="right"/>
              <w:ind w:right="607"/>
              <w:spacing w:after="0"/>
              <w:rPr>
                <w:sz w:val="20"/>
                <w:szCs w:val="20"/>
                <w:color w:val="auto"/>
              </w:rPr>
            </w:pPr>
            <w:r>
              <w:rPr>
                <w:rFonts w:ascii="Times New Roman" w:cs="Times New Roman" w:eastAsia="Times New Roman" w:hAnsi="Times New Roman"/>
                <w:sz w:val="20"/>
                <w:szCs w:val="20"/>
                <w:color w:val="1E1E1E"/>
              </w:rPr>
              <w:t>Shares</w:t>
            </w:r>
          </w:p>
        </w:tc>
        <w:tc>
          <w:tcPr>
            <w:tcW w:w="153" w:type="dxa"/>
            <w:vAlign w:val="bottom"/>
            <w:tcBorders>
              <w:bottom w:val="single" w:sz="8" w:color="1E1E1E"/>
            </w:tcBorders>
          </w:tcPr>
          <w:p>
            <w:pPr>
              <w:spacing w:after="0"/>
              <w:rPr>
                <w:sz w:val="21"/>
                <w:szCs w:val="21"/>
                <w:color w:val="auto"/>
              </w:rPr>
            </w:pPr>
          </w:p>
        </w:tc>
        <w:tc>
          <w:tcPr>
            <w:tcW w:w="1420" w:type="dxa"/>
            <w:vAlign w:val="bottom"/>
            <w:tcBorders>
              <w:bottom w:val="single" w:sz="8" w:color="1E1E1E"/>
            </w:tcBorders>
          </w:tcPr>
          <w:p>
            <w:pPr>
              <w:jc w:val="center"/>
              <w:ind w:right="119"/>
              <w:spacing w:after="0"/>
              <w:rPr>
                <w:sz w:val="20"/>
                <w:szCs w:val="20"/>
                <w:color w:val="auto"/>
              </w:rPr>
            </w:pPr>
            <w:r>
              <w:rPr>
                <w:rFonts w:ascii="Times New Roman" w:cs="Times New Roman" w:eastAsia="Times New Roman" w:hAnsi="Times New Roman"/>
                <w:sz w:val="20"/>
                <w:szCs w:val="20"/>
                <w:color w:val="1E1E1E"/>
                <w:w w:val="98"/>
              </w:rPr>
              <w:t>Fair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Nonvested at January 28, 2023</w:t>
            </w:r>
          </w:p>
        </w:tc>
        <w:tc>
          <w:tcPr>
            <w:tcW w:w="1848" w:type="dxa"/>
            <w:vAlign w:val="bottom"/>
            <w:tcBorders>
              <w:bottom w:val="single" w:sz="8" w:color="1E1E1E"/>
            </w:tcBorders>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color w:val="1E1E1E"/>
              </w:rPr>
              <w:t>—</w:t>
            </w:r>
          </w:p>
        </w:tc>
        <w:tc>
          <w:tcPr>
            <w:tcW w:w="153"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shd w:val="clear" w:color="auto" w:fill="E4E4E4"/>
              </w:rPr>
              <w:t>$</w:t>
            </w:r>
          </w:p>
        </w:tc>
        <w:tc>
          <w:tcPr>
            <w:tcW w:w="14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line="234" w:lineRule="exact"/>
              <w:rPr>
                <w:sz w:val="20"/>
                <w:szCs w:val="20"/>
                <w:color w:val="auto"/>
              </w:rPr>
            </w:pPr>
            <w:r>
              <w:rPr>
                <w:rFonts w:ascii="Times New Roman" w:cs="Times New Roman" w:eastAsia="Times New Roman" w:hAnsi="Times New Roman"/>
                <w:sz w:val="20"/>
                <w:szCs w:val="20"/>
                <w:color w:val="1E1E1E"/>
              </w:rPr>
              <w:t>Granted</w:t>
            </w:r>
            <w:r>
              <w:rPr>
                <w:rFonts w:ascii="Times New Roman" w:cs="Times New Roman" w:eastAsia="Times New Roman" w:hAnsi="Times New Roman"/>
                <w:sz w:val="25"/>
                <w:szCs w:val="25"/>
                <w:color w:val="1E1E1E"/>
                <w:vertAlign w:val="superscript"/>
              </w:rPr>
              <w:t>(1)</w:t>
            </w:r>
          </w:p>
        </w:tc>
        <w:tc>
          <w:tcPr>
            <w:tcW w:w="1848"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1E1E1E"/>
              </w:rPr>
              <w:t>96,866</w:t>
            </w:r>
          </w:p>
        </w:tc>
        <w:tc>
          <w:tcPr>
            <w:tcW w:w="153"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20"/>
                <w:szCs w:val="20"/>
                <w:color w:val="1E1E1E"/>
              </w:rPr>
              <w:t>37.22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Vested</w:t>
            </w:r>
          </w:p>
        </w:tc>
        <w:tc>
          <w:tcPr>
            <w:tcW w:w="1848" w:type="dxa"/>
            <w:vAlign w:val="bottom"/>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color w:val="1E1E1E"/>
              </w:rPr>
              <w:t>—</w:t>
            </w:r>
          </w:p>
        </w:tc>
        <w:tc>
          <w:tcPr>
            <w:tcW w:w="153" w:type="dxa"/>
            <w:vAlign w:val="bottom"/>
            <w:shd w:val="clear" w:color="auto" w:fill="E4E4E4"/>
          </w:tcPr>
          <w:p>
            <w:pPr>
              <w:spacing w:after="0"/>
              <w:rPr>
                <w:sz w:val="21"/>
                <w:szCs w:val="21"/>
                <w:color w:val="auto"/>
              </w:rPr>
            </w:pP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20"/>
                <w:szCs w:val="20"/>
                <w:color w:val="1E1E1E"/>
              </w:rPr>
              <w:t>Withheld for federal taxes</w:t>
            </w:r>
          </w:p>
        </w:tc>
        <w:tc>
          <w:tcPr>
            <w:tcW w:w="1848"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1E1E1E"/>
              </w:rPr>
              <w:t>—</w:t>
            </w:r>
          </w:p>
        </w:tc>
        <w:tc>
          <w:tcPr>
            <w:tcW w:w="153"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Forfeited</w:t>
            </w:r>
          </w:p>
        </w:tc>
        <w:tc>
          <w:tcPr>
            <w:tcW w:w="1848" w:type="dxa"/>
            <w:vAlign w:val="bottom"/>
            <w:tcBorders>
              <w:bottom w:val="single" w:sz="8" w:color="1E1E1E"/>
            </w:tcBorders>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color w:val="1E1E1E"/>
              </w:rPr>
              <w:t>(7,612)</w:t>
            </w:r>
          </w:p>
        </w:tc>
        <w:tc>
          <w:tcPr>
            <w:tcW w:w="153" w:type="dxa"/>
            <w:vAlign w:val="bottom"/>
            <w:tcBorders>
              <w:bottom w:val="single" w:sz="8" w:color="1E1E1E"/>
            </w:tcBorders>
            <w:shd w:val="clear" w:color="auto" w:fill="E4E4E4"/>
          </w:tcPr>
          <w:p>
            <w:pPr>
              <w:spacing w:after="0"/>
              <w:rPr>
                <w:sz w:val="21"/>
                <w:szCs w:val="21"/>
                <w:color w:val="auto"/>
              </w:rPr>
            </w:pPr>
          </w:p>
        </w:tc>
        <w:tc>
          <w:tcPr>
            <w:tcW w:w="1420" w:type="dxa"/>
            <w:vAlign w:val="bottom"/>
            <w:tcBorders>
              <w:bottom w:val="single" w:sz="8" w:color="1E1E1E"/>
            </w:tcBorders>
            <w:shd w:val="clear" w:color="auto" w:fill="E4E4E4"/>
          </w:tcPr>
          <w:p>
            <w:pPr>
              <w:jc w:val="right"/>
              <w:ind w:right="19"/>
              <w:spacing w:after="0"/>
              <w:rPr>
                <w:sz w:val="20"/>
                <w:szCs w:val="20"/>
                <w:color w:val="auto"/>
              </w:rPr>
            </w:pPr>
            <w:r>
              <w:rPr>
                <w:rFonts w:ascii="Times New Roman" w:cs="Times New Roman" w:eastAsia="Times New Roman" w:hAnsi="Times New Roman"/>
                <w:sz w:val="20"/>
                <w:szCs w:val="20"/>
                <w:color w:val="1E1E1E"/>
              </w:rPr>
              <w:t>37.22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Nonvested at February 3, 2024</w:t>
            </w:r>
          </w:p>
        </w:tc>
        <w:tc>
          <w:tcPr>
            <w:tcW w:w="1848" w:type="dxa"/>
            <w:vAlign w:val="bottom"/>
            <w:tcBorders>
              <w:bottom w:val="single" w:sz="8" w:color="1E1E1E"/>
            </w:tcBorders>
          </w:tcPr>
          <w:p>
            <w:pPr>
              <w:jc w:val="right"/>
              <w:ind w:right="147"/>
              <w:spacing w:after="0"/>
              <w:rPr>
                <w:sz w:val="20"/>
                <w:szCs w:val="20"/>
                <w:color w:val="auto"/>
              </w:rPr>
            </w:pPr>
            <w:r>
              <w:rPr>
                <w:rFonts w:ascii="Times New Roman" w:cs="Times New Roman" w:eastAsia="Times New Roman" w:hAnsi="Times New Roman"/>
                <w:sz w:val="20"/>
                <w:szCs w:val="20"/>
                <w:color w:val="1E1E1E"/>
              </w:rPr>
              <w:t>89,254</w:t>
            </w:r>
          </w:p>
        </w:tc>
        <w:tc>
          <w:tcPr>
            <w:tcW w:w="153" w:type="dxa"/>
            <w:vAlign w:val="bottom"/>
            <w:tcBorders>
              <w:bottom w:val="single" w:sz="8" w:color="1E1E1E"/>
            </w:tcBorders>
          </w:tcPr>
          <w:p>
            <w:pPr>
              <w:spacing w:after="0"/>
              <w:rPr>
                <w:sz w:val="20"/>
                <w:szCs w:val="20"/>
                <w:color w:val="auto"/>
              </w:rPr>
            </w:pPr>
          </w:p>
        </w:tc>
        <w:tc>
          <w:tcPr>
            <w:tcW w:w="1420" w:type="dxa"/>
            <w:vAlign w:val="bottom"/>
            <w:tcBorders>
              <w:bottom w:val="single" w:sz="8" w:color="1E1E1E"/>
            </w:tcBorders>
          </w:tcPr>
          <w:p>
            <w:pPr>
              <w:jc w:val="right"/>
              <w:ind w:right="19"/>
              <w:spacing w:after="0"/>
              <w:rPr>
                <w:sz w:val="20"/>
                <w:szCs w:val="20"/>
                <w:color w:val="auto"/>
              </w:rPr>
            </w:pPr>
            <w:r>
              <w:rPr>
                <w:rFonts w:ascii="Times New Roman" w:cs="Times New Roman" w:eastAsia="Times New Roman" w:hAnsi="Times New Roman"/>
                <w:sz w:val="20"/>
                <w:szCs w:val="20"/>
                <w:color w:val="1E1E1E"/>
              </w:rPr>
              <w:t>37.22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shd w:val="clear" w:color="auto" w:fill="E4E4E4"/>
          </w:tcPr>
          <w:p>
            <w:pPr>
              <w:spacing w:after="0" w:line="234" w:lineRule="exact"/>
              <w:rPr>
                <w:sz w:val="20"/>
                <w:szCs w:val="20"/>
                <w:color w:val="auto"/>
              </w:rPr>
            </w:pPr>
            <w:r>
              <w:rPr>
                <w:rFonts w:ascii="Times New Roman" w:cs="Times New Roman" w:eastAsia="Times New Roman" w:hAnsi="Times New Roman"/>
                <w:sz w:val="20"/>
                <w:szCs w:val="20"/>
                <w:color w:val="1E1E1E"/>
              </w:rPr>
              <w:t>Granted</w:t>
            </w:r>
            <w:r>
              <w:rPr>
                <w:rFonts w:ascii="Times New Roman" w:cs="Times New Roman" w:eastAsia="Times New Roman" w:hAnsi="Times New Roman"/>
                <w:sz w:val="25"/>
                <w:szCs w:val="25"/>
                <w:color w:val="1E1E1E"/>
                <w:vertAlign w:val="superscript"/>
              </w:rPr>
              <w:t>(1)</w:t>
            </w:r>
          </w:p>
        </w:tc>
        <w:tc>
          <w:tcPr>
            <w:tcW w:w="1848" w:type="dxa"/>
            <w:vAlign w:val="bottom"/>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color w:val="1E1E1E"/>
              </w:rPr>
              <w:t>153,602</w:t>
            </w:r>
          </w:p>
        </w:tc>
        <w:tc>
          <w:tcPr>
            <w:tcW w:w="153" w:type="dxa"/>
            <w:vAlign w:val="bottom"/>
            <w:shd w:val="clear" w:color="auto" w:fill="E4E4E4"/>
          </w:tcPr>
          <w:p>
            <w:pPr>
              <w:spacing w:after="0"/>
              <w:rPr>
                <w:sz w:val="20"/>
                <w:szCs w:val="20"/>
                <w:color w:val="auto"/>
              </w:rPr>
            </w:pPr>
          </w:p>
        </w:tc>
        <w:tc>
          <w:tcPr>
            <w:tcW w:w="142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20"/>
                <w:szCs w:val="20"/>
                <w:color w:val="1E1E1E"/>
              </w:rPr>
              <w:t>26.91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20"/>
                <w:szCs w:val="20"/>
                <w:color w:val="1E1E1E"/>
              </w:rPr>
              <w:t>Vested</w:t>
            </w:r>
          </w:p>
        </w:tc>
        <w:tc>
          <w:tcPr>
            <w:tcW w:w="1848" w:type="dxa"/>
            <w:vAlign w:val="bottom"/>
          </w:tcPr>
          <w:p>
            <w:pPr>
              <w:jc w:val="right"/>
              <w:ind w:right="147"/>
              <w:spacing w:after="0"/>
              <w:rPr>
                <w:sz w:val="20"/>
                <w:szCs w:val="20"/>
                <w:color w:val="auto"/>
              </w:rPr>
            </w:pPr>
            <w:r>
              <w:rPr>
                <w:rFonts w:ascii="Times New Roman" w:cs="Times New Roman" w:eastAsia="Times New Roman" w:hAnsi="Times New Roman"/>
                <w:sz w:val="20"/>
                <w:szCs w:val="20"/>
                <w:color w:val="1E1E1E"/>
              </w:rPr>
              <w:t>—</w:t>
            </w:r>
          </w:p>
        </w:tc>
        <w:tc>
          <w:tcPr>
            <w:tcW w:w="153"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Withheld for federal taxes</w:t>
            </w:r>
          </w:p>
        </w:tc>
        <w:tc>
          <w:tcPr>
            <w:tcW w:w="1848" w:type="dxa"/>
            <w:vAlign w:val="bottom"/>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color w:val="1E1E1E"/>
              </w:rPr>
              <w:t>—</w:t>
            </w:r>
          </w:p>
        </w:tc>
        <w:tc>
          <w:tcPr>
            <w:tcW w:w="153" w:type="dxa"/>
            <w:vAlign w:val="bottom"/>
            <w:shd w:val="clear" w:color="auto" w:fill="E4E4E4"/>
          </w:tcPr>
          <w:p>
            <w:pPr>
              <w:spacing w:after="0"/>
              <w:rPr>
                <w:sz w:val="21"/>
                <w:szCs w:val="21"/>
                <w:color w:val="auto"/>
              </w:rPr>
            </w:pP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Forfeited</w:t>
            </w:r>
          </w:p>
        </w:tc>
        <w:tc>
          <w:tcPr>
            <w:tcW w:w="1848" w:type="dxa"/>
            <w:vAlign w:val="bottom"/>
            <w:tcBorders>
              <w:bottom w:val="single" w:sz="8" w:color="1E1E1E"/>
            </w:tcBorders>
          </w:tcPr>
          <w:p>
            <w:pPr>
              <w:jc w:val="right"/>
              <w:ind w:right="67"/>
              <w:spacing w:after="0"/>
              <w:rPr>
                <w:sz w:val="20"/>
                <w:szCs w:val="20"/>
                <w:color w:val="auto"/>
              </w:rPr>
            </w:pPr>
            <w:r>
              <w:rPr>
                <w:rFonts w:ascii="Times New Roman" w:cs="Times New Roman" w:eastAsia="Times New Roman" w:hAnsi="Times New Roman"/>
                <w:sz w:val="20"/>
                <w:szCs w:val="20"/>
                <w:color w:val="1E1E1E"/>
              </w:rPr>
              <w:t>(5,446)</w:t>
            </w:r>
          </w:p>
        </w:tc>
        <w:tc>
          <w:tcPr>
            <w:tcW w:w="153" w:type="dxa"/>
            <w:vAlign w:val="bottom"/>
            <w:tcBorders>
              <w:bottom w:val="single" w:sz="8" w:color="1E1E1E"/>
            </w:tcBorders>
          </w:tcPr>
          <w:p>
            <w:pPr>
              <w:spacing w:after="0"/>
              <w:rPr>
                <w:sz w:val="21"/>
                <w:szCs w:val="21"/>
                <w:color w:val="auto"/>
              </w:rPr>
            </w:pPr>
          </w:p>
        </w:tc>
        <w:tc>
          <w:tcPr>
            <w:tcW w:w="1420" w:type="dxa"/>
            <w:vAlign w:val="bottom"/>
            <w:tcBorders>
              <w:bottom w:val="single" w:sz="8" w:color="1E1E1E"/>
            </w:tcBorders>
          </w:tcPr>
          <w:p>
            <w:pPr>
              <w:jc w:val="right"/>
              <w:ind w:right="19"/>
              <w:spacing w:after="0"/>
              <w:rPr>
                <w:sz w:val="20"/>
                <w:szCs w:val="20"/>
                <w:color w:val="auto"/>
              </w:rPr>
            </w:pPr>
            <w:r>
              <w:rPr>
                <w:rFonts w:ascii="Times New Roman" w:cs="Times New Roman" w:eastAsia="Times New Roman" w:hAnsi="Times New Roman"/>
                <w:sz w:val="20"/>
                <w:szCs w:val="20"/>
                <w:color w:val="1E1E1E"/>
              </w:rPr>
              <w:t>30.98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color w:val="1E1E1E"/>
              </w:rPr>
              <w:t>Nonvested at February 1, 2025</w:t>
            </w:r>
          </w:p>
        </w:tc>
        <w:tc>
          <w:tcPr>
            <w:tcW w:w="1848" w:type="dxa"/>
            <w:vAlign w:val="bottom"/>
            <w:tcBorders>
              <w:bottom w:val="single" w:sz="8" w:color="1E1E1E"/>
            </w:tcBorders>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color w:val="1E1E1E"/>
              </w:rPr>
              <w:t>237,410</w:t>
            </w:r>
          </w:p>
        </w:tc>
        <w:tc>
          <w:tcPr>
            <w:tcW w:w="153" w:type="dxa"/>
            <w:vAlign w:val="bottom"/>
            <w:tcBorders>
              <w:bottom w:val="single" w:sz="8" w:color="1E1E1E"/>
            </w:tcBorders>
            <w:shd w:val="clear" w:color="auto" w:fill="E4E4E4"/>
          </w:tcPr>
          <w:p>
            <w:pPr>
              <w:spacing w:after="0"/>
              <w:rPr>
                <w:sz w:val="20"/>
                <w:szCs w:val="20"/>
                <w:color w:val="auto"/>
              </w:rPr>
            </w:pPr>
          </w:p>
        </w:tc>
        <w:tc>
          <w:tcPr>
            <w:tcW w:w="1420" w:type="dxa"/>
            <w:vAlign w:val="bottom"/>
            <w:tcBorders>
              <w:bottom w:val="single" w:sz="8" w:color="1E1E1E"/>
            </w:tcBorders>
            <w:shd w:val="clear" w:color="auto" w:fill="E4E4E4"/>
          </w:tcPr>
          <w:p>
            <w:pPr>
              <w:jc w:val="right"/>
              <w:ind w:right="19"/>
              <w:spacing w:after="0"/>
              <w:rPr>
                <w:sz w:val="20"/>
                <w:szCs w:val="20"/>
                <w:color w:val="auto"/>
              </w:rPr>
            </w:pPr>
            <w:r>
              <w:rPr>
                <w:rFonts w:ascii="Times New Roman" w:cs="Times New Roman" w:eastAsia="Times New Roman" w:hAnsi="Times New Roman"/>
                <w:sz w:val="20"/>
                <w:szCs w:val="20"/>
                <w:color w:val="1E1E1E"/>
              </w:rPr>
              <w:t>30.69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line="234" w:lineRule="exact"/>
              <w:rPr>
                <w:sz w:val="20"/>
                <w:szCs w:val="20"/>
                <w:color w:val="auto"/>
              </w:rPr>
            </w:pPr>
            <w:r>
              <w:rPr>
                <w:rFonts w:ascii="Times New Roman" w:cs="Times New Roman" w:eastAsia="Times New Roman" w:hAnsi="Times New Roman"/>
                <w:sz w:val="20"/>
                <w:szCs w:val="20"/>
                <w:b w:val="1"/>
                <w:bCs w:val="1"/>
                <w:color w:val="1E1E1E"/>
              </w:rPr>
              <w:t>Granted</w:t>
            </w:r>
            <w:r>
              <w:rPr>
                <w:rFonts w:ascii="Times New Roman" w:cs="Times New Roman" w:eastAsia="Times New Roman" w:hAnsi="Times New Roman"/>
                <w:sz w:val="25"/>
                <w:szCs w:val="25"/>
                <w:b w:val="1"/>
                <w:bCs w:val="1"/>
                <w:color w:val="1E1E1E"/>
                <w:vertAlign w:val="superscript"/>
              </w:rPr>
              <w:t>(1)</w:t>
            </w:r>
          </w:p>
        </w:tc>
        <w:tc>
          <w:tcPr>
            <w:tcW w:w="1848" w:type="dxa"/>
            <w:vAlign w:val="bottom"/>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171,503</w:t>
            </w:r>
          </w:p>
        </w:tc>
        <w:tc>
          <w:tcPr>
            <w:tcW w:w="153"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23.92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shd w:val="clear" w:color="auto" w:fill="E4E4E4"/>
          </w:tcPr>
          <w:p>
            <w:pPr>
              <w:spacing w:after="0" w:line="245" w:lineRule="exact"/>
              <w:rPr>
                <w:sz w:val="20"/>
                <w:szCs w:val="20"/>
                <w:color w:val="auto"/>
              </w:rPr>
            </w:pPr>
            <w:r>
              <w:rPr>
                <w:rFonts w:ascii="Times New Roman" w:cs="Times New Roman" w:eastAsia="Times New Roman" w:hAnsi="Times New Roman"/>
                <w:sz w:val="20"/>
                <w:szCs w:val="20"/>
                <w:b w:val="1"/>
                <w:bCs w:val="1"/>
                <w:color w:val="1E1E1E"/>
              </w:rPr>
              <w:t>Performance adjustment</w:t>
            </w:r>
            <w:r>
              <w:rPr>
                <w:rFonts w:ascii="Times New Roman" w:cs="Times New Roman" w:eastAsia="Times New Roman" w:hAnsi="Times New Roman"/>
                <w:sz w:val="25"/>
                <w:szCs w:val="25"/>
                <w:b w:val="1"/>
                <w:bCs w:val="1"/>
                <w:color w:val="1E1E1E"/>
                <w:vertAlign w:val="superscript"/>
              </w:rPr>
              <w:t>(2)</w:t>
            </w:r>
          </w:p>
        </w:tc>
        <w:tc>
          <w:tcPr>
            <w:tcW w:w="1848" w:type="dxa"/>
            <w:vAlign w:val="bottom"/>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(97,626)</w:t>
            </w:r>
          </w:p>
        </w:tc>
        <w:tc>
          <w:tcPr>
            <w:tcW w:w="153" w:type="dxa"/>
            <w:vAlign w:val="bottom"/>
            <w:shd w:val="clear" w:color="auto" w:fill="E4E4E4"/>
          </w:tcPr>
          <w:p>
            <w:pPr>
              <w:spacing w:after="0"/>
              <w:rPr>
                <w:sz w:val="21"/>
                <w:szCs w:val="21"/>
                <w:color w:val="auto"/>
              </w:rPr>
            </w:pPr>
          </w:p>
        </w:tc>
        <w:tc>
          <w:tcPr>
            <w:tcW w:w="1420" w:type="dxa"/>
            <w:vAlign w:val="bottom"/>
            <w:shd w:val="clear" w:color="auto" w:fill="E4E4E4"/>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36.14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Vested</w:t>
            </w:r>
          </w:p>
        </w:tc>
        <w:tc>
          <w:tcPr>
            <w:tcW w:w="1848" w:type="dxa"/>
            <w:vAlign w:val="bottom"/>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w:t>
            </w:r>
          </w:p>
        </w:tc>
        <w:tc>
          <w:tcPr>
            <w:tcW w:w="153"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Withheld for federal taxes</w:t>
            </w:r>
          </w:p>
        </w:tc>
        <w:tc>
          <w:tcPr>
            <w:tcW w:w="1848" w:type="dxa"/>
            <w:vAlign w:val="bottom"/>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w:t>
            </w:r>
          </w:p>
        </w:tc>
        <w:tc>
          <w:tcPr>
            <w:tcW w:w="153" w:type="dxa"/>
            <w:vAlign w:val="bottom"/>
            <w:shd w:val="clear" w:color="auto" w:fill="E4E4E4"/>
          </w:tcPr>
          <w:p>
            <w:pPr>
              <w:spacing w:after="0"/>
              <w:rPr>
                <w:sz w:val="20"/>
                <w:szCs w:val="20"/>
                <w:color w:val="auto"/>
              </w:rPr>
            </w:pPr>
          </w:p>
        </w:tc>
        <w:tc>
          <w:tcPr>
            <w:tcW w:w="14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Forfeited</w:t>
            </w:r>
          </w:p>
        </w:tc>
        <w:tc>
          <w:tcPr>
            <w:tcW w:w="1848" w:type="dxa"/>
            <w:vAlign w:val="bottom"/>
            <w:tcBorders>
              <w:bottom w:val="single" w:sz="8" w:color="1E1E1E"/>
            </w:tcBorders>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(1,870)</w:t>
            </w:r>
          </w:p>
        </w:tc>
        <w:tc>
          <w:tcPr>
            <w:tcW w:w="153" w:type="dxa"/>
            <w:vAlign w:val="bottom"/>
            <w:tcBorders>
              <w:bottom w:val="single" w:sz="8" w:color="1E1E1E"/>
            </w:tcBorders>
          </w:tcPr>
          <w:p>
            <w:pPr>
              <w:spacing w:after="0"/>
              <w:rPr>
                <w:sz w:val="21"/>
                <w:szCs w:val="21"/>
                <w:color w:val="auto"/>
              </w:rPr>
            </w:pPr>
          </w:p>
        </w:tc>
        <w:tc>
          <w:tcPr>
            <w:tcW w:w="1420" w:type="dxa"/>
            <w:vAlign w:val="bottom"/>
            <w:tcBorders>
              <w:bottom w:val="single" w:sz="8" w:color="1E1E1E"/>
            </w:tcBorders>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24.05</w:t>
            </w:r>
          </w:p>
        </w:tc>
        <w:tc>
          <w:tcPr>
            <w:tcW w:w="0" w:type="dxa"/>
            <w:vAlign w:val="bottom"/>
          </w:tcPr>
          <w:p>
            <w:pPr>
              <w:spacing w:after="0"/>
              <w:rPr>
                <w:sz w:val="1"/>
                <w:szCs w:val="1"/>
                <w:color w:val="auto"/>
              </w:rPr>
            </w:pPr>
          </w:p>
        </w:tc>
      </w:tr>
      <w:tr>
        <w:trPr>
          <w:trHeight w:val="237"/>
        </w:trPr>
        <w:tc>
          <w:tcPr>
            <w:tcW w:w="20" w:type="dxa"/>
            <w:vAlign w:val="bottom"/>
            <w:tcBorders>
              <w:bottom w:val="single" w:sz="8" w:color="1E1E1E"/>
            </w:tcBorders>
          </w:tcPr>
          <w:p>
            <w:pPr>
              <w:spacing w:after="0"/>
              <w:rPr>
                <w:sz w:val="20"/>
                <w:szCs w:val="20"/>
                <w:color w:val="auto"/>
              </w:rPr>
            </w:pPr>
          </w:p>
        </w:tc>
        <w:tc>
          <w:tcPr>
            <w:tcW w:w="682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Nonvested at January 31, 2026</w:t>
            </w:r>
          </w:p>
        </w:tc>
        <w:tc>
          <w:tcPr>
            <w:tcW w:w="1848" w:type="dxa"/>
            <w:vAlign w:val="bottom"/>
            <w:tcBorders>
              <w:bottom w:val="single" w:sz="8" w:color="1E1E1E"/>
            </w:tcBorders>
            <w:shd w:val="clear" w:color="auto" w:fill="E4E4E4"/>
          </w:tcPr>
          <w:p>
            <w:pPr>
              <w:jc w:val="right"/>
              <w:ind w:right="147"/>
              <w:spacing w:after="0"/>
              <w:rPr>
                <w:sz w:val="20"/>
                <w:szCs w:val="20"/>
                <w:color w:val="auto"/>
              </w:rPr>
            </w:pPr>
            <w:r>
              <w:rPr>
                <w:rFonts w:ascii="Times New Roman" w:cs="Times New Roman" w:eastAsia="Times New Roman" w:hAnsi="Times New Roman"/>
                <w:sz w:val="20"/>
                <w:szCs w:val="20"/>
                <w:b w:val="1"/>
                <w:bCs w:val="1"/>
                <w:color w:val="1E1E1E"/>
              </w:rPr>
              <w:t>309,417</w:t>
            </w:r>
          </w:p>
        </w:tc>
        <w:tc>
          <w:tcPr>
            <w:tcW w:w="153"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b w:val="1"/>
                <w:bCs w:val="1"/>
                <w:color w:val="1E1E1E"/>
                <w:shd w:val="clear" w:color="auto" w:fill="E4E4E4"/>
              </w:rPr>
              <w:t>$</w:t>
            </w:r>
          </w:p>
        </w:tc>
        <w:tc>
          <w:tcPr>
            <w:tcW w:w="1420" w:type="dxa"/>
            <w:vAlign w:val="bottom"/>
            <w:tcBorders>
              <w:bottom w:val="single" w:sz="8" w:color="1E1E1E"/>
            </w:tcBorders>
            <w:shd w:val="clear" w:color="auto" w:fill="E4E4E4"/>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25.26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-2519045</wp:posOffset>
                </wp:positionV>
                <wp:extent cx="651065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98.3499pt" to="513.3pt,-198.3499pt" o:allowincell="f" strokecolor="#FFFFFF" strokeweight="0.72pt"/>
            </w:pict>
          </mc:Fallback>
        </mc:AlternateContent>
      </w:r>
    </w:p>
    <w:p>
      <w:pPr>
        <w:jc w:val="both"/>
        <w:ind w:left="160" w:hanging="143"/>
        <w:spacing w:after="0" w:line="253" w:lineRule="auto"/>
        <w:rPr>
          <w:sz w:val="20"/>
          <w:szCs w:val="20"/>
          <w:color w:val="auto"/>
        </w:rPr>
      </w:pPr>
      <w:r>
        <w:rPr>
          <w:rFonts w:ascii="Times New Roman" w:cs="Times New Roman" w:eastAsia="Times New Roman" w:hAnsi="Times New Roman"/>
          <w:sz w:val="24"/>
          <w:szCs w:val="24"/>
          <w:color w:val="1E1E1E"/>
          <w:vertAlign w:val="superscript"/>
        </w:rPr>
        <w:t>(1)</w:t>
      </w:r>
      <w:r>
        <w:rPr>
          <w:rFonts w:ascii="Times New Roman" w:cs="Times New Roman" w:eastAsia="Times New Roman" w:hAnsi="Times New Roman"/>
          <w:sz w:val="19"/>
          <w:szCs w:val="19"/>
          <w:color w:val="1E1E1E"/>
        </w:rPr>
        <w:t>Assumes 100% target level achievement of the relative performance goal. The actual number of shares that will be issued, which may be higher or lower than the target, will be determined by the level of achievement of the relative performance goal.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51891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8910" cy="4763"/>
                        </a:xfrm>
                        <a:prstGeom prst="line">
                          <a:avLst/>
                        </a:prstGeom>
                        <a:solidFill>
                          <a:srgbClr val="FFFFFF"/>
                        </a:solidFill>
                        <a:ln w="9144">
                          <a:solidFill>
                            <a:srgbClr val="1E1E1E"/>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2999pt" to="513.3pt,-25.2999pt" o:allowincell="f" strokecolor="#1E1E1E" strokeweight="0.72pt"/>
            </w:pict>
          </mc:Fallback>
        </mc:AlternateContent>
      </w:r>
    </w:p>
    <w:p>
      <w:pPr>
        <w:ind w:left="160" w:hanging="146"/>
        <w:spacing w:after="0" w:line="263" w:lineRule="auto"/>
        <w:tabs>
          <w:tab w:leader="none" w:pos="207" w:val="left"/>
        </w:tabs>
        <w:numPr>
          <w:ilvl w:val="0"/>
          <w:numId w:val="22"/>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Shares adjusted at the end of Fiscal 2026 for PSUs that did not vest as a result of not achieving the required performance metrics as of January 31, 2026.</w:t>
      </w:r>
    </w:p>
    <w:p>
      <w:pPr>
        <w:spacing w:after="0" w:line="182" w:lineRule="exact"/>
        <w:rPr>
          <w:sz w:val="20"/>
          <w:szCs w:val="20"/>
          <w:color w:val="auto"/>
        </w:rPr>
      </w:pPr>
    </w:p>
    <w:p>
      <w:pPr>
        <w:jc w:val="both"/>
        <w:ind w:left="20"/>
        <w:spacing w:after="0" w:line="308" w:lineRule="auto"/>
        <w:rPr>
          <w:sz w:val="20"/>
          <w:szCs w:val="20"/>
          <w:color w:val="auto"/>
        </w:rPr>
      </w:pPr>
      <w:r>
        <w:rPr>
          <w:rFonts w:ascii="Times New Roman" w:cs="Times New Roman" w:eastAsia="Times New Roman" w:hAnsi="Times New Roman"/>
          <w:sz w:val="20"/>
          <w:szCs w:val="20"/>
          <w:color w:val="1E1E1E"/>
        </w:rPr>
        <w:t>As of January 31, 2026, we had $4.9 million of total unrecognized compensation expense related to non-vested PSUs discussed above. That cost is expected to be recognized over a weighted average period of 1.86 years. There were no modifications to PSUs in Fiscal 2026. No shares vested in the periods ended January 31, 2026, February 1, 2025 or February 3, 2024.</w:t>
      </w:r>
    </w:p>
    <w:p>
      <w:pPr>
        <w:sectPr>
          <w:pgSz w:w="12240" w:h="15840" w:orient="portrait"/>
          <w:cols w:equalWidth="0" w:num="1">
            <w:col w:w="10260"/>
          </w:cols>
          <w:pgMar w:left="980" w:top="1156" w:right="100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80</w:t>
      </w:r>
    </w:p>
    <w:p>
      <w:pPr>
        <w:sectPr>
          <w:pgSz w:w="12240" w:h="15840" w:orient="portrait"/>
          <w:cols w:equalWidth="0" w:num="1">
            <w:col w:w="10260"/>
          </w:cols>
          <w:pgMar w:left="980" w:top="1156" w:right="1000" w:bottom="178" w:gutter="0" w:footer="0" w:header="0"/>
          <w:type w:val="continuous"/>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Note 15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Legal Proceedings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Environmental Matters</w:t>
      </w:r>
    </w:p>
    <w:p>
      <w:pPr>
        <w:spacing w:after="0" w:line="4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1E1E1E"/>
        </w:rPr>
        <w:t>The Company has legacy obligations including environmental monitoring and reporting costs related to: (i) a 2016 consent judgment entered into with the United States Environmental Protection Agency involving the site of a knitting mill operated by a former subsidiary of ours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financial condition or results of operations.</w:t>
      </w:r>
    </w:p>
    <w:p>
      <w:pPr>
        <w:spacing w:after="0" w:line="23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During the fourth quarter of Fiscal 2025 and Fiscal 2024, we received insurance proceeds totaling $1.2 million ($0.9 million, net of tax) and $9.4 million ($7.2 million, net of tax), respectively, related to legacy environmental matters discussed above. The insurance proceeds are included in gain (loss) from discontinued operations, net of tax on the Consolidated Statements of Operations in Fiscal 2025 and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Accrual for Environmental Contingencies</w:t>
      </w:r>
    </w:p>
    <w:p>
      <w:pPr>
        <w:spacing w:after="0" w:line="24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1E1E1E"/>
        </w:rPr>
        <w:t>Related to all outstanding environmental contingencies, we had accrued $1.9 million as of January 31, 2026, $2.1 million as of February 1, 2025 and $2.0 million as of February 3, 2024.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less than $0.1 million in Fiscal 2026, approximately $0.4 million in Fiscal 2025 and $0.5 million in Fiscal 2024. These charges are included in gain (loss) from discontinued operations, net in the Consolidated Statements of Operations and represent changes in estimates.</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15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During the first quarter of Fiscal 2027, we received $13.4 million (net of legal fees) related to payment card interchange fee litigation.</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81</w:t>
      </w:r>
    </w:p>
    <w:p>
      <w:pPr>
        <w:sectPr>
          <w:pgSz w:w="12240" w:h="15840" w:orient="portrait"/>
          <w:cols w:equalWidth="0" w:num="1">
            <w:col w:w="10260"/>
          </w:cols>
          <w:pgMar w:left="1000" w:top="1156" w:right="980" w:bottom="178"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16</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Business Segment Information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accounting policies of the segments are the same as those described in the summary of significant accounting policies.</w:t>
      </w:r>
    </w:p>
    <w:p>
      <w:pPr>
        <w:spacing w:after="0" w:line="250" w:lineRule="exact"/>
        <w:rPr>
          <w:sz w:val="20"/>
          <w:szCs w:val="20"/>
          <w:color w:val="auto"/>
        </w:rPr>
      </w:pPr>
    </w:p>
    <w:p>
      <w:pPr>
        <w:jc w:val="both"/>
        <w:ind w:left="20"/>
        <w:spacing w:after="0" w:line="309" w:lineRule="auto"/>
        <w:rPr>
          <w:sz w:val="20"/>
          <w:szCs w:val="20"/>
          <w:color w:val="auto"/>
        </w:rPr>
      </w:pPr>
      <w:r>
        <w:rPr>
          <w:rFonts w:ascii="Times New Roman" w:cs="Times New Roman" w:eastAsia="Times New Roman" w:hAnsi="Times New Roman"/>
          <w:sz w:val="19"/>
          <w:szCs w:val="19"/>
          <w:color w:val="1E1E1E"/>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Genesco Brands Group sell primarily our owned and licensed brands. Our chief operating decision maker ("CODM") is our President and Chief Executive Officer. The CODM assesses performance of and allocates resources to each business segment based on segment results without allocating corporate expenses. These corporate expenses include corporate overhead, bank fees, interest expense, interest income, goodwill impairment, asset impairment charges and other, including severance, insurance gains, a gain on the termination of the pension plan, major litigation and major lease terminations. Reconciling items between segment operating income (loss) and earnings (loss) from continuing operations consist of unallocated corporate expenses. The CODM uses segment operating income (loss) as a measure of profit or loss.</w:t>
      </w:r>
    </w:p>
    <w:p>
      <w:pPr>
        <w:spacing w:after="0" w:line="224" w:lineRule="exact"/>
        <w:rPr>
          <w:sz w:val="20"/>
          <w:szCs w:val="20"/>
          <w:color w:val="auto"/>
        </w:rPr>
      </w:pPr>
    </w:p>
    <w:p>
      <w:pPr>
        <w:jc w:val="both"/>
        <w:ind w:left="20" w:right="20"/>
        <w:spacing w:after="0" w:line="308" w:lineRule="auto"/>
        <w:rPr>
          <w:sz w:val="20"/>
          <w:szCs w:val="20"/>
          <w:color w:val="auto"/>
        </w:rPr>
      </w:pPr>
      <w:r>
        <w:rPr>
          <w:rFonts w:ascii="Times New Roman" w:cs="Times New Roman" w:eastAsia="Times New Roman" w:hAnsi="Times New Roman"/>
          <w:sz w:val="20"/>
          <w:szCs w:val="20"/>
          <w:color w:val="1E1E1E"/>
        </w:rPr>
        <w:t>The measure of segment assets is reported on our Consolidated Balance Sheets as total assets. Corporate assets include cash, domestic prepaid rent expense, prepaid income taxes, deferred income taxes, deferred note expense on revolver debt, corporate fixed assets, corporate operating lease right of use assets and miscellaneous investments.</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Fiscal 2026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2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112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04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120" w:type="dxa"/>
            <w:vAlign w:val="bottom"/>
            <w:tcBorders>
              <w:top w:val="single" w:sz="8" w:color="1E1E1E"/>
            </w:tcBorders>
          </w:tcPr>
          <w:p>
            <w:pPr>
              <w:jc w:val="center"/>
              <w:ind w:right="9"/>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Johnston</w:t>
            </w:r>
          </w:p>
        </w:tc>
        <w:tc>
          <w:tcPr>
            <w:tcW w:w="120" w:type="dxa"/>
            <w:vAlign w:val="bottom"/>
            <w:tcBorders>
              <w:top w:val="single" w:sz="8" w:color="1E1E1E"/>
            </w:tcBorders>
          </w:tcPr>
          <w:p>
            <w:pPr>
              <w:spacing w:after="0"/>
              <w:rPr>
                <w:sz w:val="16"/>
                <w:szCs w:val="16"/>
                <w:color w:val="auto"/>
              </w:rPr>
            </w:pPr>
          </w:p>
        </w:tc>
        <w:tc>
          <w:tcPr>
            <w:tcW w:w="80" w:type="dxa"/>
            <w:vAlign w:val="bottom"/>
            <w:tcBorders>
              <w:top w:val="single" w:sz="8" w:color="1E1E1E"/>
            </w:tcBorders>
          </w:tcPr>
          <w:p>
            <w:pPr>
              <w:spacing w:after="0"/>
              <w:rPr>
                <w:sz w:val="16"/>
                <w:szCs w:val="16"/>
                <w:color w:val="auto"/>
              </w:rPr>
            </w:pPr>
          </w:p>
        </w:tc>
        <w:tc>
          <w:tcPr>
            <w:tcW w:w="1060" w:type="dxa"/>
            <w:vAlign w:val="bottom"/>
            <w:tcBorders>
              <w:top w:val="single" w:sz="8" w:color="1E1E1E"/>
            </w:tcBorders>
          </w:tcPr>
          <w:p>
            <w:pPr>
              <w:spacing w:after="0"/>
              <w:rPr>
                <w:sz w:val="16"/>
                <w:szCs w:val="16"/>
                <w:color w:val="auto"/>
              </w:rPr>
            </w:pPr>
          </w:p>
        </w:tc>
        <w:tc>
          <w:tcPr>
            <w:tcW w:w="8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940" w:type="dxa"/>
            <w:vAlign w:val="bottom"/>
            <w:tcBorders>
              <w:top w:val="single" w:sz="8" w:color="1E1E1E"/>
            </w:tcBorders>
          </w:tcPr>
          <w:p>
            <w:pPr>
              <w:spacing w:after="0"/>
              <w:rPr>
                <w:sz w:val="16"/>
                <w:szCs w:val="16"/>
                <w:color w:val="auto"/>
              </w:rPr>
            </w:pPr>
          </w:p>
        </w:tc>
        <w:tc>
          <w:tcPr>
            <w:tcW w:w="140" w:type="dxa"/>
            <w:vAlign w:val="bottom"/>
            <w:tcBorders>
              <w:top w:val="single" w:sz="8" w:color="1E1E1E"/>
            </w:tcBorders>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69"/>
              <w:spacing w:after="0"/>
              <w:rPr>
                <w:sz w:val="20"/>
                <w:szCs w:val="20"/>
                <w:color w:val="auto"/>
              </w:rPr>
            </w:pPr>
            <w:r>
              <w:rPr>
                <w:rFonts w:ascii="Times New Roman" w:cs="Times New Roman" w:eastAsia="Times New Roman" w:hAnsi="Times New Roman"/>
                <w:sz w:val="18"/>
                <w:szCs w:val="18"/>
                <w:b w:val="1"/>
                <w:bCs w:val="1"/>
                <w:color w:val="1E1E1E"/>
              </w:rPr>
              <w:t>Journeys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1E1E1E"/>
              </w:rPr>
              <w:t>Schuh</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1E1E1E"/>
              </w:rPr>
              <w:t>&amp; Murphy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1E1E1E"/>
              </w:rPr>
              <w:t>Genesco</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20" w:type="dxa"/>
            <w:vAlign w:val="bottom"/>
          </w:tcPr>
          <w:p>
            <w:pPr>
              <w:spacing w:after="0"/>
              <w:rPr>
                <w:sz w:val="21"/>
                <w:szCs w:val="21"/>
                <w:color w:val="auto"/>
              </w:rPr>
            </w:pPr>
          </w:p>
        </w:tc>
        <w:tc>
          <w:tcPr>
            <w:tcW w:w="39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(In thousands)</w:t>
            </w:r>
          </w:p>
        </w:tc>
        <w:tc>
          <w:tcPr>
            <w:tcW w:w="12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right"/>
              <w:ind w:right="26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tcBorders>
          </w:tcPr>
          <w:p>
            <w:pPr>
              <w:jc w:val="center"/>
              <w:ind w:right="9"/>
              <w:spacing w:after="0"/>
              <w:rPr>
                <w:sz w:val="20"/>
                <w:szCs w:val="20"/>
                <w:color w:val="auto"/>
              </w:rPr>
            </w:pPr>
            <w:r>
              <w:rPr>
                <w:rFonts w:ascii="Times New Roman" w:cs="Times New Roman" w:eastAsia="Times New Roman" w:hAnsi="Times New Roman"/>
                <w:sz w:val="18"/>
                <w:szCs w:val="18"/>
                <w:b w:val="1"/>
                <w:bCs w:val="1"/>
                <w:color w:val="1E1E1E"/>
                <w:w w:val="97"/>
              </w:rPr>
              <w:t>Group</w:t>
            </w:r>
          </w:p>
        </w:tc>
        <w:tc>
          <w:tcPr>
            <w:tcW w:w="120" w:type="dxa"/>
            <w:vAlign w:val="bottom"/>
            <w:tcBorders>
              <w:bottom w:val="single" w:sz="8" w:color="1E1E1E"/>
            </w:tcBorders>
          </w:tcPr>
          <w:p>
            <w:pPr>
              <w:spacing w:after="0"/>
              <w:rPr>
                <w:sz w:val="21"/>
                <w:szCs w:val="21"/>
                <w:color w:val="auto"/>
              </w:rPr>
            </w:pPr>
          </w:p>
        </w:tc>
        <w:tc>
          <w:tcPr>
            <w:tcW w:w="1220" w:type="dxa"/>
            <w:vAlign w:val="bottom"/>
            <w:tcBorders>
              <w:bottom w:val="single" w:sz="8" w:color="1E1E1E"/>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1E1E1E"/>
                <w:w w:val="98"/>
              </w:rPr>
              <w:t>Brands Group</w:t>
            </w:r>
          </w:p>
        </w:tc>
        <w:tc>
          <w:tcPr>
            <w:tcW w:w="1180" w:type="dxa"/>
            <w:vAlign w:val="bottom"/>
            <w:tcBorders>
              <w:bottom w:val="single" w:sz="8" w:color="1E1E1E"/>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1E1E1E"/>
              </w:rPr>
              <w:t>Consolidated</w:t>
            </w:r>
          </w:p>
        </w:tc>
      </w:tr>
      <w:tr>
        <w:trPr>
          <w:trHeight w:val="181"/>
        </w:trPr>
        <w:tc>
          <w:tcPr>
            <w:tcW w:w="20" w:type="dxa"/>
            <w:vAlign w:val="bottom"/>
          </w:tcPr>
          <w:p>
            <w:pPr>
              <w:spacing w:after="0"/>
              <w:rPr>
                <w:sz w:val="15"/>
                <w:szCs w:val="15"/>
                <w:color w:val="auto"/>
              </w:rPr>
            </w:pPr>
          </w:p>
        </w:tc>
        <w:tc>
          <w:tcPr>
            <w:tcW w:w="3920" w:type="dxa"/>
            <w:vAlign w:val="bottom"/>
            <w:tcBorders>
              <w:top w:val="single" w:sz="8" w:color="E4E4E4"/>
            </w:tcBorders>
            <w:shd w:val="clear" w:color="auto" w:fill="E4E4E4"/>
          </w:tcPr>
          <w:p>
            <w:pPr>
              <w:spacing w:after="0" w:line="181" w:lineRule="exact"/>
              <w:rPr>
                <w:sz w:val="20"/>
                <w:szCs w:val="20"/>
                <w:color w:val="auto"/>
              </w:rPr>
            </w:pPr>
            <w:r>
              <w:rPr>
                <w:rFonts w:ascii="Times New Roman" w:cs="Times New Roman" w:eastAsia="Times New Roman" w:hAnsi="Times New Roman"/>
                <w:sz w:val="15"/>
                <w:szCs w:val="15"/>
                <w:b w:val="1"/>
                <w:bCs w:val="1"/>
                <w:color w:val="1E1E1E"/>
              </w:rPr>
              <w:t>Net sales to external customers</w:t>
            </w:r>
            <w:r>
              <w:rPr>
                <w:rFonts w:ascii="Times New Roman" w:cs="Times New Roman" w:eastAsia="Times New Roman" w:hAnsi="Times New Roman"/>
                <w:sz w:val="20"/>
                <w:szCs w:val="20"/>
                <w:b w:val="1"/>
                <w:bCs w:val="1"/>
                <w:color w:val="1E1E1E"/>
                <w:vertAlign w:val="superscript"/>
              </w:rPr>
              <w:t>(1)</w:t>
            </w:r>
          </w:p>
        </w:tc>
        <w:tc>
          <w:tcPr>
            <w:tcW w:w="12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1E1E1E"/>
                <w:w w:val="88"/>
                <w:shd w:val="clear" w:color="auto" w:fill="E4E4E4"/>
              </w:rPr>
              <w:t>$</w:t>
            </w:r>
          </w:p>
        </w:tc>
        <w:tc>
          <w:tcPr>
            <w:tcW w:w="112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1E1E1E"/>
              </w:rPr>
              <w:t>1,494,649</w:t>
            </w:r>
          </w:p>
        </w:tc>
        <w:tc>
          <w:tcPr>
            <w:tcW w:w="10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1E1E1E"/>
                <w:w w:val="88"/>
                <w:shd w:val="clear" w:color="auto" w:fill="E4E4E4"/>
              </w:rPr>
              <w:t>$</w:t>
            </w:r>
          </w:p>
        </w:tc>
        <w:tc>
          <w:tcPr>
            <w:tcW w:w="1040" w:type="dxa"/>
            <w:vAlign w:val="bottom"/>
            <w:tcBorders>
              <w:top w:val="single" w:sz="8" w:color="E4E4E4"/>
            </w:tcBorders>
            <w:shd w:val="clear" w:color="auto" w:fill="E4E4E4"/>
          </w:tcPr>
          <w:p>
            <w:pPr>
              <w:ind w:left="440"/>
              <w:spacing w:after="0" w:line="181" w:lineRule="exact"/>
              <w:rPr>
                <w:sz w:val="20"/>
                <w:szCs w:val="20"/>
                <w:color w:val="auto"/>
              </w:rPr>
            </w:pPr>
            <w:r>
              <w:rPr>
                <w:rFonts w:ascii="Times New Roman" w:cs="Times New Roman" w:eastAsia="Times New Roman" w:hAnsi="Times New Roman"/>
                <w:sz w:val="18"/>
                <w:szCs w:val="18"/>
                <w:b w:val="1"/>
                <w:bCs w:val="1"/>
                <w:color w:val="1E1E1E"/>
                <w:w w:val="99"/>
              </w:rPr>
              <w:t>500,022</w:t>
            </w:r>
          </w:p>
        </w:tc>
        <w:tc>
          <w:tcPr>
            <w:tcW w:w="10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spacing w:after="0" w:line="181" w:lineRule="exact"/>
              <w:rPr>
                <w:sz w:val="20"/>
                <w:szCs w:val="20"/>
                <w:color w:val="auto"/>
              </w:rPr>
            </w:pPr>
            <w:r>
              <w:rPr>
                <w:rFonts w:ascii="Times New Roman" w:cs="Times New Roman" w:eastAsia="Times New Roman" w:hAnsi="Times New Roman"/>
                <w:sz w:val="18"/>
                <w:szCs w:val="18"/>
                <w:b w:val="1"/>
                <w:bCs w:val="1"/>
                <w:color w:val="1E1E1E"/>
                <w:w w:val="88"/>
                <w:shd w:val="clear" w:color="auto" w:fill="E4E4E4"/>
              </w:rPr>
              <w:t>$</w:t>
            </w:r>
          </w:p>
        </w:tc>
        <w:tc>
          <w:tcPr>
            <w:tcW w:w="112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1E1E1E"/>
              </w:rPr>
              <w:t>320,199</w:t>
            </w:r>
          </w:p>
        </w:tc>
        <w:tc>
          <w:tcPr>
            <w:tcW w:w="120" w:type="dxa"/>
            <w:vAlign w:val="bottom"/>
            <w:tcBorders>
              <w:top w:val="single" w:sz="8" w:color="E4E4E4"/>
            </w:tcBorders>
            <w:shd w:val="clear" w:color="auto" w:fill="E4E4E4"/>
          </w:tcPr>
          <w:p>
            <w:pPr>
              <w:spacing w:after="0"/>
              <w:rPr>
                <w:sz w:val="15"/>
                <w:szCs w:val="15"/>
                <w:color w:val="auto"/>
              </w:rPr>
            </w:pPr>
          </w:p>
        </w:tc>
        <w:tc>
          <w:tcPr>
            <w:tcW w:w="8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1E1E1E"/>
                <w:w w:val="70"/>
                <w:shd w:val="clear" w:color="auto" w:fill="E4E4E4"/>
              </w:rPr>
              <w:t>$</w:t>
            </w:r>
          </w:p>
        </w:tc>
        <w:tc>
          <w:tcPr>
            <w:tcW w:w="106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1E1E1E"/>
              </w:rPr>
              <w:t>121,226</w:t>
            </w:r>
          </w:p>
        </w:tc>
        <w:tc>
          <w:tcPr>
            <w:tcW w:w="8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1E1E1E"/>
                <w:w w:val="70"/>
                <w:shd w:val="clear" w:color="auto" w:fill="E4E4E4"/>
              </w:rPr>
              <w:t>$</w:t>
            </w:r>
          </w:p>
        </w:tc>
        <w:tc>
          <w:tcPr>
            <w:tcW w:w="94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b w:val="1"/>
                <w:bCs w:val="1"/>
                <w:color w:val="1E1E1E"/>
              </w:rPr>
              <w:t>2,436,096</w:t>
            </w:r>
          </w:p>
        </w:tc>
        <w:tc>
          <w:tcPr>
            <w:tcW w:w="140" w:type="dxa"/>
            <w:vAlign w:val="bottom"/>
            <w:tcBorders>
              <w:top w:val="single" w:sz="8" w:color="E4E4E4"/>
            </w:tcBorders>
            <w:shd w:val="clear" w:color="auto" w:fill="E4E4E4"/>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1E1E1E"/>
              </w:rPr>
              <w:t>Cost of sales</w:t>
            </w:r>
          </w:p>
        </w:tc>
        <w:tc>
          <w:tcPr>
            <w:tcW w:w="120" w:type="dxa"/>
            <w:vAlign w:val="bottom"/>
            <w:tcBorders>
              <w:bottom w:val="single" w:sz="8" w:color="E4E4E4"/>
            </w:tcBorders>
          </w:tcPr>
          <w:p>
            <w:pPr>
              <w:spacing w:after="0"/>
              <w:rPr>
                <w:sz w:val="19"/>
                <w:szCs w:val="19"/>
                <w:color w:val="auto"/>
              </w:rPr>
            </w:pPr>
          </w:p>
        </w:tc>
        <w:tc>
          <w:tcPr>
            <w:tcW w:w="11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764,615</w:t>
            </w: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40" w:type="dxa"/>
            <w:vAlign w:val="bottom"/>
            <w:tcBorders>
              <w:bottom w:val="single" w:sz="8" w:color="E4E4E4"/>
            </w:tcBorders>
          </w:tcPr>
          <w:p>
            <w:pPr>
              <w:ind w:left="440"/>
              <w:spacing w:after="0"/>
              <w:rPr>
                <w:sz w:val="20"/>
                <w:szCs w:val="20"/>
                <w:color w:val="auto"/>
              </w:rPr>
            </w:pPr>
            <w:r>
              <w:rPr>
                <w:rFonts w:ascii="Times New Roman" w:cs="Times New Roman" w:eastAsia="Times New Roman" w:hAnsi="Times New Roman"/>
                <w:sz w:val="18"/>
                <w:szCs w:val="18"/>
                <w:b w:val="1"/>
                <w:bCs w:val="1"/>
                <w:color w:val="1E1E1E"/>
                <w:w w:val="99"/>
              </w:rPr>
              <w:t>304,544</w:t>
            </w: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1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148,727</w:t>
            </w:r>
          </w:p>
        </w:tc>
        <w:tc>
          <w:tcPr>
            <w:tcW w:w="12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0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91,360</w:t>
            </w:r>
          </w:p>
        </w:tc>
        <w:tc>
          <w:tcPr>
            <w:tcW w:w="8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940" w:type="dxa"/>
            <w:vAlign w:val="bottom"/>
            <w:tcBorders>
              <w:bottom w:val="single" w:sz="8" w:color="E4E4E4"/>
            </w:tcBorders>
          </w:tcPr>
          <w:p>
            <w:pPr>
              <w:spacing w:after="0"/>
              <w:rPr>
                <w:sz w:val="19"/>
                <w:szCs w:val="19"/>
                <w:color w:val="auto"/>
              </w:rPr>
            </w:pPr>
          </w:p>
        </w:tc>
        <w:tc>
          <w:tcPr>
            <w:tcW w:w="140" w:type="dxa"/>
            <w:vAlign w:val="bottom"/>
            <w:tcBorders>
              <w:bottom w:val="single" w:sz="8" w:color="E4E4E4"/>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920" w:type="dxa"/>
            <w:vAlign w:val="bottom"/>
            <w:tcBorders>
              <w:bottom w:val="single" w:sz="8" w:color="1E1E1E"/>
            </w:tcBorders>
            <w:shd w:val="clear" w:color="auto" w:fill="E4E4E4"/>
          </w:tcPr>
          <w:p>
            <w:pPr>
              <w:spacing w:after="0" w:line="206" w:lineRule="exact"/>
              <w:rPr>
                <w:sz w:val="20"/>
                <w:szCs w:val="20"/>
                <w:color w:val="auto"/>
              </w:rPr>
            </w:pPr>
            <w:r>
              <w:rPr>
                <w:rFonts w:ascii="Times New Roman" w:cs="Times New Roman" w:eastAsia="Times New Roman" w:hAnsi="Times New Roman"/>
                <w:sz w:val="18"/>
                <w:szCs w:val="18"/>
                <w:color w:val="1E1E1E"/>
              </w:rPr>
              <w:t>Selling and administrative expenses</w:t>
            </w:r>
          </w:p>
        </w:tc>
        <w:tc>
          <w:tcPr>
            <w:tcW w:w="120" w:type="dxa"/>
            <w:vAlign w:val="bottom"/>
            <w:tcBorders>
              <w:bottom w:val="single" w:sz="8" w:color="1E1E1E"/>
            </w:tcBorders>
            <w:shd w:val="clear" w:color="auto" w:fill="E4E4E4"/>
          </w:tcPr>
          <w:p>
            <w:pPr>
              <w:spacing w:after="0"/>
              <w:rPr>
                <w:sz w:val="17"/>
                <w:szCs w:val="17"/>
                <w:color w:val="auto"/>
              </w:rPr>
            </w:pPr>
          </w:p>
        </w:tc>
        <w:tc>
          <w:tcPr>
            <w:tcW w:w="1120" w:type="dxa"/>
            <w:vAlign w:val="bottom"/>
            <w:tcBorders>
              <w:bottom w:val="single" w:sz="8" w:color="1E1E1E"/>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1E1E1E"/>
              </w:rPr>
              <w:t>669,544</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40" w:type="dxa"/>
            <w:vAlign w:val="bottom"/>
            <w:tcBorders>
              <w:bottom w:val="single" w:sz="8" w:color="1E1E1E"/>
            </w:tcBorders>
            <w:shd w:val="clear" w:color="auto" w:fill="E4E4E4"/>
          </w:tcPr>
          <w:p>
            <w:pPr>
              <w:ind w:left="440"/>
              <w:spacing w:after="0" w:line="206" w:lineRule="exact"/>
              <w:rPr>
                <w:sz w:val="20"/>
                <w:szCs w:val="20"/>
                <w:color w:val="auto"/>
              </w:rPr>
            </w:pPr>
            <w:r>
              <w:rPr>
                <w:rFonts w:ascii="Times New Roman" w:cs="Times New Roman" w:eastAsia="Times New Roman" w:hAnsi="Times New Roman"/>
                <w:sz w:val="18"/>
                <w:szCs w:val="18"/>
                <w:b w:val="1"/>
                <w:bCs w:val="1"/>
                <w:color w:val="1E1E1E"/>
                <w:w w:val="99"/>
              </w:rPr>
              <w:t>200,023</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120" w:type="dxa"/>
            <w:vAlign w:val="bottom"/>
            <w:tcBorders>
              <w:bottom w:val="single" w:sz="8" w:color="1E1E1E"/>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1E1E1E"/>
              </w:rPr>
              <w:t>166,884</w:t>
            </w:r>
          </w:p>
        </w:tc>
        <w:tc>
          <w:tcPr>
            <w:tcW w:w="12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060" w:type="dxa"/>
            <w:vAlign w:val="bottom"/>
            <w:tcBorders>
              <w:bottom w:val="single" w:sz="8" w:color="1E1E1E"/>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1E1E1E"/>
              </w:rPr>
              <w:t>29,932</w:t>
            </w:r>
          </w:p>
        </w:tc>
        <w:tc>
          <w:tcPr>
            <w:tcW w:w="8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40" w:type="dxa"/>
            <w:vAlign w:val="bottom"/>
            <w:tcBorders>
              <w:bottom w:val="single" w:sz="8" w:color="1E1E1E"/>
            </w:tcBorders>
            <w:shd w:val="clear" w:color="auto" w:fill="E4E4E4"/>
          </w:tcPr>
          <w:p>
            <w:pPr>
              <w:spacing w:after="0"/>
              <w:rPr>
                <w:sz w:val="17"/>
                <w:szCs w:val="17"/>
                <w:color w:val="auto"/>
              </w:rPr>
            </w:pPr>
          </w:p>
        </w:tc>
        <w:tc>
          <w:tcPr>
            <w:tcW w:w="140" w:type="dxa"/>
            <w:vAlign w:val="bottom"/>
            <w:tcBorders>
              <w:bottom w:val="single" w:sz="8" w:color="1E1E1E"/>
            </w:tcBorders>
            <w:shd w:val="clear" w:color="auto" w:fill="E4E4E4"/>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39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Segment operating income (loss)</w:t>
            </w: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w w:val="88"/>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60,490</w:t>
            </w:r>
          </w:p>
        </w:tc>
        <w:tc>
          <w:tcPr>
            <w:tcW w:w="2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1E1E1E"/>
              </w:rPr>
              <w:t>$</w:t>
            </w:r>
          </w:p>
        </w:tc>
        <w:tc>
          <w:tcPr>
            <w:tcW w:w="1140" w:type="dxa"/>
            <w:vAlign w:val="bottom"/>
            <w:tcBorders>
              <w:bottom w:val="single" w:sz="8" w:color="1E1E1E"/>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1E1E1E"/>
              </w:rPr>
              <w:t>(4,545)</w:t>
            </w:r>
          </w:p>
        </w:tc>
        <w:tc>
          <w:tcPr>
            <w:tcW w:w="1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b w:val="1"/>
                <w:bCs w:val="1"/>
                <w:color w:val="1E1E1E"/>
                <w:w w:val="88"/>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4,588</w:t>
            </w:r>
          </w:p>
        </w:tc>
        <w:tc>
          <w:tcPr>
            <w:tcW w:w="2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1E1E1E"/>
              </w:rPr>
              <w:t>$</w:t>
            </w:r>
          </w:p>
        </w:tc>
        <w:tc>
          <w:tcPr>
            <w:tcW w:w="114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1E1E1E"/>
              </w:rPr>
              <w:t>(66)</w:t>
            </w:r>
          </w:p>
        </w:tc>
        <w:tc>
          <w:tcPr>
            <w:tcW w:w="100" w:type="dxa"/>
            <w:vAlign w:val="bottom"/>
            <w:tcBorders>
              <w:bottom w:val="single" w:sz="8" w:color="1E1E1E"/>
            </w:tcBorders>
          </w:tcPr>
          <w:p>
            <w:pPr>
              <w:ind w:left="20"/>
              <w:spacing w:after="0"/>
              <w:rPr>
                <w:sz w:val="20"/>
                <w:szCs w:val="20"/>
                <w:color w:val="auto"/>
              </w:rPr>
            </w:pPr>
            <w:r>
              <w:rPr>
                <w:rFonts w:ascii="Times New Roman" w:cs="Times New Roman" w:eastAsia="Times New Roman" w:hAnsi="Times New Roman"/>
                <w:sz w:val="17"/>
                <w:szCs w:val="17"/>
                <w:b w:val="1"/>
                <w:bCs w:val="1"/>
                <w:color w:val="1E1E1E"/>
                <w:w w:val="70"/>
              </w:rPr>
              <w:t>$</w:t>
            </w: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60,467</w:t>
            </w:r>
          </w:p>
        </w:tc>
        <w:tc>
          <w:tcPr>
            <w:tcW w:w="140" w:type="dxa"/>
            <w:vAlign w:val="bottom"/>
            <w:tcBorders>
              <w:bottom w:val="single" w:sz="8" w:color="1E1E1E"/>
            </w:tcBorders>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92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color w:val="1E1E1E"/>
              </w:rPr>
              <w:t>Unallocated selling and administrative expenses</w:t>
            </w:r>
          </w:p>
        </w:tc>
        <w:tc>
          <w:tcPr>
            <w:tcW w:w="120" w:type="dxa"/>
            <w:vAlign w:val="bottom"/>
            <w:tcBorders>
              <w:top w:val="single" w:sz="8" w:color="E4E4E4"/>
            </w:tcBorders>
            <w:shd w:val="clear" w:color="auto" w:fill="E4E4E4"/>
          </w:tcPr>
          <w:p>
            <w:pPr>
              <w:spacing w:after="0"/>
              <w:rPr>
                <w:sz w:val="16"/>
                <w:szCs w:val="16"/>
                <w:color w:val="auto"/>
              </w:rPr>
            </w:pPr>
          </w:p>
        </w:tc>
        <w:tc>
          <w:tcPr>
            <w:tcW w:w="112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4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12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06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94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35,085</w:t>
            </w:r>
          </w:p>
        </w:tc>
        <w:tc>
          <w:tcPr>
            <w:tcW w:w="140" w:type="dxa"/>
            <w:vAlign w:val="bottom"/>
            <w:tcBorders>
              <w:top w:val="single" w:sz="8" w:color="E4E4E4"/>
            </w:tcBorders>
            <w:shd w:val="clear" w:color="auto" w:fill="E4E4E4"/>
          </w:tcPr>
          <w:p>
            <w:pPr>
              <w:spacing w:after="0"/>
              <w:rPr>
                <w:sz w:val="16"/>
                <w:szCs w:val="16"/>
                <w:color w:val="auto"/>
              </w:rPr>
            </w:pPr>
          </w:p>
        </w:tc>
      </w:tr>
      <w:tr>
        <w:trPr>
          <w:trHeight w:val="246"/>
        </w:trPr>
        <w:tc>
          <w:tcPr>
            <w:tcW w:w="20" w:type="dxa"/>
            <w:vAlign w:val="bottom"/>
          </w:tcPr>
          <w:p>
            <w:pPr>
              <w:spacing w:after="0"/>
              <w:rPr>
                <w:sz w:val="20"/>
                <w:szCs w:val="20"/>
                <w:color w:val="auto"/>
              </w:rPr>
            </w:pPr>
          </w:p>
        </w:tc>
        <w:tc>
          <w:tcPr>
            <w:tcW w:w="3920" w:type="dxa"/>
            <w:vAlign w:val="bottom"/>
            <w:tcBorders>
              <w:bottom w:val="single" w:sz="8" w:color="1E1E1E"/>
            </w:tcBorders>
          </w:tcPr>
          <w:p>
            <w:pPr>
              <w:spacing w:after="0" w:line="221" w:lineRule="exact"/>
              <w:rPr>
                <w:sz w:val="20"/>
                <w:szCs w:val="20"/>
                <w:color w:val="auto"/>
              </w:rPr>
            </w:pPr>
            <w:r>
              <w:rPr>
                <w:rFonts w:ascii="Times New Roman" w:cs="Times New Roman" w:eastAsia="Times New Roman" w:hAnsi="Times New Roman"/>
                <w:sz w:val="18"/>
                <w:szCs w:val="18"/>
                <w:color w:val="1E1E1E"/>
              </w:rPr>
              <w:t>Asset impairments and other</w:t>
            </w:r>
            <w:r>
              <w:rPr>
                <w:rFonts w:ascii="Times New Roman" w:cs="Times New Roman" w:eastAsia="Times New Roman" w:hAnsi="Times New Roman"/>
                <w:sz w:val="24"/>
                <w:szCs w:val="24"/>
                <w:color w:val="1E1E1E"/>
                <w:vertAlign w:val="superscript"/>
              </w:rPr>
              <w:t>(2)</w:t>
            </w:r>
          </w:p>
        </w:tc>
        <w:tc>
          <w:tcPr>
            <w:tcW w:w="12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80" w:type="dxa"/>
            <w:vAlign w:val="bottom"/>
            <w:tcBorders>
              <w:bottom w:val="single" w:sz="8" w:color="1E1E1E"/>
            </w:tcBorders>
          </w:tcPr>
          <w:p>
            <w:pPr>
              <w:spacing w:after="0"/>
              <w:rPr>
                <w:sz w:val="20"/>
                <w:szCs w:val="20"/>
                <w:color w:val="auto"/>
              </w:rPr>
            </w:pPr>
          </w:p>
        </w:tc>
        <w:tc>
          <w:tcPr>
            <w:tcW w:w="1060" w:type="dxa"/>
            <w:vAlign w:val="bottom"/>
            <w:tcBorders>
              <w:bottom w:val="single" w:sz="8" w:color="1E1E1E"/>
            </w:tcBorders>
          </w:tcPr>
          <w:p>
            <w:pPr>
              <w:spacing w:after="0"/>
              <w:rPr>
                <w:sz w:val="20"/>
                <w:szCs w:val="20"/>
                <w:color w:val="auto"/>
              </w:rPr>
            </w:pPr>
          </w:p>
        </w:tc>
        <w:tc>
          <w:tcPr>
            <w:tcW w:w="8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8,068</w:t>
            </w:r>
          </w:p>
        </w:tc>
        <w:tc>
          <w:tcPr>
            <w:tcW w:w="140" w:type="dxa"/>
            <w:vAlign w:val="bottom"/>
            <w:tcBorders>
              <w:bottom w:val="single" w:sz="8" w:color="1E1E1E"/>
            </w:tcBorders>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92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b w:val="1"/>
                <w:bCs w:val="1"/>
                <w:color w:val="1E1E1E"/>
              </w:rPr>
              <w:t>Operating income</w:t>
            </w:r>
          </w:p>
        </w:tc>
        <w:tc>
          <w:tcPr>
            <w:tcW w:w="120" w:type="dxa"/>
            <w:vAlign w:val="bottom"/>
            <w:tcBorders>
              <w:top w:val="single" w:sz="8" w:color="E4E4E4"/>
            </w:tcBorders>
            <w:shd w:val="clear" w:color="auto" w:fill="E4E4E4"/>
          </w:tcPr>
          <w:p>
            <w:pPr>
              <w:spacing w:after="0"/>
              <w:rPr>
                <w:sz w:val="16"/>
                <w:szCs w:val="16"/>
                <w:color w:val="auto"/>
              </w:rPr>
            </w:pPr>
          </w:p>
        </w:tc>
        <w:tc>
          <w:tcPr>
            <w:tcW w:w="112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4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12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06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94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17,314</w:t>
            </w:r>
          </w:p>
        </w:tc>
        <w:tc>
          <w:tcPr>
            <w:tcW w:w="140" w:type="dxa"/>
            <w:vAlign w:val="bottom"/>
            <w:tcBorders>
              <w:top w:val="single" w:sz="8" w:color="E4E4E4"/>
            </w:tcBorders>
            <w:shd w:val="clear" w:color="auto" w:fill="E4E4E4"/>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39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1E1E1E"/>
              </w:rPr>
              <w:t>Other components of net periodic benefit cost</w:t>
            </w:r>
          </w:p>
        </w:tc>
        <w:tc>
          <w:tcPr>
            <w:tcW w:w="120" w:type="dxa"/>
            <w:vAlign w:val="bottom"/>
            <w:tcBorders>
              <w:bottom w:val="single" w:sz="8" w:color="E4E4E4"/>
            </w:tcBorders>
          </w:tcPr>
          <w:p>
            <w:pPr>
              <w:spacing w:after="0"/>
              <w:rPr>
                <w:sz w:val="19"/>
                <w:szCs w:val="19"/>
                <w:color w:val="auto"/>
              </w:rPr>
            </w:pPr>
          </w:p>
        </w:tc>
        <w:tc>
          <w:tcPr>
            <w:tcW w:w="112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4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120" w:type="dxa"/>
            <w:vAlign w:val="bottom"/>
            <w:tcBorders>
              <w:bottom w:val="single" w:sz="8" w:color="E4E4E4"/>
            </w:tcBorders>
          </w:tcPr>
          <w:p>
            <w:pPr>
              <w:spacing w:after="0"/>
              <w:rPr>
                <w:sz w:val="19"/>
                <w:szCs w:val="19"/>
                <w:color w:val="auto"/>
              </w:rPr>
            </w:pPr>
          </w:p>
        </w:tc>
        <w:tc>
          <w:tcPr>
            <w:tcW w:w="12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06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9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625</w:t>
            </w:r>
          </w:p>
        </w:tc>
        <w:tc>
          <w:tcPr>
            <w:tcW w:w="140" w:type="dxa"/>
            <w:vAlign w:val="bottom"/>
            <w:tcBorders>
              <w:bottom w:val="single" w:sz="8" w:color="E4E4E4"/>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920" w:type="dxa"/>
            <w:vAlign w:val="bottom"/>
            <w:tcBorders>
              <w:bottom w:val="single" w:sz="8" w:color="1E1E1E"/>
            </w:tcBorders>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Interest expense, net</w:t>
            </w:r>
          </w:p>
        </w:tc>
        <w:tc>
          <w:tcPr>
            <w:tcW w:w="120" w:type="dxa"/>
            <w:vAlign w:val="bottom"/>
            <w:tcBorders>
              <w:bottom w:val="single" w:sz="8" w:color="1E1E1E"/>
            </w:tcBorders>
            <w:shd w:val="clear" w:color="auto" w:fill="E4E4E4"/>
          </w:tcPr>
          <w:p>
            <w:pPr>
              <w:spacing w:after="0"/>
              <w:rPr>
                <w:sz w:val="17"/>
                <w:szCs w:val="17"/>
                <w:color w:val="auto"/>
              </w:rPr>
            </w:pPr>
          </w:p>
        </w:tc>
        <w:tc>
          <w:tcPr>
            <w:tcW w:w="112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4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120" w:type="dxa"/>
            <w:vAlign w:val="bottom"/>
            <w:tcBorders>
              <w:bottom w:val="single" w:sz="8" w:color="1E1E1E"/>
            </w:tcBorders>
            <w:shd w:val="clear" w:color="auto" w:fill="E4E4E4"/>
          </w:tcPr>
          <w:p>
            <w:pPr>
              <w:spacing w:after="0"/>
              <w:rPr>
                <w:sz w:val="17"/>
                <w:szCs w:val="17"/>
                <w:color w:val="auto"/>
              </w:rPr>
            </w:pPr>
          </w:p>
        </w:tc>
        <w:tc>
          <w:tcPr>
            <w:tcW w:w="12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06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4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4,098</w:t>
            </w:r>
          </w:p>
        </w:tc>
        <w:tc>
          <w:tcPr>
            <w:tcW w:w="140" w:type="dxa"/>
            <w:vAlign w:val="bottom"/>
            <w:tcBorders>
              <w:bottom w:val="single" w:sz="8" w:color="1E1E1E"/>
            </w:tcBorders>
            <w:shd w:val="clear" w:color="auto" w:fill="E4E4E4"/>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392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1E1E1E"/>
              </w:rPr>
              <w:t>Earnings from continuing operations before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6"/>
        </w:trPr>
        <w:tc>
          <w:tcPr>
            <w:tcW w:w="20" w:type="dxa"/>
            <w:vAlign w:val="bottom"/>
            <w:tcBorders>
              <w:bottom w:val="single" w:sz="8" w:color="1E1E1E"/>
            </w:tcBorders>
          </w:tcPr>
          <w:p>
            <w:pPr>
              <w:spacing w:after="0"/>
              <w:rPr>
                <w:sz w:val="20"/>
                <w:szCs w:val="20"/>
                <w:color w:val="auto"/>
              </w:rPr>
            </w:pPr>
          </w:p>
        </w:tc>
        <w:tc>
          <w:tcPr>
            <w:tcW w:w="392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b w:val="1"/>
                <w:bCs w:val="1"/>
                <w:color w:val="1E1E1E"/>
              </w:rPr>
              <w:t>income taxes</w:t>
            </w:r>
          </w:p>
        </w:tc>
        <w:tc>
          <w:tcPr>
            <w:tcW w:w="12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80" w:type="dxa"/>
            <w:vAlign w:val="bottom"/>
            <w:tcBorders>
              <w:bottom w:val="single" w:sz="8" w:color="1E1E1E"/>
            </w:tcBorders>
          </w:tcPr>
          <w:p>
            <w:pPr>
              <w:spacing w:after="0"/>
              <w:rPr>
                <w:sz w:val="20"/>
                <w:szCs w:val="20"/>
                <w:color w:val="auto"/>
              </w:rPr>
            </w:pPr>
          </w:p>
        </w:tc>
        <w:tc>
          <w:tcPr>
            <w:tcW w:w="1060" w:type="dxa"/>
            <w:vAlign w:val="bottom"/>
            <w:tcBorders>
              <w:bottom w:val="single" w:sz="8" w:color="1E1E1E"/>
            </w:tcBorders>
          </w:tcPr>
          <w:p>
            <w:pPr>
              <w:spacing w:after="0"/>
              <w:rPr>
                <w:sz w:val="20"/>
                <w:szCs w:val="20"/>
                <w:color w:val="auto"/>
              </w:rPr>
            </w:pPr>
          </w:p>
        </w:tc>
        <w:tc>
          <w:tcPr>
            <w:tcW w:w="8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ind w:left="20"/>
              <w:spacing w:after="0"/>
              <w:rPr>
                <w:sz w:val="20"/>
                <w:szCs w:val="20"/>
                <w:color w:val="auto"/>
              </w:rPr>
            </w:pPr>
            <w:r>
              <w:rPr>
                <w:rFonts w:ascii="Times New Roman" w:cs="Times New Roman" w:eastAsia="Times New Roman" w:hAnsi="Times New Roman"/>
                <w:sz w:val="17"/>
                <w:szCs w:val="17"/>
                <w:b w:val="1"/>
                <w:bCs w:val="1"/>
                <w:color w:val="1E1E1E"/>
                <w:w w:val="70"/>
              </w:rPr>
              <w:t>$</w:t>
            </w: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12,591</w:t>
            </w:r>
          </w:p>
        </w:tc>
        <w:tc>
          <w:tcPr>
            <w:tcW w:w="140" w:type="dxa"/>
            <w:vAlign w:val="bottom"/>
            <w:tcBorders>
              <w:bottom w:val="single" w:sz="8" w:color="1E1E1E"/>
            </w:tcBorders>
          </w:tcPr>
          <w:p>
            <w:pPr>
              <w:spacing w:after="0"/>
              <w:rPr>
                <w:sz w:val="20"/>
                <w:szCs w:val="20"/>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392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-297180</wp:posOffset>
                </wp:positionV>
                <wp:extent cx="651065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3.3999pt" to="513.3pt,-23.3999pt" o:allowincell="f" strokecolor="#FFFFFF" strokeweight="0.72pt"/>
            </w:pict>
          </mc:Fallback>
        </mc:AlternateContent>
      </w:r>
    </w:p>
    <w:p>
      <w:pPr>
        <w:spacing w:after="0" w:line="232" w:lineRule="exact"/>
        <w:rPr>
          <w:sz w:val="20"/>
          <w:szCs w:val="20"/>
          <w:color w:val="auto"/>
        </w:rPr>
      </w:pPr>
    </w:p>
    <w:p>
      <w:pPr>
        <w:ind w:left="380" w:right="20" w:hanging="366"/>
        <w:spacing w:after="0" w:line="253" w:lineRule="auto"/>
        <w:tabs>
          <w:tab w:leader="none" w:pos="358" w:val="left"/>
        </w:tabs>
        <w:numPr>
          <w:ilvl w:val="0"/>
          <w:numId w:val="23"/>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Net sales in North America and in the United Kingdom, which includes the Republic of Ireland, accounted for 79% and 21%, respectively, of our net sales for Fiscal 2026.</w:t>
      </w:r>
    </w:p>
    <w:p>
      <w:pPr>
        <w:spacing w:after="0" w:line="1" w:lineRule="exact"/>
        <w:rPr>
          <w:rFonts w:ascii="Times New Roman" w:cs="Times New Roman" w:eastAsia="Times New Roman" w:hAnsi="Times New Roman"/>
          <w:sz w:val="24"/>
          <w:szCs w:val="24"/>
          <w:color w:val="1E1E1E"/>
          <w:vertAlign w:val="superscript"/>
        </w:rPr>
      </w:pPr>
    </w:p>
    <w:p>
      <w:pPr>
        <w:ind w:left="380" w:right="20" w:hanging="366"/>
        <w:spacing w:after="0" w:line="275" w:lineRule="auto"/>
        <w:tabs>
          <w:tab w:leader="none" w:pos="272" w:val="left"/>
        </w:tabs>
        <w:numPr>
          <w:ilvl w:val="0"/>
          <w:numId w:val="23"/>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Asset impairments and other includes a $3.9 million charge for store restructuring, including $3.6 million in Journeys Group and $0.3 million in Schuh Group, $2.9 million for costs associated with information technology transformation, $0.7 million charge for asset impairments in Schuh Group and $0.6 million for severance.</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82</w:t>
      </w:r>
    </w:p>
    <w:p>
      <w:pPr>
        <w:sectPr>
          <w:pgSz w:w="12240" w:h="15840" w:orient="portrait"/>
          <w:cols w:equalWidth="0" w:num="1">
            <w:col w:w="10280"/>
          </w:cols>
          <w:pgMar w:left="980" w:top="1156" w:right="980" w:bottom="178"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16</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Business Segment Information, Continued</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Fiscal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26035</wp:posOffset>
                </wp:positionV>
                <wp:extent cx="445325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3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05pt" to="351.3pt,2.0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4473575</wp:posOffset>
                </wp:positionH>
                <wp:positionV relativeFrom="paragraph">
                  <wp:posOffset>26035</wp:posOffset>
                </wp:positionV>
                <wp:extent cx="65532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32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25pt,2.05pt" to="403.85pt,2.0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5787390</wp:posOffset>
                </wp:positionH>
                <wp:positionV relativeFrom="paragraph">
                  <wp:posOffset>19685</wp:posOffset>
                </wp:positionV>
                <wp:extent cx="27305" cy="1270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FFFFFF"/>
                        </a:solidFill>
                      </wps:spPr>
                      <wps:bodyPr/>
                    </wps:wsp>
                  </a:graphicData>
                </a:graphic>
              </wp:anchor>
            </w:drawing>
          </mc:Choice>
          <mc:Fallback>
            <w:pict>
              <v:rect id="Shape 100" o:spid="_x0000_s1125" style="position:absolute;margin-left:455.7pt;margin-top:1.55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200" w:type="dxa"/>
            <w:vAlign w:val="bottom"/>
            <w:tcBorders>
              <w:top w:val="single" w:sz="8" w:color="1E1E1E"/>
            </w:tcBorders>
          </w:tcPr>
          <w:p>
            <w:pPr>
              <w:spacing w:after="0"/>
              <w:rPr>
                <w:sz w:val="3"/>
                <w:szCs w:val="3"/>
                <w:color w:val="auto"/>
              </w:rPr>
            </w:pPr>
          </w:p>
        </w:tc>
        <w:tc>
          <w:tcPr>
            <w:tcW w:w="110" w:type="dxa"/>
            <w:vAlign w:val="bottom"/>
            <w:tcBorders>
              <w:top w:val="single" w:sz="8" w:color="1E1E1E"/>
            </w:tcBorders>
          </w:tcPr>
          <w:p>
            <w:pPr>
              <w:spacing w:after="0"/>
              <w:rPr>
                <w:sz w:val="3"/>
                <w:szCs w:val="3"/>
                <w:color w:val="auto"/>
              </w:rPr>
            </w:pPr>
          </w:p>
        </w:tc>
        <w:tc>
          <w:tcPr>
            <w:tcW w:w="790" w:type="dxa"/>
            <w:vAlign w:val="bottom"/>
            <w:tcBorders>
              <w:top w:val="single" w:sz="8" w:color="1E1E1E"/>
            </w:tcBorders>
          </w:tcPr>
          <w:p>
            <w:pPr>
              <w:spacing w:after="0"/>
              <w:rPr>
                <w:sz w:val="3"/>
                <w:szCs w:val="3"/>
                <w:color w:val="auto"/>
              </w:rPr>
            </w:pPr>
          </w:p>
        </w:tc>
        <w:tc>
          <w:tcPr>
            <w:tcW w:w="100" w:type="dxa"/>
            <w:vAlign w:val="bottom"/>
            <w:tcBorders>
              <w:top w:val="single" w:sz="8" w:color="1E1E1E"/>
            </w:tcBorders>
          </w:tcPr>
          <w:p>
            <w:pPr>
              <w:spacing w:after="0"/>
              <w:rPr>
                <w:sz w:val="3"/>
                <w:szCs w:val="3"/>
                <w:color w:val="auto"/>
              </w:rPr>
            </w:pPr>
          </w:p>
        </w:tc>
        <w:tc>
          <w:tcPr>
            <w:tcW w:w="90" w:type="dxa"/>
            <w:vAlign w:val="bottom"/>
            <w:tcBorders>
              <w:top w:val="single" w:sz="8" w:color="1E1E1E"/>
            </w:tcBorders>
          </w:tcPr>
          <w:p>
            <w:pPr>
              <w:spacing w:after="0"/>
              <w:rPr>
                <w:sz w:val="3"/>
                <w:szCs w:val="3"/>
                <w:color w:val="auto"/>
              </w:rPr>
            </w:pPr>
          </w:p>
        </w:tc>
        <w:tc>
          <w:tcPr>
            <w:tcW w:w="710" w:type="dxa"/>
            <w:vAlign w:val="bottom"/>
            <w:tcBorders>
              <w:top w:val="single" w:sz="8" w:color="1E1E1E"/>
            </w:tcBorders>
          </w:tcPr>
          <w:p>
            <w:pPr>
              <w:spacing w:after="0"/>
              <w:rPr>
                <w:sz w:val="3"/>
                <w:szCs w:val="3"/>
                <w:color w:val="auto"/>
              </w:rPr>
            </w:pPr>
          </w:p>
        </w:tc>
        <w:tc>
          <w:tcPr>
            <w:tcW w:w="100" w:type="dxa"/>
            <w:vAlign w:val="bottom"/>
            <w:tcBorders>
              <w:top w:val="single" w:sz="8" w:color="1E1E1E"/>
            </w:tcBorders>
          </w:tcPr>
          <w:p>
            <w:pPr>
              <w:spacing w:after="0"/>
              <w:rPr>
                <w:sz w:val="3"/>
                <w:szCs w:val="3"/>
                <w:color w:val="auto"/>
              </w:rPr>
            </w:pPr>
          </w:p>
        </w:tc>
        <w:tc>
          <w:tcPr>
            <w:tcW w:w="880" w:type="dxa"/>
            <w:vAlign w:val="bottom"/>
            <w:tcBorders>
              <w:top w:val="single" w:sz="8" w:color="1E1E1E"/>
            </w:tcBorders>
            <w:gridSpan w:val="2"/>
            <w:vMerge w:val="restart"/>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Johnston</w:t>
            </w:r>
          </w:p>
        </w:tc>
        <w:tc>
          <w:tcPr>
            <w:tcW w:w="100" w:type="dxa"/>
            <w:vAlign w:val="bottom"/>
            <w:tcBorders>
              <w:top w:val="single" w:sz="8" w:color="1E1E1E"/>
            </w:tcBorders>
          </w:tcPr>
          <w:p>
            <w:pPr>
              <w:spacing w:after="0"/>
              <w:rPr>
                <w:sz w:val="3"/>
                <w:szCs w:val="3"/>
                <w:color w:val="auto"/>
              </w:rPr>
            </w:pPr>
          </w:p>
        </w:tc>
        <w:tc>
          <w:tcPr>
            <w:tcW w:w="940" w:type="dxa"/>
            <w:vAlign w:val="bottom"/>
            <w:tcBorders>
              <w:top w:val="single" w:sz="8" w:color="1E1E1E"/>
              <w:right w:val="single" w:sz="8" w:color="1E1E1E"/>
            </w:tcBorders>
            <w:gridSpan w:val="3"/>
            <w:vMerge w:val="restart"/>
          </w:tcPr>
          <w:p>
            <w:pPr>
              <w:jc w:val="center"/>
              <w:ind w:right="140"/>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Genesco</w:t>
            </w:r>
          </w:p>
        </w:tc>
        <w:tc>
          <w:tcPr>
            <w:tcW w:w="1060" w:type="dxa"/>
            <w:vAlign w:val="bottom"/>
            <w:tcBorders>
              <w:top w:val="single" w:sz="8" w:color="1E1E1E"/>
              <w:right w:val="single" w:sz="8" w:color="1E1E1E"/>
            </w:tcBorders>
            <w:gridSpan w:val="3"/>
            <w:vMerge w:val="restart"/>
          </w:tcPr>
          <w:p>
            <w:pPr>
              <w:jc w:val="center"/>
              <w:ind w:right="120"/>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Reportable</w:t>
            </w:r>
          </w:p>
        </w:tc>
        <w:tc>
          <w:tcPr>
            <w:tcW w:w="80" w:type="dxa"/>
            <w:vAlign w:val="bottom"/>
            <w:tcBorders>
              <w:top w:val="single" w:sz="8" w:color="1E1E1E"/>
            </w:tcBorders>
          </w:tcPr>
          <w:p>
            <w:pPr>
              <w:spacing w:after="0"/>
              <w:rPr>
                <w:sz w:val="3"/>
                <w:szCs w:val="3"/>
                <w:color w:val="auto"/>
              </w:rPr>
            </w:pPr>
          </w:p>
        </w:tc>
        <w:tc>
          <w:tcPr>
            <w:tcW w:w="840" w:type="dxa"/>
            <w:vAlign w:val="bottom"/>
            <w:tcBorders>
              <w:top w:val="single" w:sz="8" w:color="1E1E1E"/>
            </w:tcBorders>
          </w:tcPr>
          <w:p>
            <w:pPr>
              <w:spacing w:after="0"/>
              <w:rPr>
                <w:sz w:val="3"/>
                <w:szCs w:val="3"/>
                <w:color w:val="auto"/>
              </w:rPr>
            </w:pPr>
          </w:p>
        </w:tc>
        <w:tc>
          <w:tcPr>
            <w:tcW w:w="120" w:type="dxa"/>
            <w:vAlign w:val="bottom"/>
            <w:tcBorders>
              <w:top w:val="single" w:sz="8" w:color="1E1E1E"/>
              <w:right w:val="single" w:sz="8" w:color="1E1E1E"/>
            </w:tcBorders>
          </w:tcPr>
          <w:p>
            <w:pPr>
              <w:spacing w:after="0"/>
              <w:rPr>
                <w:sz w:val="3"/>
                <w:szCs w:val="3"/>
                <w:color w:val="auto"/>
              </w:rPr>
            </w:pPr>
          </w:p>
        </w:tc>
        <w:tc>
          <w:tcPr>
            <w:tcW w:w="20" w:type="dxa"/>
            <w:vAlign w:val="bottom"/>
            <w:tcBorders>
              <w:top w:val="single" w:sz="8" w:color="1E1E1E"/>
            </w:tcBorders>
          </w:tcPr>
          <w:p>
            <w:pPr>
              <w:spacing w:after="0"/>
              <w:rPr>
                <w:sz w:val="3"/>
                <w:szCs w:val="3"/>
                <w:color w:val="auto"/>
              </w:rPr>
            </w:pPr>
          </w:p>
        </w:tc>
        <w:tc>
          <w:tcPr>
            <w:tcW w:w="90" w:type="dxa"/>
            <w:vAlign w:val="bottom"/>
            <w:tcBorders>
              <w:top w:val="single" w:sz="8" w:color="1E1E1E"/>
            </w:tcBorders>
          </w:tcPr>
          <w:p>
            <w:pPr>
              <w:spacing w:after="0"/>
              <w:rPr>
                <w:sz w:val="3"/>
                <w:szCs w:val="3"/>
                <w:color w:val="auto"/>
              </w:rPr>
            </w:pPr>
          </w:p>
        </w:tc>
        <w:tc>
          <w:tcPr>
            <w:tcW w:w="910" w:type="dxa"/>
            <w:vAlign w:val="bottom"/>
            <w:tcBorders>
              <w:top w:val="single" w:sz="8" w:color="1E1E1E"/>
            </w:tcBorders>
          </w:tcPr>
          <w:p>
            <w:pPr>
              <w:spacing w:after="0"/>
              <w:rPr>
                <w:sz w:val="3"/>
                <w:szCs w:val="3"/>
                <w:color w:val="auto"/>
              </w:rPr>
            </w:pPr>
          </w:p>
        </w:tc>
        <w:tc>
          <w:tcPr>
            <w:tcW w:w="120" w:type="dxa"/>
            <w:vAlign w:val="bottom"/>
            <w:tcBorders>
              <w:top w:val="single" w:sz="8" w:color="1E1E1E"/>
              <w:right w:val="single" w:sz="8" w:color="1E1E1E"/>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1E1E1E"/>
            </w:tcBorders>
            <w:gridSpan w:val="3"/>
            <w:vMerge w:val="continue"/>
          </w:tcPr>
          <w:p>
            <w:pPr>
              <w:spacing w:after="0"/>
              <w:rPr>
                <w:sz w:val="12"/>
                <w:szCs w:val="12"/>
                <w:color w:val="auto"/>
              </w:rPr>
            </w:pPr>
          </w:p>
        </w:tc>
        <w:tc>
          <w:tcPr>
            <w:tcW w:w="1060" w:type="dxa"/>
            <w:vAlign w:val="bottom"/>
            <w:tcBorders>
              <w:right w:val="single" w:sz="8" w:color="1E1E1E"/>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1E1E1E"/>
            </w:tcBorders>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120" w:type="dxa"/>
            <w:vAlign w:val="bottom"/>
            <w:tcBorders>
              <w:right w:val="single" w:sz="8" w:color="1E1E1E"/>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9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b w:val="1"/>
                <w:bCs w:val="1"/>
                <w:color w:val="1E1E1E"/>
              </w:rPr>
              <w:t>Journeys</w:t>
            </w:r>
          </w:p>
        </w:tc>
        <w:tc>
          <w:tcPr>
            <w:tcW w:w="10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jc w:val="right"/>
              <w:ind w:right="69"/>
              <w:spacing w:after="0"/>
              <w:rPr>
                <w:sz w:val="20"/>
                <w:szCs w:val="20"/>
                <w:color w:val="auto"/>
              </w:rPr>
            </w:pPr>
            <w:r>
              <w:rPr>
                <w:rFonts w:ascii="Times New Roman" w:cs="Times New Roman" w:eastAsia="Times New Roman" w:hAnsi="Times New Roman"/>
                <w:sz w:val="18"/>
                <w:szCs w:val="18"/>
                <w:b w:val="1"/>
                <w:bCs w:val="1"/>
                <w:color w:val="1E1E1E"/>
              </w:rPr>
              <w:t>Schuh</w:t>
            </w:r>
          </w:p>
        </w:tc>
        <w:tc>
          <w:tcPr>
            <w:tcW w:w="10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1E1E1E"/>
              </w:rPr>
              <w:t>&amp; Murphy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1E1E1E"/>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1E1E1E"/>
                <w:w w:val="99"/>
              </w:rPr>
              <w:t>Brands</w:t>
            </w:r>
          </w:p>
        </w:tc>
        <w:tc>
          <w:tcPr>
            <w:tcW w:w="90" w:type="dxa"/>
            <w:vAlign w:val="bottom"/>
          </w:tcPr>
          <w:p>
            <w:pPr>
              <w:spacing w:after="0"/>
              <w:rPr>
                <w:sz w:val="17"/>
                <w:szCs w:val="17"/>
                <w:color w:val="auto"/>
              </w:rPr>
            </w:pPr>
          </w:p>
        </w:tc>
        <w:tc>
          <w:tcPr>
            <w:tcW w:w="970" w:type="dxa"/>
            <w:vAlign w:val="bottom"/>
            <w:tcBorders>
              <w:right w:val="single" w:sz="8" w:color="1E1E1E"/>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1E1E1E"/>
                <w:w w:val="99"/>
              </w:rPr>
              <w:t>Segment</w:t>
            </w:r>
          </w:p>
        </w:tc>
        <w:tc>
          <w:tcPr>
            <w:tcW w:w="1040" w:type="dxa"/>
            <w:vAlign w:val="bottom"/>
            <w:tcBorders>
              <w:right w:val="single" w:sz="8" w:color="1E1E1E"/>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1E1E1E"/>
                <w:w w:val="99"/>
              </w:rPr>
              <w:t>Corporate</w:t>
            </w: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910" w:type="dxa"/>
            <w:vAlign w:val="bottom"/>
          </w:tcPr>
          <w:p>
            <w:pPr>
              <w:spacing w:after="0"/>
              <w:rPr>
                <w:sz w:val="17"/>
                <w:szCs w:val="17"/>
                <w:color w:val="auto"/>
              </w:rPr>
            </w:pPr>
          </w:p>
        </w:tc>
        <w:tc>
          <w:tcPr>
            <w:tcW w:w="120" w:type="dxa"/>
            <w:vAlign w:val="bottom"/>
            <w:tcBorders>
              <w:right w:val="single" w:sz="8" w:color="1E1E1E"/>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32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(In thousands)</w:t>
            </w:r>
          </w:p>
        </w:tc>
        <w:tc>
          <w:tcPr>
            <w:tcW w:w="110" w:type="dxa"/>
            <w:vAlign w:val="bottom"/>
            <w:tcBorders>
              <w:bottom w:val="single" w:sz="8" w:color="1E1E1E"/>
            </w:tcBorders>
          </w:tcPr>
          <w:p>
            <w:pPr>
              <w:spacing w:after="0"/>
              <w:rPr>
                <w:sz w:val="21"/>
                <w:szCs w:val="21"/>
                <w:color w:val="auto"/>
              </w:rPr>
            </w:pPr>
          </w:p>
        </w:tc>
        <w:tc>
          <w:tcPr>
            <w:tcW w:w="790" w:type="dxa"/>
            <w:vAlign w:val="bottom"/>
            <w:tcBorders>
              <w:bottom w:val="single" w:sz="8" w:color="1E1E1E"/>
            </w:tcBorders>
          </w:tcPr>
          <w:p>
            <w:pPr>
              <w:jc w:val="right"/>
              <w:ind w:right="10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90" w:type="dxa"/>
            <w:vAlign w:val="bottom"/>
            <w:tcBorders>
              <w:bottom w:val="single" w:sz="8" w:color="1E1E1E"/>
            </w:tcBorders>
          </w:tcPr>
          <w:p>
            <w:pPr>
              <w:spacing w:after="0"/>
              <w:rPr>
                <w:sz w:val="21"/>
                <w:szCs w:val="21"/>
                <w:color w:val="auto"/>
              </w:rPr>
            </w:pPr>
          </w:p>
        </w:tc>
        <w:tc>
          <w:tcPr>
            <w:tcW w:w="710" w:type="dxa"/>
            <w:vAlign w:val="bottom"/>
            <w:tcBorders>
              <w:bottom w:val="single" w:sz="8" w:color="1E1E1E"/>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780" w:type="dxa"/>
            <w:vAlign w:val="bottom"/>
            <w:tcBorders>
              <w:bottom w:val="single" w:sz="8" w:color="1E1E1E"/>
            </w:tcBorders>
          </w:tcPr>
          <w:p>
            <w:pPr>
              <w:jc w:val="center"/>
              <w:ind w:right="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w w:val="97"/>
              </w:rPr>
              <w:t>Group</w:t>
            </w:r>
          </w:p>
        </w:tc>
        <w:tc>
          <w:tcPr>
            <w:tcW w:w="90" w:type="dxa"/>
            <w:vAlign w:val="bottom"/>
            <w:tcBorders>
              <w:bottom w:val="single" w:sz="8" w:color="1E1E1E"/>
            </w:tcBorders>
          </w:tcPr>
          <w:p>
            <w:pPr>
              <w:spacing w:after="0"/>
              <w:rPr>
                <w:sz w:val="21"/>
                <w:szCs w:val="21"/>
                <w:color w:val="auto"/>
              </w:rPr>
            </w:pPr>
          </w:p>
        </w:tc>
        <w:tc>
          <w:tcPr>
            <w:tcW w:w="970" w:type="dxa"/>
            <w:vAlign w:val="bottom"/>
            <w:tcBorders>
              <w:bottom w:val="single" w:sz="8" w:color="1E1E1E"/>
              <w:right w:val="single" w:sz="8" w:color="1E1E1E"/>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1E1E1E"/>
              </w:rPr>
              <w:t>Total</w:t>
            </w:r>
          </w:p>
        </w:tc>
        <w:tc>
          <w:tcPr>
            <w:tcW w:w="80" w:type="dxa"/>
            <w:vAlign w:val="bottom"/>
            <w:tcBorders>
              <w:bottom w:val="single" w:sz="8" w:color="1E1E1E"/>
            </w:tcBorders>
          </w:tcPr>
          <w:p>
            <w:pPr>
              <w:spacing w:after="0"/>
              <w:rPr>
                <w:sz w:val="21"/>
                <w:szCs w:val="21"/>
                <w:color w:val="auto"/>
              </w:rPr>
            </w:pPr>
          </w:p>
        </w:tc>
        <w:tc>
          <w:tcPr>
            <w:tcW w:w="960" w:type="dxa"/>
            <w:vAlign w:val="bottom"/>
            <w:tcBorders>
              <w:bottom w:val="single" w:sz="8" w:color="1E1E1E"/>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rPr>
              <w:t>&amp; Other</w:t>
            </w:r>
          </w:p>
        </w:tc>
        <w:tc>
          <w:tcPr>
            <w:tcW w:w="20" w:type="dxa"/>
            <w:vAlign w:val="bottom"/>
            <w:tcBorders>
              <w:bottom w:val="single" w:sz="8" w:color="1E1E1E"/>
            </w:tcBorders>
          </w:tcPr>
          <w:p>
            <w:pPr>
              <w:spacing w:after="0"/>
              <w:rPr>
                <w:sz w:val="21"/>
                <w:szCs w:val="21"/>
                <w:color w:val="auto"/>
              </w:rPr>
            </w:pPr>
          </w:p>
        </w:tc>
        <w:tc>
          <w:tcPr>
            <w:tcW w:w="1120" w:type="dxa"/>
            <w:vAlign w:val="bottom"/>
            <w:tcBorders>
              <w:bottom w:val="single" w:sz="8" w:color="1E1E1E"/>
              <w:right w:val="single" w:sz="8" w:color="1E1E1E"/>
            </w:tcBorders>
            <w:gridSpan w:val="3"/>
          </w:tcPr>
          <w:p>
            <w:pPr>
              <w:spacing w:after="0"/>
              <w:rPr>
                <w:sz w:val="20"/>
                <w:szCs w:val="20"/>
                <w:color w:val="auto"/>
              </w:rPr>
            </w:pPr>
            <w:r>
              <w:rPr>
                <w:rFonts w:ascii="Times New Roman" w:cs="Times New Roman" w:eastAsia="Times New Roman" w:hAnsi="Times New Roman"/>
                <w:sz w:val="18"/>
                <w:szCs w:val="18"/>
                <w:b w:val="1"/>
                <w:bCs w:val="1"/>
                <w:color w:val="1E1E1E"/>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7"/>
                <w:szCs w:val="17"/>
                <w:color w:val="1E1E1E"/>
              </w:rPr>
              <w:t>Total assets at fiscal year end</w:t>
            </w:r>
            <w:r>
              <w:rPr>
                <w:rFonts w:ascii="Times New Roman" w:cs="Times New Roman" w:eastAsia="Times New Roman" w:hAnsi="Times New Roman"/>
                <w:sz w:val="22"/>
                <w:szCs w:val="22"/>
                <w:color w:val="1E1E1E"/>
                <w:vertAlign w:val="superscript"/>
              </w:rPr>
              <w:t>(1)</w:t>
            </w:r>
          </w:p>
        </w:tc>
        <w:tc>
          <w:tcPr>
            <w:tcW w:w="11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w w:val="88"/>
                <w:shd w:val="clear" w:color="auto" w:fill="E4E4E4"/>
              </w:rPr>
              <w:t>$</w:t>
            </w:r>
          </w:p>
        </w:tc>
        <w:tc>
          <w:tcPr>
            <w:tcW w:w="79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723,202</w:t>
            </w:r>
          </w:p>
        </w:tc>
        <w:tc>
          <w:tcPr>
            <w:tcW w:w="100" w:type="dxa"/>
            <w:vAlign w:val="bottom"/>
            <w:tcBorders>
              <w:top w:val="single" w:sz="8" w:color="E4E4E4"/>
            </w:tcBorders>
            <w:shd w:val="clear" w:color="auto" w:fill="E4E4E4"/>
          </w:tcPr>
          <w:p>
            <w:pPr>
              <w:spacing w:after="0"/>
              <w:rPr>
                <w:sz w:val="16"/>
                <w:szCs w:val="16"/>
                <w:color w:val="auto"/>
              </w:rPr>
            </w:pPr>
          </w:p>
        </w:tc>
        <w:tc>
          <w:tcPr>
            <w:tcW w:w="9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1E1E1E"/>
                <w:w w:val="70"/>
                <w:shd w:val="clear" w:color="auto" w:fill="E4E4E4"/>
              </w:rPr>
              <w:t>$</w:t>
            </w:r>
          </w:p>
        </w:tc>
        <w:tc>
          <w:tcPr>
            <w:tcW w:w="71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192,674</w:t>
            </w: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w w:val="88"/>
                <w:shd w:val="clear" w:color="auto" w:fill="E4E4E4"/>
              </w:rPr>
              <w:t>$</w:t>
            </w:r>
          </w:p>
        </w:tc>
        <w:tc>
          <w:tcPr>
            <w:tcW w:w="78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210,818</w:t>
            </w: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w w:val="88"/>
                <w:shd w:val="clear" w:color="auto" w:fill="E4E4E4"/>
              </w:rPr>
              <w:t>$</w:t>
            </w:r>
          </w:p>
        </w:tc>
        <w:tc>
          <w:tcPr>
            <w:tcW w:w="73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48,610</w:t>
            </w:r>
          </w:p>
        </w:tc>
        <w:tc>
          <w:tcPr>
            <w:tcW w:w="110" w:type="dxa"/>
            <w:vAlign w:val="bottom"/>
            <w:tcBorders>
              <w:top w:val="single" w:sz="8" w:color="E4E4E4"/>
              <w:right w:val="single" w:sz="8" w:color="1E1E1E"/>
            </w:tcBorders>
            <w:shd w:val="clear" w:color="auto" w:fill="E4E4E4"/>
          </w:tcPr>
          <w:p>
            <w:pPr>
              <w:spacing w:after="0"/>
              <w:rPr>
                <w:sz w:val="16"/>
                <w:szCs w:val="16"/>
                <w:color w:val="auto"/>
              </w:rPr>
            </w:pPr>
          </w:p>
        </w:tc>
        <w:tc>
          <w:tcPr>
            <w:tcW w:w="9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1E1E1E"/>
                <w:w w:val="70"/>
                <w:shd w:val="clear" w:color="auto" w:fill="E4E4E4"/>
              </w:rPr>
              <w:t>$</w:t>
            </w:r>
          </w:p>
        </w:tc>
        <w:tc>
          <w:tcPr>
            <w:tcW w:w="85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1,175,304</w:t>
            </w:r>
          </w:p>
        </w:tc>
        <w:tc>
          <w:tcPr>
            <w:tcW w:w="120" w:type="dxa"/>
            <w:vAlign w:val="bottom"/>
            <w:tcBorders>
              <w:top w:val="single" w:sz="8" w:color="E4E4E4"/>
              <w:right w:val="single" w:sz="8" w:color="1E1E1E"/>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1E1E1E"/>
                <w:w w:val="70"/>
                <w:shd w:val="clear" w:color="auto" w:fill="E4E4E4"/>
              </w:rPr>
              <w:t>$</w:t>
            </w:r>
          </w:p>
        </w:tc>
        <w:tc>
          <w:tcPr>
            <w:tcW w:w="84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217,674</w:t>
            </w:r>
          </w:p>
        </w:tc>
        <w:tc>
          <w:tcPr>
            <w:tcW w:w="120" w:type="dxa"/>
            <w:vAlign w:val="bottom"/>
            <w:tcBorders>
              <w:top w:val="single" w:sz="8" w:color="E4E4E4"/>
              <w:right w:val="single" w:sz="8" w:color="1E1E1E"/>
            </w:tcBorders>
            <w:shd w:val="clear" w:color="auto" w:fill="E4E4E4"/>
          </w:tcPr>
          <w:p>
            <w:pPr>
              <w:spacing w:after="0"/>
              <w:rPr>
                <w:sz w:val="16"/>
                <w:szCs w:val="16"/>
                <w:color w:val="auto"/>
              </w:rPr>
            </w:pPr>
          </w:p>
        </w:tc>
        <w:tc>
          <w:tcPr>
            <w:tcW w:w="20" w:type="dxa"/>
            <w:vAlign w:val="bottom"/>
            <w:tcBorders>
              <w:top w:val="single" w:sz="8" w:color="E4E4E4"/>
            </w:tcBorders>
          </w:tcPr>
          <w:p>
            <w:pPr>
              <w:spacing w:after="0"/>
              <w:rPr>
                <w:sz w:val="16"/>
                <w:szCs w:val="16"/>
                <w:color w:val="auto"/>
              </w:rPr>
            </w:pPr>
          </w:p>
        </w:tc>
        <w:tc>
          <w:tcPr>
            <w:tcW w:w="9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b w:val="1"/>
                <w:bCs w:val="1"/>
                <w:color w:val="1E1E1E"/>
                <w:w w:val="88"/>
                <w:shd w:val="clear" w:color="auto" w:fill="E4E4E4"/>
              </w:rPr>
              <w:t>$</w:t>
            </w:r>
          </w:p>
        </w:tc>
        <w:tc>
          <w:tcPr>
            <w:tcW w:w="91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1E1E1E"/>
              </w:rPr>
              <w:t>1,392,978</w:t>
            </w:r>
          </w:p>
        </w:tc>
        <w:tc>
          <w:tcPr>
            <w:tcW w:w="120" w:type="dxa"/>
            <w:vAlign w:val="bottom"/>
            <w:tcBorders>
              <w:top w:val="single" w:sz="8" w:color="E4E4E4"/>
              <w:right w:val="single" w:sz="8" w:color="1E1E1E"/>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1E1E1E"/>
              </w:rPr>
              <w:t>Depreciation and amortization</w:t>
            </w:r>
          </w:p>
        </w:tc>
        <w:tc>
          <w:tcPr>
            <w:tcW w:w="90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1E1E1E"/>
              </w:rPr>
              <w:t>32,857</w:t>
            </w:r>
          </w:p>
        </w:tc>
        <w:tc>
          <w:tcPr>
            <w:tcW w:w="90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1E1E1E"/>
              </w:rPr>
              <w:t>8,099</w:t>
            </w:r>
          </w:p>
        </w:tc>
        <w:tc>
          <w:tcPr>
            <w:tcW w:w="98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1E1E1E"/>
              </w:rPr>
              <w:t>7,097</w:t>
            </w:r>
          </w:p>
        </w:tc>
        <w:tc>
          <w:tcPr>
            <w:tcW w:w="93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1E1E1E"/>
              </w:rPr>
              <w:t>1,382</w:t>
            </w:r>
          </w:p>
        </w:tc>
        <w:tc>
          <w:tcPr>
            <w:tcW w:w="110" w:type="dxa"/>
            <w:vAlign w:val="bottom"/>
            <w:tcBorders>
              <w:bottom w:val="single" w:sz="8" w:color="E4E4E4"/>
              <w:right w:val="single" w:sz="8" w:color="1E1E1E"/>
            </w:tcBorders>
          </w:tcPr>
          <w:p>
            <w:pPr>
              <w:spacing w:after="0"/>
              <w:rPr>
                <w:sz w:val="19"/>
                <w:szCs w:val="19"/>
                <w:color w:val="auto"/>
              </w:rPr>
            </w:pPr>
          </w:p>
        </w:tc>
        <w:tc>
          <w:tcPr>
            <w:tcW w:w="90" w:type="dxa"/>
            <w:vAlign w:val="bottom"/>
            <w:tcBorders>
              <w:bottom w:val="single" w:sz="8" w:color="E4E4E4"/>
            </w:tcBorders>
          </w:tcPr>
          <w:p>
            <w:pPr>
              <w:spacing w:after="0"/>
              <w:rPr>
                <w:sz w:val="19"/>
                <w:szCs w:val="19"/>
                <w:color w:val="auto"/>
              </w:rPr>
            </w:pPr>
          </w:p>
        </w:tc>
        <w:tc>
          <w:tcPr>
            <w:tcW w:w="85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49,435</w:t>
            </w:r>
          </w:p>
        </w:tc>
        <w:tc>
          <w:tcPr>
            <w:tcW w:w="120" w:type="dxa"/>
            <w:vAlign w:val="bottom"/>
            <w:tcBorders>
              <w:bottom w:val="single" w:sz="8" w:color="E4E4E4"/>
              <w:right w:val="single" w:sz="8" w:color="1E1E1E"/>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8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3,890</w:t>
            </w:r>
          </w:p>
        </w:tc>
        <w:tc>
          <w:tcPr>
            <w:tcW w:w="120" w:type="dxa"/>
            <w:vAlign w:val="bottom"/>
            <w:tcBorders>
              <w:bottom w:val="single" w:sz="8" w:color="E4E4E4"/>
              <w:right w:val="single" w:sz="8" w:color="1E1E1E"/>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90" w:type="dxa"/>
            <w:vAlign w:val="bottom"/>
            <w:tcBorders>
              <w:bottom w:val="single" w:sz="8" w:color="E4E4E4"/>
            </w:tcBorders>
          </w:tcPr>
          <w:p>
            <w:pPr>
              <w:spacing w:after="0"/>
              <w:rPr>
                <w:sz w:val="19"/>
                <w:szCs w:val="19"/>
                <w:color w:val="auto"/>
              </w:rPr>
            </w:pPr>
          </w:p>
        </w:tc>
        <w:tc>
          <w:tcPr>
            <w:tcW w:w="91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b w:val="1"/>
                <w:bCs w:val="1"/>
                <w:color w:val="1E1E1E"/>
              </w:rPr>
              <w:t>53,325</w:t>
            </w:r>
          </w:p>
        </w:tc>
        <w:tc>
          <w:tcPr>
            <w:tcW w:w="120" w:type="dxa"/>
            <w:vAlign w:val="bottom"/>
            <w:tcBorders>
              <w:bottom w:val="single" w:sz="8" w:color="E4E4E4"/>
              <w:right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1E1E1E"/>
            </w:tcBorders>
          </w:tcPr>
          <w:p>
            <w:pPr>
              <w:spacing w:after="0"/>
              <w:rPr>
                <w:sz w:val="17"/>
                <w:szCs w:val="17"/>
                <w:color w:val="auto"/>
              </w:rPr>
            </w:pPr>
          </w:p>
        </w:tc>
        <w:tc>
          <w:tcPr>
            <w:tcW w:w="3200" w:type="dxa"/>
            <w:vAlign w:val="bottom"/>
            <w:tcBorders>
              <w:bottom w:val="single" w:sz="8" w:color="1E1E1E"/>
            </w:tcBorders>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Capital expenditures</w:t>
            </w:r>
          </w:p>
        </w:tc>
        <w:tc>
          <w:tcPr>
            <w:tcW w:w="110" w:type="dxa"/>
            <w:vAlign w:val="bottom"/>
            <w:tcBorders>
              <w:bottom w:val="single" w:sz="8" w:color="1E1E1E"/>
            </w:tcBorders>
            <w:shd w:val="clear" w:color="auto" w:fill="E4E4E4"/>
          </w:tcPr>
          <w:p>
            <w:pPr>
              <w:spacing w:after="0"/>
              <w:rPr>
                <w:sz w:val="17"/>
                <w:szCs w:val="17"/>
                <w:color w:val="auto"/>
              </w:rPr>
            </w:pPr>
          </w:p>
        </w:tc>
        <w:tc>
          <w:tcPr>
            <w:tcW w:w="79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36,772</w:t>
            </w:r>
          </w:p>
        </w:tc>
        <w:tc>
          <w:tcPr>
            <w:tcW w:w="100" w:type="dxa"/>
            <w:vAlign w:val="bottom"/>
            <w:tcBorders>
              <w:bottom w:val="single" w:sz="8" w:color="1E1E1E"/>
            </w:tcBorders>
            <w:shd w:val="clear" w:color="auto" w:fill="E4E4E4"/>
          </w:tcPr>
          <w:p>
            <w:pPr>
              <w:spacing w:after="0"/>
              <w:rPr>
                <w:sz w:val="17"/>
                <w:szCs w:val="17"/>
                <w:color w:val="auto"/>
              </w:rPr>
            </w:pPr>
          </w:p>
        </w:tc>
        <w:tc>
          <w:tcPr>
            <w:tcW w:w="90" w:type="dxa"/>
            <w:vAlign w:val="bottom"/>
            <w:tcBorders>
              <w:bottom w:val="single" w:sz="8" w:color="1E1E1E"/>
            </w:tcBorders>
            <w:shd w:val="clear" w:color="auto" w:fill="E4E4E4"/>
          </w:tcPr>
          <w:p>
            <w:pPr>
              <w:spacing w:after="0"/>
              <w:rPr>
                <w:sz w:val="17"/>
                <w:szCs w:val="17"/>
                <w:color w:val="auto"/>
              </w:rPr>
            </w:pPr>
          </w:p>
        </w:tc>
        <w:tc>
          <w:tcPr>
            <w:tcW w:w="71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8,330</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78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15,564</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73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471</w:t>
            </w:r>
          </w:p>
        </w:tc>
        <w:tc>
          <w:tcPr>
            <w:tcW w:w="110" w:type="dxa"/>
            <w:vAlign w:val="bottom"/>
            <w:tcBorders>
              <w:bottom w:val="single" w:sz="8" w:color="1E1E1E"/>
              <w:right w:val="single" w:sz="8" w:color="1E1E1E"/>
            </w:tcBorders>
            <w:shd w:val="clear" w:color="auto" w:fill="E4E4E4"/>
          </w:tcPr>
          <w:p>
            <w:pPr>
              <w:spacing w:after="0"/>
              <w:rPr>
                <w:sz w:val="17"/>
                <w:szCs w:val="17"/>
                <w:color w:val="auto"/>
              </w:rPr>
            </w:pPr>
          </w:p>
        </w:tc>
        <w:tc>
          <w:tcPr>
            <w:tcW w:w="90" w:type="dxa"/>
            <w:vAlign w:val="bottom"/>
            <w:tcBorders>
              <w:bottom w:val="single" w:sz="8" w:color="1E1E1E"/>
            </w:tcBorders>
            <w:shd w:val="clear" w:color="auto" w:fill="E4E4E4"/>
          </w:tcPr>
          <w:p>
            <w:pPr>
              <w:spacing w:after="0"/>
              <w:rPr>
                <w:sz w:val="17"/>
                <w:szCs w:val="17"/>
                <w:color w:val="auto"/>
              </w:rPr>
            </w:pPr>
          </w:p>
        </w:tc>
        <w:tc>
          <w:tcPr>
            <w:tcW w:w="85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61,137</w:t>
            </w:r>
          </w:p>
        </w:tc>
        <w:tc>
          <w:tcPr>
            <w:tcW w:w="120" w:type="dxa"/>
            <w:vAlign w:val="bottom"/>
            <w:tcBorders>
              <w:bottom w:val="single" w:sz="8" w:color="1E1E1E"/>
              <w:right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84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917</w:t>
            </w:r>
          </w:p>
        </w:tc>
        <w:tc>
          <w:tcPr>
            <w:tcW w:w="120" w:type="dxa"/>
            <w:vAlign w:val="bottom"/>
            <w:tcBorders>
              <w:bottom w:val="single" w:sz="8" w:color="1E1E1E"/>
              <w:right w:val="single" w:sz="8" w:color="1E1E1E"/>
            </w:tcBorders>
            <w:shd w:val="clear" w:color="auto" w:fill="E4E4E4"/>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90" w:type="dxa"/>
            <w:vAlign w:val="bottom"/>
            <w:tcBorders>
              <w:bottom w:val="single" w:sz="8" w:color="1E1E1E"/>
            </w:tcBorders>
            <w:shd w:val="clear" w:color="auto" w:fill="E4E4E4"/>
          </w:tcPr>
          <w:p>
            <w:pPr>
              <w:spacing w:after="0"/>
              <w:rPr>
                <w:sz w:val="17"/>
                <w:szCs w:val="17"/>
                <w:color w:val="auto"/>
              </w:rPr>
            </w:pPr>
          </w:p>
        </w:tc>
        <w:tc>
          <w:tcPr>
            <w:tcW w:w="91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1E1E1E"/>
              </w:rPr>
              <w:t>62,054</w:t>
            </w:r>
          </w:p>
        </w:tc>
        <w:tc>
          <w:tcPr>
            <w:tcW w:w="120" w:type="dxa"/>
            <w:vAlign w:val="bottom"/>
            <w:tcBorders>
              <w:bottom w:val="single" w:sz="8" w:color="1E1E1E"/>
              <w:right w:val="single" w:sz="8" w:color="1E1E1E"/>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320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79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71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73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85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91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-306070</wp:posOffset>
                </wp:positionV>
                <wp:extent cx="445325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3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4.0999pt" to="351.3pt,-2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5808980</wp:posOffset>
                </wp:positionH>
                <wp:positionV relativeFrom="paragraph">
                  <wp:posOffset>-306070</wp:posOffset>
                </wp:positionV>
                <wp:extent cx="69469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4pt,-24.0999pt" to="512.1pt,-2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4458335</wp:posOffset>
                </wp:positionH>
                <wp:positionV relativeFrom="paragraph">
                  <wp:posOffset>-172085</wp:posOffset>
                </wp:positionV>
                <wp:extent cx="12700" cy="1270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1E1E1E"/>
                        </a:solidFill>
                      </wps:spPr>
                      <wps:bodyPr/>
                    </wps:wsp>
                  </a:graphicData>
                </a:graphic>
              </wp:anchor>
            </w:drawing>
          </mc:Choice>
          <mc:Fallback>
            <w:pict>
              <v:rect id="Shape 103" o:spid="_x0000_s1128" style="position:absolute;margin-left:351.05pt;margin-top:-13.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E1E1E" stroked="f"/>
            </w:pict>
          </mc:Fallback>
        </mc:AlternateContent>
        <mc:AlternateContent>
          <mc:Choice Requires="wps">
            <w:drawing>
              <wp:anchor simplePos="0" relativeHeight="251657728" behindDoc="1" locked="0" layoutInCell="0" allowOverlap="1">
                <wp:simplePos x="0" y="0"/>
                <wp:positionH relativeFrom="column">
                  <wp:posOffset>5125720</wp:posOffset>
                </wp:positionH>
                <wp:positionV relativeFrom="paragraph">
                  <wp:posOffset>-172085</wp:posOffset>
                </wp:positionV>
                <wp:extent cx="12700" cy="127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1E1E1E"/>
                        </a:solidFill>
                      </wps:spPr>
                      <wps:bodyPr/>
                    </wps:wsp>
                  </a:graphicData>
                </a:graphic>
              </wp:anchor>
            </w:drawing>
          </mc:Choice>
          <mc:Fallback>
            <w:pict>
              <v:rect id="Shape 104" o:spid="_x0000_s1129" style="position:absolute;margin-left:403.6pt;margin-top:-13.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E1E1E" stroked="f"/>
            </w:pict>
          </mc:Fallback>
        </mc:AlternateContent>
      </w:r>
    </w:p>
    <w:p>
      <w:pPr>
        <w:spacing w:after="0" w:line="218" w:lineRule="exact"/>
        <w:rPr>
          <w:sz w:val="20"/>
          <w:szCs w:val="20"/>
          <w:color w:val="auto"/>
        </w:rPr>
      </w:pPr>
    </w:p>
    <w:p>
      <w:pPr>
        <w:ind w:left="380" w:right="20" w:hanging="366"/>
        <w:spacing w:after="0" w:line="269" w:lineRule="auto"/>
        <w:tabs>
          <w:tab w:leader="none" w:pos="302" w:val="left"/>
        </w:tabs>
        <w:numPr>
          <w:ilvl w:val="0"/>
          <w:numId w:val="24"/>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Of our $710.5 million of long-lived assets, $85.7 million and $15.1 million relate to long-lived assets in the U.K. and Canada, respectively.</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Fiscal 2025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0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14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96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060" w:type="dxa"/>
            <w:vAlign w:val="bottom"/>
            <w:tcBorders>
              <w:top w:val="single" w:sz="8" w:color="1E1E1E"/>
            </w:tcBorders>
          </w:tcPr>
          <w:p>
            <w:pPr>
              <w:jc w:val="center"/>
              <w:ind w:right="29"/>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Johnston</w:t>
            </w:r>
          </w:p>
        </w:tc>
        <w:tc>
          <w:tcPr>
            <w:tcW w:w="10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000" w:type="dxa"/>
            <w:vAlign w:val="bottom"/>
            <w:tcBorders>
              <w:top w:val="single" w:sz="8" w:color="1E1E1E"/>
            </w:tcBorders>
          </w:tcPr>
          <w:p>
            <w:pPr>
              <w:jc w:val="center"/>
              <w:ind w:right="29"/>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Genesco</w:t>
            </w:r>
          </w:p>
        </w:tc>
        <w:tc>
          <w:tcPr>
            <w:tcW w:w="100" w:type="dxa"/>
            <w:vAlign w:val="bottom"/>
            <w:tcBorders>
              <w:top w:val="single" w:sz="8" w:color="1E1E1E"/>
            </w:tcBorders>
          </w:tcPr>
          <w:p>
            <w:pPr>
              <w:spacing w:after="0"/>
              <w:rPr>
                <w:sz w:val="16"/>
                <w:szCs w:val="16"/>
                <w:color w:val="auto"/>
              </w:rPr>
            </w:pPr>
          </w:p>
        </w:tc>
        <w:tc>
          <w:tcPr>
            <w:tcW w:w="80" w:type="dxa"/>
            <w:vAlign w:val="bottom"/>
            <w:tcBorders>
              <w:top w:val="single" w:sz="8" w:color="1E1E1E"/>
            </w:tcBorders>
          </w:tcPr>
          <w:p>
            <w:pPr>
              <w:spacing w:after="0"/>
              <w:rPr>
                <w:sz w:val="16"/>
                <w:szCs w:val="16"/>
                <w:color w:val="auto"/>
              </w:rPr>
            </w:pPr>
          </w:p>
        </w:tc>
        <w:tc>
          <w:tcPr>
            <w:tcW w:w="116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89"/>
              <w:spacing w:after="0"/>
              <w:rPr>
                <w:sz w:val="20"/>
                <w:szCs w:val="20"/>
                <w:color w:val="auto"/>
              </w:rPr>
            </w:pPr>
            <w:r>
              <w:rPr>
                <w:rFonts w:ascii="Times New Roman" w:cs="Times New Roman" w:eastAsia="Times New Roman" w:hAnsi="Times New Roman"/>
                <w:sz w:val="18"/>
                <w:szCs w:val="18"/>
                <w:b w:val="1"/>
                <w:bCs w:val="1"/>
                <w:color w:val="1E1E1E"/>
              </w:rPr>
              <w:t>Journeys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09"/>
              <w:spacing w:after="0"/>
              <w:rPr>
                <w:sz w:val="20"/>
                <w:szCs w:val="20"/>
                <w:color w:val="auto"/>
              </w:rPr>
            </w:pPr>
            <w:r>
              <w:rPr>
                <w:rFonts w:ascii="Times New Roman" w:cs="Times New Roman" w:eastAsia="Times New Roman" w:hAnsi="Times New Roman"/>
                <w:sz w:val="18"/>
                <w:szCs w:val="18"/>
                <w:b w:val="1"/>
                <w:bCs w:val="1"/>
                <w:color w:val="1E1E1E"/>
              </w:rPr>
              <w:t>Schuh</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9"/>
              <w:spacing w:after="0"/>
              <w:rPr>
                <w:sz w:val="20"/>
                <w:szCs w:val="20"/>
                <w:color w:val="auto"/>
              </w:rPr>
            </w:pPr>
            <w:r>
              <w:rPr>
                <w:rFonts w:ascii="Times New Roman" w:cs="Times New Roman" w:eastAsia="Times New Roman" w:hAnsi="Times New Roman"/>
                <w:sz w:val="18"/>
                <w:szCs w:val="18"/>
                <w:b w:val="1"/>
                <w:bCs w:val="1"/>
                <w:color w:val="1E1E1E"/>
              </w:rPr>
              <w:t>&amp; Murphy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1E1E1E"/>
                <w:w w:val="99"/>
              </w:rPr>
              <w:t>Brands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20" w:type="dxa"/>
            <w:vAlign w:val="bottom"/>
          </w:tcPr>
          <w:p>
            <w:pPr>
              <w:spacing w:after="0"/>
              <w:rPr>
                <w:sz w:val="22"/>
                <w:szCs w:val="22"/>
                <w:color w:val="auto"/>
              </w:rPr>
            </w:pPr>
          </w:p>
        </w:tc>
        <w:tc>
          <w:tcPr>
            <w:tcW w:w="39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(In thousands)</w:t>
            </w:r>
          </w:p>
        </w:tc>
        <w:tc>
          <w:tcPr>
            <w:tcW w:w="100" w:type="dxa"/>
            <w:vAlign w:val="bottom"/>
            <w:tcBorders>
              <w:bottom w:val="single" w:sz="8" w:color="1E1E1E"/>
            </w:tcBorders>
          </w:tcPr>
          <w:p>
            <w:pPr>
              <w:spacing w:after="0"/>
              <w:rPr>
                <w:sz w:val="22"/>
                <w:szCs w:val="22"/>
                <w:color w:val="auto"/>
              </w:rPr>
            </w:pPr>
          </w:p>
        </w:tc>
        <w:tc>
          <w:tcPr>
            <w:tcW w:w="1140" w:type="dxa"/>
            <w:vAlign w:val="bottom"/>
            <w:tcBorders>
              <w:bottom w:val="single" w:sz="8" w:color="1E1E1E"/>
            </w:tcBorders>
          </w:tcPr>
          <w:p>
            <w:pPr>
              <w:jc w:val="right"/>
              <w:ind w:right="26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2"/>
                <w:szCs w:val="22"/>
                <w:color w:val="auto"/>
              </w:rPr>
            </w:pPr>
          </w:p>
        </w:tc>
        <w:tc>
          <w:tcPr>
            <w:tcW w:w="12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ind w:right="18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20" w:type="dxa"/>
            <w:vAlign w:val="bottom"/>
            <w:tcBorders>
              <w:bottom w:val="single" w:sz="8" w:color="1E1E1E"/>
            </w:tcBorders>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jc w:val="center"/>
              <w:ind w:right="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2"/>
                <w:szCs w:val="22"/>
                <w:color w:val="auto"/>
              </w:rPr>
            </w:pPr>
          </w:p>
        </w:tc>
        <w:tc>
          <w:tcPr>
            <w:tcW w:w="100" w:type="dxa"/>
            <w:vAlign w:val="bottom"/>
            <w:tcBorders>
              <w:bottom w:val="single" w:sz="8" w:color="1E1E1E"/>
            </w:tcBorders>
          </w:tcPr>
          <w:p>
            <w:pPr>
              <w:spacing w:after="0"/>
              <w:rPr>
                <w:sz w:val="22"/>
                <w:szCs w:val="22"/>
                <w:color w:val="auto"/>
              </w:rPr>
            </w:pPr>
          </w:p>
        </w:tc>
        <w:tc>
          <w:tcPr>
            <w:tcW w:w="1000" w:type="dxa"/>
            <w:vAlign w:val="bottom"/>
            <w:tcBorders>
              <w:bottom w:val="single" w:sz="8" w:color="1E1E1E"/>
            </w:tcBorders>
          </w:tcPr>
          <w:p>
            <w:pPr>
              <w:jc w:val="center"/>
              <w:ind w:right="2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2"/>
                <w:szCs w:val="22"/>
                <w:color w:val="auto"/>
              </w:rPr>
            </w:pPr>
          </w:p>
        </w:tc>
        <w:tc>
          <w:tcPr>
            <w:tcW w:w="80" w:type="dxa"/>
            <w:vAlign w:val="bottom"/>
            <w:tcBorders>
              <w:bottom w:val="single" w:sz="8" w:color="1E1E1E"/>
            </w:tcBorders>
          </w:tcPr>
          <w:p>
            <w:pPr>
              <w:spacing w:after="0"/>
              <w:rPr>
                <w:sz w:val="22"/>
                <w:szCs w:val="22"/>
                <w:color w:val="auto"/>
              </w:rPr>
            </w:pPr>
          </w:p>
        </w:tc>
        <w:tc>
          <w:tcPr>
            <w:tcW w:w="1260" w:type="dxa"/>
            <w:vAlign w:val="bottom"/>
            <w:tcBorders>
              <w:bottom w:val="single" w:sz="8" w:color="1E1E1E"/>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1E1E1E"/>
              </w:rPr>
              <w:t>Consolidated</w:t>
            </w:r>
          </w:p>
        </w:tc>
      </w:tr>
      <w:tr>
        <w:trPr>
          <w:trHeight w:val="181"/>
        </w:trPr>
        <w:tc>
          <w:tcPr>
            <w:tcW w:w="20" w:type="dxa"/>
            <w:vAlign w:val="bottom"/>
          </w:tcPr>
          <w:p>
            <w:pPr>
              <w:spacing w:after="0"/>
              <w:rPr>
                <w:sz w:val="15"/>
                <w:szCs w:val="15"/>
                <w:color w:val="auto"/>
              </w:rPr>
            </w:pPr>
          </w:p>
        </w:tc>
        <w:tc>
          <w:tcPr>
            <w:tcW w:w="3900" w:type="dxa"/>
            <w:vAlign w:val="bottom"/>
            <w:tcBorders>
              <w:top w:val="single" w:sz="8" w:color="E4E4E4"/>
            </w:tcBorders>
            <w:shd w:val="clear" w:color="auto" w:fill="E4E4E4"/>
          </w:tcPr>
          <w:p>
            <w:pPr>
              <w:spacing w:after="0" w:line="181" w:lineRule="exact"/>
              <w:rPr>
                <w:sz w:val="20"/>
                <w:szCs w:val="20"/>
                <w:color w:val="auto"/>
              </w:rPr>
            </w:pPr>
            <w:r>
              <w:rPr>
                <w:rFonts w:ascii="Times New Roman" w:cs="Times New Roman" w:eastAsia="Times New Roman" w:hAnsi="Times New Roman"/>
                <w:sz w:val="15"/>
                <w:szCs w:val="15"/>
                <w:b w:val="1"/>
                <w:bCs w:val="1"/>
                <w:color w:val="1E1E1E"/>
              </w:rPr>
              <w:t>Net sales to external customers</w:t>
            </w:r>
            <w:r>
              <w:rPr>
                <w:rFonts w:ascii="Times New Roman" w:cs="Times New Roman" w:eastAsia="Times New Roman" w:hAnsi="Times New Roman"/>
                <w:sz w:val="20"/>
                <w:szCs w:val="20"/>
                <w:b w:val="1"/>
                <w:bCs w:val="1"/>
                <w:color w:val="1E1E1E"/>
                <w:vertAlign w:val="superscript"/>
              </w:rPr>
              <w:t>(1)</w:t>
            </w:r>
          </w:p>
        </w:tc>
        <w:tc>
          <w:tcPr>
            <w:tcW w:w="1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114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1,398,922</w:t>
            </w:r>
          </w:p>
        </w:tc>
        <w:tc>
          <w:tcPr>
            <w:tcW w:w="100" w:type="dxa"/>
            <w:vAlign w:val="bottom"/>
            <w:tcBorders>
              <w:top w:val="single" w:sz="8" w:color="E4E4E4"/>
            </w:tcBorders>
            <w:shd w:val="clear" w:color="auto" w:fill="E4E4E4"/>
          </w:tcPr>
          <w:p>
            <w:pPr>
              <w:spacing w:after="0"/>
              <w:rPr>
                <w:sz w:val="15"/>
                <w:szCs w:val="15"/>
                <w:color w:val="auto"/>
              </w:rPr>
            </w:pPr>
          </w:p>
        </w:tc>
        <w:tc>
          <w:tcPr>
            <w:tcW w:w="12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96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479,891</w:t>
            </w:r>
          </w:p>
        </w:tc>
        <w:tc>
          <w:tcPr>
            <w:tcW w:w="12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106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320,208</w:t>
            </w:r>
          </w:p>
        </w:tc>
        <w:tc>
          <w:tcPr>
            <w:tcW w:w="10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10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126,041</w:t>
            </w:r>
          </w:p>
        </w:tc>
        <w:tc>
          <w:tcPr>
            <w:tcW w:w="100" w:type="dxa"/>
            <w:vAlign w:val="bottom"/>
            <w:tcBorders>
              <w:top w:val="single" w:sz="8" w:color="E4E4E4"/>
            </w:tcBorders>
            <w:shd w:val="clear" w:color="auto" w:fill="E4E4E4"/>
          </w:tcPr>
          <w:p>
            <w:pPr>
              <w:spacing w:after="0"/>
              <w:rPr>
                <w:sz w:val="15"/>
                <w:szCs w:val="15"/>
                <w:color w:val="auto"/>
              </w:rPr>
            </w:pPr>
          </w:p>
        </w:tc>
        <w:tc>
          <w:tcPr>
            <w:tcW w:w="8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7"/>
                <w:szCs w:val="17"/>
                <w:color w:val="1E1E1E"/>
                <w:w w:val="70"/>
                <w:shd w:val="clear" w:color="auto" w:fill="E4E4E4"/>
              </w:rPr>
              <w:t>$</w:t>
            </w:r>
          </w:p>
        </w:tc>
        <w:tc>
          <w:tcPr>
            <w:tcW w:w="116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2,325,062</w:t>
            </w:r>
          </w:p>
        </w:tc>
        <w:tc>
          <w:tcPr>
            <w:tcW w:w="100" w:type="dxa"/>
            <w:vAlign w:val="bottom"/>
            <w:tcBorders>
              <w:top w:val="single" w:sz="8" w:color="E4E4E4"/>
            </w:tcBorders>
            <w:shd w:val="clear" w:color="auto" w:fill="E4E4E4"/>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1E1E1E"/>
              </w:rPr>
              <w:t>Cost of sales</w:t>
            </w:r>
          </w:p>
        </w:tc>
        <w:tc>
          <w:tcPr>
            <w:tcW w:w="100" w:type="dxa"/>
            <w:vAlign w:val="bottom"/>
            <w:tcBorders>
              <w:bottom w:val="single" w:sz="8" w:color="E4E4E4"/>
            </w:tcBorders>
          </w:tcPr>
          <w:p>
            <w:pPr>
              <w:spacing w:after="0"/>
              <w:rPr>
                <w:sz w:val="19"/>
                <w:szCs w:val="19"/>
                <w:color w:val="auto"/>
              </w:rPr>
            </w:pPr>
          </w:p>
        </w:tc>
        <w:tc>
          <w:tcPr>
            <w:tcW w:w="11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715,723</w:t>
            </w:r>
          </w:p>
        </w:tc>
        <w:tc>
          <w:tcPr>
            <w:tcW w:w="100" w:type="dxa"/>
            <w:vAlign w:val="bottom"/>
            <w:tcBorders>
              <w:bottom w:val="single" w:sz="8" w:color="E4E4E4"/>
            </w:tcBorders>
          </w:tcPr>
          <w:p>
            <w:pPr>
              <w:spacing w:after="0"/>
              <w:rPr>
                <w:sz w:val="19"/>
                <w:szCs w:val="19"/>
                <w:color w:val="auto"/>
              </w:rPr>
            </w:pPr>
          </w:p>
        </w:tc>
        <w:tc>
          <w:tcPr>
            <w:tcW w:w="120" w:type="dxa"/>
            <w:vAlign w:val="bottom"/>
            <w:tcBorders>
              <w:bottom w:val="single" w:sz="8" w:color="E4E4E4"/>
            </w:tcBorders>
          </w:tcPr>
          <w:p>
            <w:pPr>
              <w:spacing w:after="0"/>
              <w:rPr>
                <w:sz w:val="19"/>
                <w:szCs w:val="19"/>
                <w:color w:val="auto"/>
              </w:rPr>
            </w:pPr>
          </w:p>
        </w:tc>
        <w:tc>
          <w:tcPr>
            <w:tcW w:w="9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280,395</w:t>
            </w:r>
          </w:p>
        </w:tc>
        <w:tc>
          <w:tcPr>
            <w:tcW w:w="12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148,461</w:t>
            </w: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83,670</w:t>
            </w:r>
          </w:p>
        </w:tc>
        <w:tc>
          <w:tcPr>
            <w:tcW w:w="10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16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900" w:type="dxa"/>
            <w:vAlign w:val="bottom"/>
            <w:tcBorders>
              <w:bottom w:val="single" w:sz="8" w:color="1E1E1E"/>
            </w:tcBorders>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Selling and administrative expenses</w:t>
            </w:r>
          </w:p>
        </w:tc>
        <w:tc>
          <w:tcPr>
            <w:tcW w:w="100" w:type="dxa"/>
            <w:vAlign w:val="bottom"/>
            <w:tcBorders>
              <w:bottom w:val="single" w:sz="8" w:color="1E1E1E"/>
            </w:tcBorders>
            <w:shd w:val="clear" w:color="auto" w:fill="E4E4E4"/>
          </w:tcPr>
          <w:p>
            <w:pPr>
              <w:spacing w:after="0"/>
              <w:rPr>
                <w:sz w:val="17"/>
                <w:szCs w:val="17"/>
                <w:color w:val="auto"/>
              </w:rPr>
            </w:pPr>
          </w:p>
        </w:tc>
        <w:tc>
          <w:tcPr>
            <w:tcW w:w="114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656,854</w:t>
            </w:r>
          </w:p>
        </w:tc>
        <w:tc>
          <w:tcPr>
            <w:tcW w:w="100" w:type="dxa"/>
            <w:vAlign w:val="bottom"/>
            <w:tcBorders>
              <w:bottom w:val="single" w:sz="8" w:color="1E1E1E"/>
            </w:tcBorders>
            <w:shd w:val="clear" w:color="auto" w:fill="E4E4E4"/>
          </w:tcPr>
          <w:p>
            <w:pPr>
              <w:spacing w:after="0"/>
              <w:rPr>
                <w:sz w:val="17"/>
                <w:szCs w:val="17"/>
                <w:color w:val="auto"/>
              </w:rPr>
            </w:pPr>
          </w:p>
        </w:tc>
        <w:tc>
          <w:tcPr>
            <w:tcW w:w="120" w:type="dxa"/>
            <w:vAlign w:val="bottom"/>
            <w:tcBorders>
              <w:bottom w:val="single" w:sz="8" w:color="1E1E1E"/>
            </w:tcBorders>
            <w:shd w:val="clear" w:color="auto" w:fill="E4E4E4"/>
          </w:tcPr>
          <w:p>
            <w:pPr>
              <w:spacing w:after="0"/>
              <w:rPr>
                <w:sz w:val="17"/>
                <w:szCs w:val="17"/>
                <w:color w:val="auto"/>
              </w:rPr>
            </w:pPr>
          </w:p>
        </w:tc>
        <w:tc>
          <w:tcPr>
            <w:tcW w:w="96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189,297</w:t>
            </w:r>
          </w:p>
        </w:tc>
        <w:tc>
          <w:tcPr>
            <w:tcW w:w="12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6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163,331</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35,565</w:t>
            </w:r>
          </w:p>
        </w:tc>
        <w:tc>
          <w:tcPr>
            <w:tcW w:w="10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16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39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Segment operating income</w:t>
            </w: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w w:val="88"/>
              </w:rPr>
              <w:t>$</w:t>
            </w: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26,345</w:t>
            </w:r>
          </w:p>
        </w:tc>
        <w:tc>
          <w:tcPr>
            <w:tcW w:w="2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10,199</w:t>
            </w:r>
          </w:p>
        </w:tc>
        <w:tc>
          <w:tcPr>
            <w:tcW w:w="22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8,416</w:t>
            </w:r>
          </w:p>
        </w:tc>
        <w:tc>
          <w:tcPr>
            <w:tcW w:w="2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6,806</w:t>
            </w:r>
          </w:p>
        </w:tc>
        <w:tc>
          <w:tcPr>
            <w:tcW w:w="1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51,766</w:t>
            </w:r>
          </w:p>
        </w:tc>
        <w:tc>
          <w:tcPr>
            <w:tcW w:w="100" w:type="dxa"/>
            <w:vAlign w:val="bottom"/>
            <w:tcBorders>
              <w:bottom w:val="single" w:sz="8" w:color="1E1E1E"/>
            </w:tcBorders>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90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color w:val="1E1E1E"/>
              </w:rPr>
              <w:t>Unallocated selling and administrative expenses</w:t>
            </w:r>
          </w:p>
        </w:tc>
        <w:tc>
          <w:tcPr>
            <w:tcW w:w="100" w:type="dxa"/>
            <w:vAlign w:val="bottom"/>
            <w:tcBorders>
              <w:top w:val="single" w:sz="8" w:color="E4E4E4"/>
            </w:tcBorders>
            <w:shd w:val="clear" w:color="auto" w:fill="E4E4E4"/>
          </w:tcPr>
          <w:p>
            <w:pPr>
              <w:spacing w:after="0"/>
              <w:rPr>
                <w:sz w:val="16"/>
                <w:szCs w:val="16"/>
                <w:color w:val="auto"/>
              </w:rPr>
            </w:pPr>
          </w:p>
        </w:tc>
        <w:tc>
          <w:tcPr>
            <w:tcW w:w="114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96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6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16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34,606</w:t>
            </w:r>
          </w:p>
        </w:tc>
        <w:tc>
          <w:tcPr>
            <w:tcW w:w="100" w:type="dxa"/>
            <w:vAlign w:val="bottom"/>
            <w:tcBorders>
              <w:top w:val="single" w:sz="8" w:color="E4E4E4"/>
            </w:tcBorders>
            <w:shd w:val="clear" w:color="auto" w:fill="E4E4E4"/>
          </w:tcPr>
          <w:p>
            <w:pPr>
              <w:spacing w:after="0"/>
              <w:rPr>
                <w:sz w:val="16"/>
                <w:szCs w:val="16"/>
                <w:color w:val="auto"/>
              </w:rPr>
            </w:pPr>
          </w:p>
        </w:tc>
      </w:tr>
      <w:tr>
        <w:trPr>
          <w:trHeight w:val="246"/>
        </w:trPr>
        <w:tc>
          <w:tcPr>
            <w:tcW w:w="20" w:type="dxa"/>
            <w:vAlign w:val="bottom"/>
          </w:tcPr>
          <w:p>
            <w:pPr>
              <w:spacing w:after="0"/>
              <w:rPr>
                <w:sz w:val="20"/>
                <w:szCs w:val="20"/>
                <w:color w:val="auto"/>
              </w:rPr>
            </w:pPr>
          </w:p>
        </w:tc>
        <w:tc>
          <w:tcPr>
            <w:tcW w:w="3900" w:type="dxa"/>
            <w:vAlign w:val="bottom"/>
            <w:tcBorders>
              <w:bottom w:val="single" w:sz="8" w:color="1E1E1E"/>
            </w:tcBorders>
          </w:tcPr>
          <w:p>
            <w:pPr>
              <w:spacing w:after="0" w:line="221" w:lineRule="exact"/>
              <w:rPr>
                <w:sz w:val="20"/>
                <w:szCs w:val="20"/>
                <w:color w:val="auto"/>
              </w:rPr>
            </w:pPr>
            <w:r>
              <w:rPr>
                <w:rFonts w:ascii="Times New Roman" w:cs="Times New Roman" w:eastAsia="Times New Roman" w:hAnsi="Times New Roman"/>
                <w:sz w:val="18"/>
                <w:szCs w:val="18"/>
                <w:color w:val="1E1E1E"/>
              </w:rPr>
              <w:t>Asset impairments and other</w:t>
            </w:r>
            <w:r>
              <w:rPr>
                <w:rFonts w:ascii="Times New Roman" w:cs="Times New Roman" w:eastAsia="Times New Roman" w:hAnsi="Times New Roman"/>
                <w:sz w:val="24"/>
                <w:szCs w:val="24"/>
                <w:color w:val="1E1E1E"/>
                <w:vertAlign w:val="superscript"/>
              </w:rPr>
              <w:t>(2)</w:t>
            </w:r>
          </w:p>
        </w:tc>
        <w:tc>
          <w:tcPr>
            <w:tcW w:w="10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6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80" w:type="dxa"/>
            <w:vAlign w:val="bottom"/>
            <w:tcBorders>
              <w:bottom w:val="single" w:sz="8" w:color="1E1E1E"/>
            </w:tcBorders>
          </w:tcPr>
          <w:p>
            <w:pPr>
              <w:spacing w:after="0"/>
              <w:rPr>
                <w:sz w:val="20"/>
                <w:szCs w:val="20"/>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3,235</w:t>
            </w:r>
          </w:p>
        </w:tc>
        <w:tc>
          <w:tcPr>
            <w:tcW w:w="100" w:type="dxa"/>
            <w:vAlign w:val="bottom"/>
            <w:tcBorders>
              <w:bottom w:val="single" w:sz="8" w:color="1E1E1E"/>
            </w:tcBorders>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90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b w:val="1"/>
                <w:bCs w:val="1"/>
                <w:color w:val="1E1E1E"/>
              </w:rPr>
              <w:t>Operating income</w:t>
            </w:r>
          </w:p>
        </w:tc>
        <w:tc>
          <w:tcPr>
            <w:tcW w:w="100" w:type="dxa"/>
            <w:vAlign w:val="bottom"/>
            <w:tcBorders>
              <w:top w:val="single" w:sz="8" w:color="E4E4E4"/>
            </w:tcBorders>
            <w:shd w:val="clear" w:color="auto" w:fill="E4E4E4"/>
          </w:tcPr>
          <w:p>
            <w:pPr>
              <w:spacing w:after="0"/>
              <w:rPr>
                <w:sz w:val="16"/>
                <w:szCs w:val="16"/>
                <w:color w:val="auto"/>
              </w:rPr>
            </w:pPr>
          </w:p>
        </w:tc>
        <w:tc>
          <w:tcPr>
            <w:tcW w:w="114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96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6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16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13,925</w:t>
            </w:r>
          </w:p>
        </w:tc>
        <w:tc>
          <w:tcPr>
            <w:tcW w:w="100" w:type="dxa"/>
            <w:vAlign w:val="bottom"/>
            <w:tcBorders>
              <w:top w:val="single" w:sz="8" w:color="E4E4E4"/>
            </w:tcBorders>
            <w:shd w:val="clear" w:color="auto" w:fill="E4E4E4"/>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3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1E1E1E"/>
              </w:rPr>
              <w:t>Other components of net periodic benefit cost</w:t>
            </w:r>
          </w:p>
        </w:tc>
        <w:tc>
          <w:tcPr>
            <w:tcW w:w="100" w:type="dxa"/>
            <w:vAlign w:val="bottom"/>
            <w:tcBorders>
              <w:bottom w:val="single" w:sz="8" w:color="E4E4E4"/>
            </w:tcBorders>
          </w:tcPr>
          <w:p>
            <w:pPr>
              <w:spacing w:after="0"/>
              <w:rPr>
                <w:sz w:val="19"/>
                <w:szCs w:val="19"/>
                <w:color w:val="auto"/>
              </w:rPr>
            </w:pPr>
          </w:p>
        </w:tc>
        <w:tc>
          <w:tcPr>
            <w:tcW w:w="114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20" w:type="dxa"/>
            <w:vAlign w:val="bottom"/>
            <w:tcBorders>
              <w:bottom w:val="single" w:sz="8" w:color="E4E4E4"/>
            </w:tcBorders>
          </w:tcPr>
          <w:p>
            <w:pPr>
              <w:spacing w:after="0"/>
              <w:rPr>
                <w:sz w:val="19"/>
                <w:szCs w:val="19"/>
                <w:color w:val="auto"/>
              </w:rPr>
            </w:pPr>
          </w:p>
        </w:tc>
        <w:tc>
          <w:tcPr>
            <w:tcW w:w="960" w:type="dxa"/>
            <w:vAlign w:val="bottom"/>
            <w:tcBorders>
              <w:bottom w:val="single" w:sz="8" w:color="E4E4E4"/>
            </w:tcBorders>
          </w:tcPr>
          <w:p>
            <w:pPr>
              <w:spacing w:after="0"/>
              <w:rPr>
                <w:sz w:val="19"/>
                <w:szCs w:val="19"/>
                <w:color w:val="auto"/>
              </w:rPr>
            </w:pPr>
          </w:p>
        </w:tc>
        <w:tc>
          <w:tcPr>
            <w:tcW w:w="12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6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1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367</w:t>
            </w:r>
          </w:p>
        </w:tc>
        <w:tc>
          <w:tcPr>
            <w:tcW w:w="100" w:type="dxa"/>
            <w:vAlign w:val="bottom"/>
            <w:tcBorders>
              <w:bottom w:val="single" w:sz="8" w:color="E4E4E4"/>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900" w:type="dxa"/>
            <w:vAlign w:val="bottom"/>
            <w:tcBorders>
              <w:bottom w:val="single" w:sz="8" w:color="1E1E1E"/>
            </w:tcBorders>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Interest expense, net</w:t>
            </w:r>
          </w:p>
        </w:tc>
        <w:tc>
          <w:tcPr>
            <w:tcW w:w="100" w:type="dxa"/>
            <w:vAlign w:val="bottom"/>
            <w:tcBorders>
              <w:bottom w:val="single" w:sz="8" w:color="1E1E1E"/>
            </w:tcBorders>
            <w:shd w:val="clear" w:color="auto" w:fill="E4E4E4"/>
          </w:tcPr>
          <w:p>
            <w:pPr>
              <w:spacing w:after="0"/>
              <w:rPr>
                <w:sz w:val="17"/>
                <w:szCs w:val="17"/>
                <w:color w:val="auto"/>
              </w:rPr>
            </w:pPr>
          </w:p>
        </w:tc>
        <w:tc>
          <w:tcPr>
            <w:tcW w:w="114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20" w:type="dxa"/>
            <w:vAlign w:val="bottom"/>
            <w:tcBorders>
              <w:bottom w:val="single" w:sz="8" w:color="1E1E1E"/>
            </w:tcBorders>
            <w:shd w:val="clear" w:color="auto" w:fill="E4E4E4"/>
          </w:tcPr>
          <w:p>
            <w:pPr>
              <w:spacing w:after="0"/>
              <w:rPr>
                <w:sz w:val="17"/>
                <w:szCs w:val="17"/>
                <w:color w:val="auto"/>
              </w:rPr>
            </w:pPr>
          </w:p>
        </w:tc>
        <w:tc>
          <w:tcPr>
            <w:tcW w:w="960" w:type="dxa"/>
            <w:vAlign w:val="bottom"/>
            <w:tcBorders>
              <w:bottom w:val="single" w:sz="8" w:color="1E1E1E"/>
            </w:tcBorders>
            <w:shd w:val="clear" w:color="auto" w:fill="E4E4E4"/>
          </w:tcPr>
          <w:p>
            <w:pPr>
              <w:spacing w:after="0"/>
              <w:rPr>
                <w:sz w:val="17"/>
                <w:szCs w:val="17"/>
                <w:color w:val="auto"/>
              </w:rPr>
            </w:pPr>
          </w:p>
        </w:tc>
        <w:tc>
          <w:tcPr>
            <w:tcW w:w="12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6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16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4,250</w:t>
            </w:r>
          </w:p>
        </w:tc>
        <w:tc>
          <w:tcPr>
            <w:tcW w:w="100" w:type="dxa"/>
            <w:vAlign w:val="bottom"/>
            <w:tcBorders>
              <w:bottom w:val="single" w:sz="8" w:color="1E1E1E"/>
            </w:tcBorders>
            <w:shd w:val="clear" w:color="auto" w:fill="E4E4E4"/>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390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1E1E1E"/>
              </w:rPr>
              <w:t>Earnings from continuing operations before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20" w:type="dxa"/>
            <w:vAlign w:val="bottom"/>
            <w:tcBorders>
              <w:bottom w:val="single" w:sz="8" w:color="1E1E1E"/>
            </w:tcBorders>
          </w:tcPr>
          <w:p>
            <w:pPr>
              <w:spacing w:after="0"/>
              <w:rPr>
                <w:sz w:val="20"/>
                <w:szCs w:val="20"/>
                <w:color w:val="auto"/>
              </w:rPr>
            </w:pPr>
          </w:p>
        </w:tc>
        <w:tc>
          <w:tcPr>
            <w:tcW w:w="39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b w:val="1"/>
                <w:bCs w:val="1"/>
                <w:color w:val="1E1E1E"/>
              </w:rPr>
              <w:t>income taxes</w:t>
            </w:r>
          </w:p>
        </w:tc>
        <w:tc>
          <w:tcPr>
            <w:tcW w:w="10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6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0" w:type="dxa"/>
            <w:vAlign w:val="bottom"/>
            <w:tcBorders>
              <w:bottom w:val="single" w:sz="8" w:color="1E1E1E"/>
            </w:tcBorders>
          </w:tcPr>
          <w:p>
            <w:pPr>
              <w:spacing w:after="0"/>
              <w:rPr>
                <w:sz w:val="20"/>
                <w:szCs w:val="20"/>
                <w:color w:val="auto"/>
              </w:rPr>
            </w:pPr>
          </w:p>
        </w:tc>
        <w:tc>
          <w:tcPr>
            <w:tcW w:w="1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9,308</w:t>
            </w:r>
          </w:p>
        </w:tc>
        <w:tc>
          <w:tcPr>
            <w:tcW w:w="100" w:type="dxa"/>
            <w:vAlign w:val="bottom"/>
            <w:tcBorders>
              <w:bottom w:val="single" w:sz="8" w:color="1E1E1E"/>
            </w:tcBorders>
          </w:tcPr>
          <w:p>
            <w:pPr>
              <w:spacing w:after="0"/>
              <w:rPr>
                <w:sz w:val="20"/>
                <w:szCs w:val="20"/>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39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-1442720</wp:posOffset>
                </wp:positionV>
                <wp:extent cx="651065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113.5999pt" to="513.3pt,-113.5999pt" o:allowincell="f" strokecolor="#FFFFFF" strokeweight="0.72pt"/>
            </w:pict>
          </mc:Fallback>
        </mc:AlternateContent>
      </w:r>
    </w:p>
    <w:p>
      <w:pPr>
        <w:spacing w:after="0" w:line="189" w:lineRule="exact"/>
        <w:rPr>
          <w:sz w:val="20"/>
          <w:szCs w:val="20"/>
          <w:color w:val="auto"/>
        </w:rPr>
      </w:pPr>
    </w:p>
    <w:p>
      <w:pPr>
        <w:ind w:left="380" w:hanging="366"/>
        <w:spacing w:after="0" w:line="253" w:lineRule="auto"/>
        <w:tabs>
          <w:tab w:leader="none" w:pos="367" w:val="left"/>
        </w:tabs>
        <w:numPr>
          <w:ilvl w:val="0"/>
          <w:numId w:val="25"/>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Net sales in North America and in the United Kingdom, which includes the Republic of Ireland, accounted for 79% and 21%, respectively, of our net sales for Fiscal 2025.</w:t>
      </w:r>
    </w:p>
    <w:p>
      <w:pPr>
        <w:spacing w:after="0" w:line="1" w:lineRule="exact"/>
        <w:rPr>
          <w:rFonts w:ascii="Times New Roman" w:cs="Times New Roman" w:eastAsia="Times New Roman" w:hAnsi="Times New Roman"/>
          <w:sz w:val="24"/>
          <w:szCs w:val="24"/>
          <w:color w:val="1E1E1E"/>
          <w:vertAlign w:val="superscript"/>
        </w:rPr>
      </w:pPr>
    </w:p>
    <w:p>
      <w:pPr>
        <w:ind w:left="380" w:right="20" w:hanging="366"/>
        <w:spacing w:after="0" w:line="269" w:lineRule="auto"/>
        <w:tabs>
          <w:tab w:leader="none" w:pos="257" w:val="left"/>
        </w:tabs>
        <w:numPr>
          <w:ilvl w:val="0"/>
          <w:numId w:val="25"/>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Asset impairments and other includes $1.8 million for severance and $1.4 million charge for asset impairments, of which $0.8 million is in Journeys Group and $0.6 million is in Schuh Group.</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Fiscal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26035</wp:posOffset>
                </wp:positionV>
                <wp:extent cx="444690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69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05pt" to="350.8pt,2.0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4461510</wp:posOffset>
                </wp:positionH>
                <wp:positionV relativeFrom="paragraph">
                  <wp:posOffset>26035</wp:posOffset>
                </wp:positionV>
                <wp:extent cx="66421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3pt,2.05pt" to="403.6pt,2.0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5128895</wp:posOffset>
                </wp:positionH>
                <wp:positionV relativeFrom="paragraph">
                  <wp:posOffset>19685</wp:posOffset>
                </wp:positionV>
                <wp:extent cx="12700" cy="127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108" o:spid="_x0000_s1133" style="position:absolute;margin-left:403.85pt;margin-top:1.55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5790565</wp:posOffset>
                </wp:positionH>
                <wp:positionV relativeFrom="paragraph">
                  <wp:posOffset>19685</wp:posOffset>
                </wp:positionV>
                <wp:extent cx="27305" cy="127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12700"/>
                        </a:xfrm>
                        <a:prstGeom prst="rect">
                          <a:avLst/>
                        </a:prstGeom>
                        <a:solidFill>
                          <a:srgbClr val="FFFFFF"/>
                        </a:solidFill>
                      </wps:spPr>
                      <wps:bodyPr/>
                    </wps:wsp>
                  </a:graphicData>
                </a:graphic>
              </wp:anchor>
            </w:drawing>
          </mc:Choice>
          <mc:Fallback>
            <w:pict>
              <v:rect id="Shape 109" o:spid="_x0000_s1134" style="position:absolute;margin-left:455.95pt;margin-top:1.55pt;width:2.1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080" w:type="dxa"/>
            <w:vAlign w:val="bottom"/>
            <w:tcBorders>
              <w:top w:val="single" w:sz="8" w:color="1E1E1E"/>
            </w:tcBorders>
          </w:tcPr>
          <w:p>
            <w:pPr>
              <w:spacing w:after="0"/>
              <w:rPr>
                <w:sz w:val="3"/>
                <w:szCs w:val="3"/>
                <w:color w:val="auto"/>
              </w:rPr>
            </w:pPr>
          </w:p>
        </w:tc>
        <w:tc>
          <w:tcPr>
            <w:tcW w:w="110" w:type="dxa"/>
            <w:vAlign w:val="bottom"/>
            <w:tcBorders>
              <w:top w:val="single" w:sz="8" w:color="1E1E1E"/>
            </w:tcBorders>
          </w:tcPr>
          <w:p>
            <w:pPr>
              <w:spacing w:after="0"/>
              <w:rPr>
                <w:sz w:val="3"/>
                <w:szCs w:val="3"/>
                <w:color w:val="auto"/>
              </w:rPr>
            </w:pPr>
          </w:p>
        </w:tc>
        <w:tc>
          <w:tcPr>
            <w:tcW w:w="850" w:type="dxa"/>
            <w:vAlign w:val="bottom"/>
            <w:tcBorders>
              <w:top w:val="single" w:sz="8" w:color="1E1E1E"/>
            </w:tcBorders>
          </w:tcPr>
          <w:p>
            <w:pPr>
              <w:spacing w:after="0"/>
              <w:rPr>
                <w:sz w:val="3"/>
                <w:szCs w:val="3"/>
                <w:color w:val="auto"/>
              </w:rPr>
            </w:pPr>
          </w:p>
        </w:tc>
        <w:tc>
          <w:tcPr>
            <w:tcW w:w="100" w:type="dxa"/>
            <w:vAlign w:val="bottom"/>
            <w:tcBorders>
              <w:top w:val="single" w:sz="8" w:color="1E1E1E"/>
            </w:tcBorders>
          </w:tcPr>
          <w:p>
            <w:pPr>
              <w:spacing w:after="0"/>
              <w:rPr>
                <w:sz w:val="3"/>
                <w:szCs w:val="3"/>
                <w:color w:val="auto"/>
              </w:rPr>
            </w:pPr>
          </w:p>
        </w:tc>
        <w:tc>
          <w:tcPr>
            <w:tcW w:w="100" w:type="dxa"/>
            <w:vAlign w:val="bottom"/>
            <w:tcBorders>
              <w:top w:val="single" w:sz="8" w:color="1E1E1E"/>
            </w:tcBorders>
          </w:tcPr>
          <w:p>
            <w:pPr>
              <w:spacing w:after="0"/>
              <w:rPr>
                <w:sz w:val="3"/>
                <w:szCs w:val="3"/>
                <w:color w:val="auto"/>
              </w:rPr>
            </w:pPr>
          </w:p>
        </w:tc>
        <w:tc>
          <w:tcPr>
            <w:tcW w:w="740" w:type="dxa"/>
            <w:vAlign w:val="bottom"/>
            <w:tcBorders>
              <w:top w:val="single" w:sz="8" w:color="1E1E1E"/>
            </w:tcBorders>
          </w:tcPr>
          <w:p>
            <w:pPr>
              <w:spacing w:after="0"/>
              <w:rPr>
                <w:sz w:val="3"/>
                <w:szCs w:val="3"/>
                <w:color w:val="auto"/>
              </w:rPr>
            </w:pPr>
          </w:p>
        </w:tc>
        <w:tc>
          <w:tcPr>
            <w:tcW w:w="100" w:type="dxa"/>
            <w:vAlign w:val="bottom"/>
            <w:tcBorders>
              <w:top w:val="single" w:sz="8" w:color="1E1E1E"/>
            </w:tcBorders>
          </w:tcPr>
          <w:p>
            <w:pPr>
              <w:spacing w:after="0"/>
              <w:rPr>
                <w:sz w:val="3"/>
                <w:szCs w:val="3"/>
                <w:color w:val="auto"/>
              </w:rPr>
            </w:pPr>
          </w:p>
        </w:tc>
        <w:tc>
          <w:tcPr>
            <w:tcW w:w="80" w:type="dxa"/>
            <w:vAlign w:val="bottom"/>
            <w:tcBorders>
              <w:top w:val="single" w:sz="8" w:color="1E1E1E"/>
            </w:tcBorders>
          </w:tcPr>
          <w:p>
            <w:pPr>
              <w:spacing w:after="0"/>
              <w:rPr>
                <w:sz w:val="3"/>
                <w:szCs w:val="3"/>
                <w:color w:val="auto"/>
              </w:rPr>
            </w:pPr>
          </w:p>
        </w:tc>
        <w:tc>
          <w:tcPr>
            <w:tcW w:w="800" w:type="dxa"/>
            <w:vAlign w:val="bottom"/>
            <w:tcBorders>
              <w:top w:val="single" w:sz="8" w:color="1E1E1E"/>
            </w:tcBorders>
            <w:vMerge w:val="restart"/>
          </w:tcPr>
          <w:p>
            <w:pPr>
              <w:jc w:val="center"/>
              <w:ind w:right="9"/>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Johnston</w:t>
            </w:r>
          </w:p>
        </w:tc>
        <w:tc>
          <w:tcPr>
            <w:tcW w:w="100" w:type="dxa"/>
            <w:vAlign w:val="bottom"/>
            <w:tcBorders>
              <w:top w:val="single" w:sz="8" w:color="1E1E1E"/>
            </w:tcBorders>
          </w:tcPr>
          <w:p>
            <w:pPr>
              <w:spacing w:after="0"/>
              <w:rPr>
                <w:sz w:val="3"/>
                <w:szCs w:val="3"/>
                <w:color w:val="auto"/>
              </w:rPr>
            </w:pPr>
          </w:p>
        </w:tc>
        <w:tc>
          <w:tcPr>
            <w:tcW w:w="100" w:type="dxa"/>
            <w:vAlign w:val="bottom"/>
            <w:tcBorders>
              <w:top w:val="single" w:sz="8" w:color="1E1E1E"/>
            </w:tcBorders>
          </w:tcPr>
          <w:p>
            <w:pPr>
              <w:spacing w:after="0"/>
              <w:rPr>
                <w:sz w:val="3"/>
                <w:szCs w:val="3"/>
                <w:color w:val="auto"/>
              </w:rPr>
            </w:pPr>
          </w:p>
        </w:tc>
        <w:tc>
          <w:tcPr>
            <w:tcW w:w="860" w:type="dxa"/>
            <w:vAlign w:val="bottom"/>
            <w:tcBorders>
              <w:top w:val="single" w:sz="8" w:color="1E1E1E"/>
              <w:right w:val="single" w:sz="8" w:color="1E1E1E"/>
            </w:tcBorders>
            <w:gridSpan w:val="2"/>
            <w:vMerge w:val="restart"/>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Genesco</w:t>
            </w:r>
          </w:p>
        </w:tc>
        <w:tc>
          <w:tcPr>
            <w:tcW w:w="1060" w:type="dxa"/>
            <w:vAlign w:val="bottom"/>
            <w:tcBorders>
              <w:top w:val="single" w:sz="8" w:color="1E1E1E"/>
              <w:right w:val="single" w:sz="8" w:color="1E1E1E"/>
            </w:tcBorders>
            <w:gridSpan w:val="3"/>
            <w:vMerge w:val="restart"/>
          </w:tcPr>
          <w:p>
            <w:pPr>
              <w:jc w:val="center"/>
              <w:ind w:right="160"/>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Reportable</w:t>
            </w:r>
          </w:p>
        </w:tc>
        <w:tc>
          <w:tcPr>
            <w:tcW w:w="80" w:type="dxa"/>
            <w:vAlign w:val="bottom"/>
            <w:tcBorders>
              <w:top w:val="single" w:sz="8" w:color="1E1E1E"/>
            </w:tcBorders>
          </w:tcPr>
          <w:p>
            <w:pPr>
              <w:spacing w:after="0"/>
              <w:rPr>
                <w:sz w:val="3"/>
                <w:szCs w:val="3"/>
                <w:color w:val="auto"/>
              </w:rPr>
            </w:pPr>
          </w:p>
        </w:tc>
        <w:tc>
          <w:tcPr>
            <w:tcW w:w="840" w:type="dxa"/>
            <w:vAlign w:val="bottom"/>
            <w:tcBorders>
              <w:top w:val="single" w:sz="8" w:color="1E1E1E"/>
            </w:tcBorders>
          </w:tcPr>
          <w:p>
            <w:pPr>
              <w:spacing w:after="0"/>
              <w:rPr>
                <w:sz w:val="3"/>
                <w:szCs w:val="3"/>
                <w:color w:val="auto"/>
              </w:rPr>
            </w:pPr>
          </w:p>
        </w:tc>
        <w:tc>
          <w:tcPr>
            <w:tcW w:w="140" w:type="dxa"/>
            <w:vAlign w:val="bottom"/>
            <w:tcBorders>
              <w:top w:val="single" w:sz="8" w:color="1E1E1E"/>
              <w:right w:val="single" w:sz="8" w:color="1E1E1E"/>
            </w:tcBorders>
          </w:tcPr>
          <w:p>
            <w:pPr>
              <w:spacing w:after="0"/>
              <w:rPr>
                <w:sz w:val="3"/>
                <w:szCs w:val="3"/>
                <w:color w:val="auto"/>
              </w:rPr>
            </w:pPr>
          </w:p>
        </w:tc>
        <w:tc>
          <w:tcPr>
            <w:tcW w:w="90" w:type="dxa"/>
            <w:vAlign w:val="bottom"/>
            <w:tcBorders>
              <w:top w:val="single" w:sz="8" w:color="1E1E1E"/>
            </w:tcBorders>
          </w:tcPr>
          <w:p>
            <w:pPr>
              <w:spacing w:after="0"/>
              <w:rPr>
                <w:sz w:val="3"/>
                <w:szCs w:val="3"/>
                <w:color w:val="auto"/>
              </w:rPr>
            </w:pPr>
          </w:p>
        </w:tc>
        <w:tc>
          <w:tcPr>
            <w:tcW w:w="910" w:type="dxa"/>
            <w:vAlign w:val="bottom"/>
            <w:tcBorders>
              <w:top w:val="single" w:sz="8" w:color="1E1E1E"/>
            </w:tcBorders>
          </w:tcPr>
          <w:p>
            <w:pPr>
              <w:spacing w:after="0"/>
              <w:rPr>
                <w:sz w:val="3"/>
                <w:szCs w:val="3"/>
                <w:color w:val="auto"/>
              </w:rPr>
            </w:pPr>
          </w:p>
        </w:tc>
        <w:tc>
          <w:tcPr>
            <w:tcW w:w="120" w:type="dxa"/>
            <w:vAlign w:val="bottom"/>
            <w:tcBorders>
              <w:top w:val="single" w:sz="8" w:color="1E1E1E"/>
              <w:right w:val="single" w:sz="8" w:color="1E1E1E"/>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5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1E1E1E"/>
            </w:tcBorders>
            <w:gridSpan w:val="2"/>
            <w:vMerge w:val="continue"/>
          </w:tcPr>
          <w:p>
            <w:pPr>
              <w:spacing w:after="0"/>
              <w:rPr>
                <w:sz w:val="12"/>
                <w:szCs w:val="12"/>
                <w:color w:val="auto"/>
              </w:rPr>
            </w:pPr>
          </w:p>
        </w:tc>
        <w:tc>
          <w:tcPr>
            <w:tcW w:w="1060" w:type="dxa"/>
            <w:vAlign w:val="bottom"/>
            <w:tcBorders>
              <w:right w:val="single" w:sz="8" w:color="1E1E1E"/>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right w:val="single" w:sz="8" w:color="1E1E1E"/>
            </w:tcBorders>
          </w:tcPr>
          <w:p>
            <w:pPr>
              <w:spacing w:after="0"/>
              <w:rPr>
                <w:sz w:val="12"/>
                <w:szCs w:val="12"/>
                <w:color w:val="auto"/>
              </w:rPr>
            </w:pPr>
          </w:p>
        </w:tc>
        <w:tc>
          <w:tcPr>
            <w:tcW w:w="9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120" w:type="dxa"/>
            <w:vAlign w:val="bottom"/>
            <w:tcBorders>
              <w:right w:val="single" w:sz="8" w:color="1E1E1E"/>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50" w:type="dxa"/>
            <w:vAlign w:val="bottom"/>
          </w:tcPr>
          <w:p>
            <w:pPr>
              <w:jc w:val="right"/>
              <w:ind w:right="49"/>
              <w:spacing w:after="0"/>
              <w:rPr>
                <w:sz w:val="20"/>
                <w:szCs w:val="20"/>
                <w:color w:val="auto"/>
              </w:rPr>
            </w:pPr>
            <w:r>
              <w:rPr>
                <w:rFonts w:ascii="Times New Roman" w:cs="Times New Roman" w:eastAsia="Times New Roman" w:hAnsi="Times New Roman"/>
                <w:sz w:val="18"/>
                <w:szCs w:val="18"/>
                <w:b w:val="1"/>
                <w:bCs w:val="1"/>
                <w:color w:val="1E1E1E"/>
                <w:w w:val="97"/>
              </w:rPr>
              <w:t>Journeys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8"/>
                <w:szCs w:val="18"/>
                <w:b w:val="1"/>
                <w:bCs w:val="1"/>
                <w:color w:val="1E1E1E"/>
              </w:rPr>
              <w:t>Schuh</w:t>
            </w:r>
          </w:p>
        </w:tc>
        <w:tc>
          <w:tcPr>
            <w:tcW w:w="10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1E1E1E"/>
              </w:rPr>
              <w:t>&amp; Murphy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w w:val="99"/>
              </w:rPr>
              <w:t>Brands</w:t>
            </w:r>
          </w:p>
        </w:tc>
        <w:tc>
          <w:tcPr>
            <w:tcW w:w="80" w:type="dxa"/>
            <w:vAlign w:val="bottom"/>
          </w:tcPr>
          <w:p>
            <w:pPr>
              <w:spacing w:after="0"/>
              <w:rPr>
                <w:sz w:val="17"/>
                <w:szCs w:val="17"/>
                <w:color w:val="auto"/>
              </w:rPr>
            </w:pPr>
          </w:p>
        </w:tc>
        <w:tc>
          <w:tcPr>
            <w:tcW w:w="980" w:type="dxa"/>
            <w:vAlign w:val="bottom"/>
            <w:tcBorders>
              <w:right w:val="single" w:sz="8" w:color="1E1E1E"/>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1E1E1E"/>
                <w:w w:val="99"/>
              </w:rPr>
              <w:t>Segment</w:t>
            </w:r>
          </w:p>
        </w:tc>
        <w:tc>
          <w:tcPr>
            <w:tcW w:w="1060" w:type="dxa"/>
            <w:vAlign w:val="bottom"/>
            <w:tcBorders>
              <w:right w:val="single" w:sz="8" w:color="1E1E1E"/>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1E1E1E"/>
              </w:rPr>
              <w:t>Corporate</w:t>
            </w:r>
          </w:p>
        </w:tc>
        <w:tc>
          <w:tcPr>
            <w:tcW w:w="90" w:type="dxa"/>
            <w:vAlign w:val="bottom"/>
          </w:tcPr>
          <w:p>
            <w:pPr>
              <w:spacing w:after="0"/>
              <w:rPr>
                <w:sz w:val="17"/>
                <w:szCs w:val="17"/>
                <w:color w:val="auto"/>
              </w:rPr>
            </w:pPr>
          </w:p>
        </w:tc>
        <w:tc>
          <w:tcPr>
            <w:tcW w:w="910" w:type="dxa"/>
            <w:vAlign w:val="bottom"/>
          </w:tcPr>
          <w:p>
            <w:pPr>
              <w:spacing w:after="0"/>
              <w:rPr>
                <w:sz w:val="17"/>
                <w:szCs w:val="17"/>
                <w:color w:val="auto"/>
              </w:rPr>
            </w:pPr>
          </w:p>
        </w:tc>
        <w:tc>
          <w:tcPr>
            <w:tcW w:w="120" w:type="dxa"/>
            <w:vAlign w:val="bottom"/>
            <w:tcBorders>
              <w:right w:val="single" w:sz="8" w:color="1E1E1E"/>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30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(In thousands)</w:t>
            </w:r>
          </w:p>
        </w:tc>
        <w:tc>
          <w:tcPr>
            <w:tcW w:w="110" w:type="dxa"/>
            <w:vAlign w:val="bottom"/>
            <w:tcBorders>
              <w:bottom w:val="single" w:sz="8" w:color="1E1E1E"/>
            </w:tcBorders>
          </w:tcPr>
          <w:p>
            <w:pPr>
              <w:spacing w:after="0"/>
              <w:rPr>
                <w:sz w:val="21"/>
                <w:szCs w:val="21"/>
                <w:color w:val="auto"/>
              </w:rPr>
            </w:pPr>
          </w:p>
        </w:tc>
        <w:tc>
          <w:tcPr>
            <w:tcW w:w="850" w:type="dxa"/>
            <w:vAlign w:val="bottom"/>
            <w:tcBorders>
              <w:bottom w:val="single" w:sz="8" w:color="1E1E1E"/>
            </w:tcBorders>
          </w:tcPr>
          <w:p>
            <w:pPr>
              <w:jc w:val="right"/>
              <w:ind w:right="12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740" w:type="dxa"/>
            <w:vAlign w:val="bottom"/>
            <w:tcBorders>
              <w:bottom w:val="single" w:sz="8" w:color="1E1E1E"/>
            </w:tcBorders>
          </w:tcPr>
          <w:p>
            <w:pPr>
              <w:jc w:val="right"/>
              <w:ind w:right="8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80" w:type="dxa"/>
            <w:vAlign w:val="bottom"/>
            <w:tcBorders>
              <w:bottom w:val="single" w:sz="8" w:color="1E1E1E"/>
            </w:tcBorders>
          </w:tcPr>
          <w:p>
            <w:pPr>
              <w:spacing w:after="0"/>
              <w:rPr>
                <w:sz w:val="21"/>
                <w:szCs w:val="21"/>
                <w:color w:val="auto"/>
              </w:rPr>
            </w:pPr>
          </w:p>
        </w:tc>
        <w:tc>
          <w:tcPr>
            <w:tcW w:w="8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860" w:type="dxa"/>
            <w:vAlign w:val="bottom"/>
            <w:tcBorders>
              <w:bottom w:val="single" w:sz="8" w:color="1E1E1E"/>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8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w w:val="97"/>
              </w:rPr>
              <w:t>Total</w:t>
            </w:r>
          </w:p>
        </w:tc>
        <w:tc>
          <w:tcPr>
            <w:tcW w:w="8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right w:val="single" w:sz="8" w:color="1E1E1E"/>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1E1E1E"/>
              </w:rPr>
              <w:t>&amp; Other</w:t>
            </w:r>
          </w:p>
        </w:tc>
        <w:tc>
          <w:tcPr>
            <w:tcW w:w="1120" w:type="dxa"/>
            <w:vAlign w:val="bottom"/>
            <w:tcBorders>
              <w:bottom w:val="single" w:sz="8" w:color="1E1E1E"/>
              <w:right w:val="single" w:sz="8" w:color="1E1E1E"/>
            </w:tcBorders>
            <w:gridSpan w:val="3"/>
          </w:tcPr>
          <w:p>
            <w:pPr>
              <w:spacing w:after="0"/>
              <w:rPr>
                <w:sz w:val="20"/>
                <w:szCs w:val="20"/>
                <w:color w:val="auto"/>
              </w:rPr>
            </w:pPr>
            <w:r>
              <w:rPr>
                <w:rFonts w:ascii="Times New Roman" w:cs="Times New Roman" w:eastAsia="Times New Roman" w:hAnsi="Times New Roman"/>
                <w:sz w:val="18"/>
                <w:szCs w:val="18"/>
                <w:b w:val="1"/>
                <w:bCs w:val="1"/>
                <w:color w:val="1E1E1E"/>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8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7"/>
                <w:szCs w:val="17"/>
                <w:color w:val="1E1E1E"/>
              </w:rPr>
              <w:t>Total assets at fiscal year end</w:t>
            </w:r>
            <w:r>
              <w:rPr>
                <w:rFonts w:ascii="Times New Roman" w:cs="Times New Roman" w:eastAsia="Times New Roman" w:hAnsi="Times New Roman"/>
                <w:sz w:val="22"/>
                <w:szCs w:val="22"/>
                <w:color w:val="1E1E1E"/>
                <w:vertAlign w:val="superscript"/>
              </w:rPr>
              <w:t>(1)</w:t>
            </w:r>
          </w:p>
        </w:tc>
        <w:tc>
          <w:tcPr>
            <w:tcW w:w="11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85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673,560</w:t>
            </w: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7"/>
                <w:szCs w:val="17"/>
                <w:color w:val="1E1E1E"/>
                <w:w w:val="70"/>
                <w:shd w:val="clear" w:color="auto" w:fill="E4E4E4"/>
              </w:rPr>
              <w:t>$</w:t>
            </w:r>
          </w:p>
        </w:tc>
        <w:tc>
          <w:tcPr>
            <w:tcW w:w="74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189,103</w:t>
            </w:r>
          </w:p>
        </w:tc>
        <w:tc>
          <w:tcPr>
            <w:tcW w:w="10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7"/>
                <w:szCs w:val="17"/>
                <w:color w:val="1E1E1E"/>
                <w:w w:val="70"/>
                <w:shd w:val="clear" w:color="auto" w:fill="E4E4E4"/>
              </w:rPr>
              <w:t>$</w:t>
            </w:r>
          </w:p>
        </w:tc>
        <w:tc>
          <w:tcPr>
            <w:tcW w:w="80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183,118</w:t>
            </w: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74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77,154</w:t>
            </w:r>
          </w:p>
        </w:tc>
        <w:tc>
          <w:tcPr>
            <w:tcW w:w="120" w:type="dxa"/>
            <w:vAlign w:val="bottom"/>
            <w:tcBorders>
              <w:top w:val="single" w:sz="8" w:color="E4E4E4"/>
              <w:right w:val="single" w:sz="8" w:color="1E1E1E"/>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7"/>
                <w:szCs w:val="17"/>
                <w:color w:val="1E1E1E"/>
                <w:w w:val="70"/>
                <w:shd w:val="clear" w:color="auto" w:fill="E4E4E4"/>
              </w:rPr>
              <w:t>$</w:t>
            </w:r>
          </w:p>
        </w:tc>
        <w:tc>
          <w:tcPr>
            <w:tcW w:w="85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1,122,935</w:t>
            </w:r>
          </w:p>
        </w:tc>
        <w:tc>
          <w:tcPr>
            <w:tcW w:w="130" w:type="dxa"/>
            <w:vAlign w:val="bottom"/>
            <w:tcBorders>
              <w:top w:val="single" w:sz="8" w:color="E4E4E4"/>
              <w:right w:val="single" w:sz="8" w:color="1E1E1E"/>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7"/>
                <w:szCs w:val="17"/>
                <w:color w:val="1E1E1E"/>
                <w:w w:val="70"/>
                <w:shd w:val="clear" w:color="auto" w:fill="E4E4E4"/>
              </w:rPr>
              <w:t>$</w:t>
            </w:r>
          </w:p>
        </w:tc>
        <w:tc>
          <w:tcPr>
            <w:tcW w:w="84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212,601</w:t>
            </w:r>
          </w:p>
        </w:tc>
        <w:tc>
          <w:tcPr>
            <w:tcW w:w="140" w:type="dxa"/>
            <w:vAlign w:val="bottom"/>
            <w:tcBorders>
              <w:top w:val="single" w:sz="8" w:color="E4E4E4"/>
              <w:right w:val="single" w:sz="8" w:color="1E1E1E"/>
            </w:tcBorders>
            <w:shd w:val="clear" w:color="auto" w:fill="E4E4E4"/>
          </w:tcPr>
          <w:p>
            <w:pPr>
              <w:spacing w:after="0"/>
              <w:rPr>
                <w:sz w:val="16"/>
                <w:szCs w:val="16"/>
                <w:color w:val="auto"/>
              </w:rPr>
            </w:pPr>
          </w:p>
        </w:tc>
        <w:tc>
          <w:tcPr>
            <w:tcW w:w="9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91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1,335,536</w:t>
            </w:r>
          </w:p>
        </w:tc>
        <w:tc>
          <w:tcPr>
            <w:tcW w:w="120" w:type="dxa"/>
            <w:vAlign w:val="bottom"/>
            <w:tcBorders>
              <w:top w:val="single" w:sz="8" w:color="E4E4E4"/>
              <w:right w:val="single" w:sz="8" w:color="1E1E1E"/>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1E1E1E"/>
              </w:rPr>
              <w:t>Depreciation and amortization</w:t>
            </w:r>
          </w:p>
        </w:tc>
        <w:tc>
          <w:tcPr>
            <w:tcW w:w="96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33,785</w:t>
            </w: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7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7,545</w:t>
            </w:r>
          </w:p>
        </w:tc>
        <w:tc>
          <w:tcPr>
            <w:tcW w:w="98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18"/>
                <w:szCs w:val="18"/>
                <w:color w:val="1E1E1E"/>
              </w:rPr>
              <w:t>5,678</w:t>
            </w: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7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1,313</w:t>
            </w:r>
          </w:p>
        </w:tc>
        <w:tc>
          <w:tcPr>
            <w:tcW w:w="120" w:type="dxa"/>
            <w:vAlign w:val="bottom"/>
            <w:tcBorders>
              <w:bottom w:val="single" w:sz="8" w:color="E4E4E4"/>
              <w:right w:val="single" w:sz="8" w:color="1E1E1E"/>
            </w:tcBorders>
          </w:tcPr>
          <w:p>
            <w:pPr>
              <w:spacing w:after="0"/>
              <w:rPr>
                <w:sz w:val="19"/>
                <w:szCs w:val="19"/>
                <w:color w:val="auto"/>
              </w:rPr>
            </w:pPr>
          </w:p>
        </w:tc>
        <w:tc>
          <w:tcPr>
            <w:tcW w:w="93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48,321</w:t>
            </w:r>
          </w:p>
        </w:tc>
        <w:tc>
          <w:tcPr>
            <w:tcW w:w="130" w:type="dxa"/>
            <w:vAlign w:val="bottom"/>
            <w:tcBorders>
              <w:bottom w:val="single" w:sz="8" w:color="E4E4E4"/>
              <w:right w:val="single" w:sz="8" w:color="1E1E1E"/>
            </w:tcBorders>
          </w:tcPr>
          <w:p>
            <w:pPr>
              <w:spacing w:after="0"/>
              <w:rPr>
                <w:sz w:val="19"/>
                <w:szCs w:val="19"/>
                <w:color w:val="auto"/>
              </w:rPr>
            </w:pPr>
          </w:p>
        </w:tc>
        <w:tc>
          <w:tcPr>
            <w:tcW w:w="1060" w:type="dxa"/>
            <w:vAlign w:val="bottom"/>
            <w:tcBorders>
              <w:bottom w:val="single" w:sz="8" w:color="E4E4E4"/>
              <w:right w:val="single" w:sz="8" w:color="1E1E1E"/>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1E1E1E"/>
              </w:rPr>
              <w:t>4,143</w:t>
            </w:r>
          </w:p>
        </w:tc>
        <w:tc>
          <w:tcPr>
            <w:tcW w:w="90" w:type="dxa"/>
            <w:vAlign w:val="bottom"/>
            <w:tcBorders>
              <w:bottom w:val="single" w:sz="8" w:color="E4E4E4"/>
            </w:tcBorders>
          </w:tcPr>
          <w:p>
            <w:pPr>
              <w:spacing w:after="0"/>
              <w:rPr>
                <w:sz w:val="19"/>
                <w:szCs w:val="19"/>
                <w:color w:val="auto"/>
              </w:rPr>
            </w:pPr>
          </w:p>
        </w:tc>
        <w:tc>
          <w:tcPr>
            <w:tcW w:w="91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52,464</w:t>
            </w:r>
          </w:p>
        </w:tc>
        <w:tc>
          <w:tcPr>
            <w:tcW w:w="120" w:type="dxa"/>
            <w:vAlign w:val="bottom"/>
            <w:tcBorders>
              <w:bottom w:val="single" w:sz="8" w:color="E4E4E4"/>
              <w:right w:val="single" w:sz="8" w:color="1E1E1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1E1E1E"/>
            </w:tcBorders>
          </w:tcPr>
          <w:p>
            <w:pPr>
              <w:spacing w:after="0"/>
              <w:rPr>
                <w:sz w:val="17"/>
                <w:szCs w:val="17"/>
                <w:color w:val="auto"/>
              </w:rPr>
            </w:pPr>
          </w:p>
        </w:tc>
        <w:tc>
          <w:tcPr>
            <w:tcW w:w="3080" w:type="dxa"/>
            <w:vAlign w:val="bottom"/>
            <w:tcBorders>
              <w:bottom w:val="single" w:sz="8" w:color="1E1E1E"/>
            </w:tcBorders>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Capital expenditures</w:t>
            </w:r>
          </w:p>
        </w:tc>
        <w:tc>
          <w:tcPr>
            <w:tcW w:w="110" w:type="dxa"/>
            <w:vAlign w:val="bottom"/>
            <w:tcBorders>
              <w:bottom w:val="single" w:sz="8" w:color="1E1E1E"/>
            </w:tcBorders>
            <w:shd w:val="clear" w:color="auto" w:fill="E4E4E4"/>
          </w:tcPr>
          <w:p>
            <w:pPr>
              <w:spacing w:after="0"/>
              <w:rPr>
                <w:sz w:val="17"/>
                <w:szCs w:val="17"/>
                <w:color w:val="auto"/>
              </w:rPr>
            </w:pPr>
          </w:p>
        </w:tc>
        <w:tc>
          <w:tcPr>
            <w:tcW w:w="85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20,478</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74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9,223</w:t>
            </w:r>
          </w:p>
        </w:tc>
        <w:tc>
          <w:tcPr>
            <w:tcW w:w="10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80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9,555</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74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785</w:t>
            </w:r>
          </w:p>
        </w:tc>
        <w:tc>
          <w:tcPr>
            <w:tcW w:w="120" w:type="dxa"/>
            <w:vAlign w:val="bottom"/>
            <w:tcBorders>
              <w:bottom w:val="single" w:sz="8" w:color="1E1E1E"/>
              <w:right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85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40,041</w:t>
            </w:r>
          </w:p>
        </w:tc>
        <w:tc>
          <w:tcPr>
            <w:tcW w:w="130" w:type="dxa"/>
            <w:vAlign w:val="bottom"/>
            <w:tcBorders>
              <w:bottom w:val="single" w:sz="8" w:color="1E1E1E"/>
              <w:right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84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1,091</w:t>
            </w:r>
          </w:p>
        </w:tc>
        <w:tc>
          <w:tcPr>
            <w:tcW w:w="140" w:type="dxa"/>
            <w:vAlign w:val="bottom"/>
            <w:tcBorders>
              <w:bottom w:val="single" w:sz="8" w:color="1E1E1E"/>
              <w:right w:val="single" w:sz="8" w:color="1E1E1E"/>
            </w:tcBorders>
            <w:shd w:val="clear" w:color="auto" w:fill="E4E4E4"/>
          </w:tcPr>
          <w:p>
            <w:pPr>
              <w:spacing w:after="0"/>
              <w:rPr>
                <w:sz w:val="17"/>
                <w:szCs w:val="17"/>
                <w:color w:val="auto"/>
              </w:rPr>
            </w:pPr>
          </w:p>
        </w:tc>
        <w:tc>
          <w:tcPr>
            <w:tcW w:w="90" w:type="dxa"/>
            <w:vAlign w:val="bottom"/>
            <w:tcBorders>
              <w:bottom w:val="single" w:sz="8" w:color="1E1E1E"/>
            </w:tcBorders>
            <w:shd w:val="clear" w:color="auto" w:fill="E4E4E4"/>
          </w:tcPr>
          <w:p>
            <w:pPr>
              <w:spacing w:after="0"/>
              <w:rPr>
                <w:sz w:val="17"/>
                <w:szCs w:val="17"/>
                <w:color w:val="auto"/>
              </w:rPr>
            </w:pPr>
          </w:p>
        </w:tc>
        <w:tc>
          <w:tcPr>
            <w:tcW w:w="91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41,132</w:t>
            </w:r>
          </w:p>
        </w:tc>
        <w:tc>
          <w:tcPr>
            <w:tcW w:w="120" w:type="dxa"/>
            <w:vAlign w:val="bottom"/>
            <w:tcBorders>
              <w:bottom w:val="single" w:sz="8" w:color="1E1E1E"/>
              <w:right w:val="single" w:sz="8" w:color="1E1E1E"/>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3080" w:type="dxa"/>
            <w:vAlign w:val="bottom"/>
            <w:tcBorders>
              <w:bottom w:val="single" w:sz="8" w:color="1E1E1E"/>
            </w:tcBorders>
          </w:tcPr>
          <w:p>
            <w:pPr>
              <w:spacing w:after="0" w:line="20" w:lineRule="exact"/>
              <w:rPr>
                <w:sz w:val="1"/>
                <w:szCs w:val="1"/>
                <w:color w:val="auto"/>
              </w:rPr>
            </w:pPr>
          </w:p>
        </w:tc>
        <w:tc>
          <w:tcPr>
            <w:tcW w:w="110" w:type="dxa"/>
            <w:vAlign w:val="bottom"/>
            <w:tcBorders>
              <w:bottom w:val="single" w:sz="8" w:color="1E1E1E"/>
            </w:tcBorders>
          </w:tcPr>
          <w:p>
            <w:pPr>
              <w:spacing w:after="0" w:line="20" w:lineRule="exact"/>
              <w:rPr>
                <w:sz w:val="1"/>
                <w:szCs w:val="1"/>
                <w:color w:val="auto"/>
              </w:rPr>
            </w:pPr>
          </w:p>
        </w:tc>
        <w:tc>
          <w:tcPr>
            <w:tcW w:w="85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850" w:type="dxa"/>
            <w:vAlign w:val="bottom"/>
            <w:tcBorders>
              <w:bottom w:val="single" w:sz="8" w:color="1E1E1E"/>
            </w:tcBorders>
          </w:tcPr>
          <w:p>
            <w:pPr>
              <w:spacing w:after="0" w:line="20" w:lineRule="exact"/>
              <w:rPr>
                <w:sz w:val="1"/>
                <w:szCs w:val="1"/>
                <w:color w:val="auto"/>
              </w:rPr>
            </w:pPr>
          </w:p>
        </w:tc>
        <w:tc>
          <w:tcPr>
            <w:tcW w:w="13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91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4461510</wp:posOffset>
                </wp:positionH>
                <wp:positionV relativeFrom="paragraph">
                  <wp:posOffset>-306070</wp:posOffset>
                </wp:positionV>
                <wp:extent cx="66421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3pt,-24.0999pt" to="403.6pt,-24.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5132070</wp:posOffset>
                </wp:positionH>
                <wp:positionV relativeFrom="paragraph">
                  <wp:posOffset>-306070</wp:posOffset>
                </wp:positionV>
                <wp:extent cx="65214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14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1pt,-24.0999pt" to="455.45pt,-24.0999pt" o:allowincell="f" strokecolor="#FFFFFF" strokeweight="0.7199pt"/>
            </w:pict>
          </mc:Fallback>
        </mc:AlternateContent>
      </w:r>
    </w:p>
    <w:p>
      <w:pPr>
        <w:spacing w:after="0" w:line="189" w:lineRule="exact"/>
        <w:rPr>
          <w:sz w:val="20"/>
          <w:szCs w:val="20"/>
          <w:color w:val="auto"/>
        </w:rPr>
      </w:pPr>
    </w:p>
    <w:p>
      <w:pPr>
        <w:ind w:left="380" w:right="20" w:hanging="366"/>
        <w:spacing w:after="0" w:line="263" w:lineRule="auto"/>
        <w:tabs>
          <w:tab w:leader="none" w:pos="346" w:val="left"/>
        </w:tabs>
        <w:numPr>
          <w:ilvl w:val="0"/>
          <w:numId w:val="26"/>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Of our $666.3 million of long-lived assets, $90.3 million and $9.3 million relate to long-lived assets in the U.K. and Canada, respectively.</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83</w:t>
      </w:r>
    </w:p>
    <w:p>
      <w:pPr>
        <w:sectPr>
          <w:pgSz w:w="12240" w:h="15840" w:orient="portrait"/>
          <w:cols w:equalWidth="0" w:num="1">
            <w:col w:w="10280"/>
          </w:cols>
          <w:pgMar w:left="980" w:top="1156" w:right="980" w:bottom="178"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Note 16</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Business Segment Information, Continued</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Fiscal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26035</wp:posOffset>
                </wp:positionV>
                <wp:extent cx="651065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2.05pt" to="513.3pt,2.05pt" o:allowincell="f" strokecolor="#FFFFFF" strokeweight="0.72pt"/>
            </w:pict>
          </mc:Fallback>
        </mc:AlternateConten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8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114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98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80" w:type="dxa"/>
            <w:vAlign w:val="bottom"/>
            <w:tcBorders>
              <w:top w:val="single" w:sz="8" w:color="1E1E1E"/>
            </w:tcBorders>
          </w:tcPr>
          <w:p>
            <w:pPr>
              <w:spacing w:after="0"/>
              <w:rPr>
                <w:sz w:val="16"/>
                <w:szCs w:val="16"/>
                <w:color w:val="auto"/>
              </w:rPr>
            </w:pPr>
          </w:p>
        </w:tc>
        <w:tc>
          <w:tcPr>
            <w:tcW w:w="1080" w:type="dxa"/>
            <w:vAlign w:val="bottom"/>
            <w:tcBorders>
              <w:top w:val="single" w:sz="8" w:color="1E1E1E"/>
            </w:tcBorders>
          </w:tcPr>
          <w:p>
            <w:pPr>
              <w:jc w:val="center"/>
              <w:ind w:right="9"/>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Johnston</w:t>
            </w:r>
          </w:p>
        </w:tc>
        <w:tc>
          <w:tcPr>
            <w:tcW w:w="10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080" w:type="dxa"/>
            <w:vAlign w:val="bottom"/>
            <w:tcBorders>
              <w:top w:val="single" w:sz="8" w:color="1E1E1E"/>
            </w:tcBorders>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Genesco</w:t>
            </w:r>
          </w:p>
        </w:tc>
        <w:tc>
          <w:tcPr>
            <w:tcW w:w="100" w:type="dxa"/>
            <w:vAlign w:val="bottom"/>
            <w:tcBorders>
              <w:top w:val="single" w:sz="8" w:color="1E1E1E"/>
            </w:tcBorders>
          </w:tcPr>
          <w:p>
            <w:pPr>
              <w:spacing w:after="0"/>
              <w:rPr>
                <w:sz w:val="16"/>
                <w:szCs w:val="16"/>
                <w:color w:val="auto"/>
              </w:rPr>
            </w:pPr>
          </w:p>
        </w:tc>
        <w:tc>
          <w:tcPr>
            <w:tcW w:w="116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89"/>
              <w:spacing w:after="0"/>
              <w:rPr>
                <w:sz w:val="20"/>
                <w:szCs w:val="20"/>
                <w:color w:val="auto"/>
              </w:rPr>
            </w:pPr>
            <w:r>
              <w:rPr>
                <w:rFonts w:ascii="Times New Roman" w:cs="Times New Roman" w:eastAsia="Times New Roman" w:hAnsi="Times New Roman"/>
                <w:sz w:val="18"/>
                <w:szCs w:val="18"/>
                <w:b w:val="1"/>
                <w:bCs w:val="1"/>
                <w:color w:val="1E1E1E"/>
              </w:rPr>
              <w:t>Journeys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09"/>
              <w:spacing w:after="0"/>
              <w:rPr>
                <w:sz w:val="20"/>
                <w:szCs w:val="20"/>
                <w:color w:val="auto"/>
              </w:rPr>
            </w:pPr>
            <w:r>
              <w:rPr>
                <w:rFonts w:ascii="Times New Roman" w:cs="Times New Roman" w:eastAsia="Times New Roman" w:hAnsi="Times New Roman"/>
                <w:sz w:val="18"/>
                <w:szCs w:val="18"/>
                <w:b w:val="1"/>
                <w:bCs w:val="1"/>
                <w:color w:val="1E1E1E"/>
              </w:rPr>
              <w:t>Schuh</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9"/>
              <w:spacing w:after="0"/>
              <w:rPr>
                <w:sz w:val="20"/>
                <w:szCs w:val="20"/>
                <w:color w:val="auto"/>
              </w:rPr>
            </w:pPr>
            <w:r>
              <w:rPr>
                <w:rFonts w:ascii="Times New Roman" w:cs="Times New Roman" w:eastAsia="Times New Roman" w:hAnsi="Times New Roman"/>
                <w:sz w:val="18"/>
                <w:szCs w:val="18"/>
                <w:b w:val="1"/>
                <w:bCs w:val="1"/>
                <w:color w:val="1E1E1E"/>
                <w:w w:val="98"/>
              </w:rPr>
              <w:t>&amp; Murphy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1E1E1E"/>
                <w:w w:val="99"/>
              </w:rPr>
              <w:t>Brands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20" w:type="dxa"/>
            <w:vAlign w:val="bottom"/>
          </w:tcPr>
          <w:p>
            <w:pPr>
              <w:spacing w:after="0"/>
              <w:rPr>
                <w:sz w:val="21"/>
                <w:szCs w:val="21"/>
                <w:color w:val="auto"/>
              </w:rPr>
            </w:pPr>
          </w:p>
        </w:tc>
        <w:tc>
          <w:tcPr>
            <w:tcW w:w="3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(In thousands)</w:t>
            </w:r>
          </w:p>
        </w:tc>
        <w:tc>
          <w:tcPr>
            <w:tcW w:w="120" w:type="dxa"/>
            <w:vAlign w:val="bottom"/>
            <w:tcBorders>
              <w:bottom w:val="single" w:sz="8" w:color="1E1E1E"/>
            </w:tcBorders>
          </w:tcPr>
          <w:p>
            <w:pPr>
              <w:spacing w:after="0"/>
              <w:rPr>
                <w:sz w:val="21"/>
                <w:szCs w:val="21"/>
                <w:color w:val="auto"/>
              </w:rPr>
            </w:pPr>
          </w:p>
        </w:tc>
        <w:tc>
          <w:tcPr>
            <w:tcW w:w="1140" w:type="dxa"/>
            <w:vAlign w:val="bottom"/>
            <w:tcBorders>
              <w:bottom w:val="single" w:sz="8" w:color="1E1E1E"/>
            </w:tcBorders>
          </w:tcPr>
          <w:p>
            <w:pPr>
              <w:jc w:val="right"/>
              <w:ind w:right="26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0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980" w:type="dxa"/>
            <w:vAlign w:val="bottom"/>
            <w:tcBorders>
              <w:bottom w:val="single" w:sz="8" w:color="1E1E1E"/>
            </w:tcBorders>
          </w:tcPr>
          <w:p>
            <w:pPr>
              <w:jc w:val="right"/>
              <w:ind w:right="18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120" w:type="dxa"/>
            <w:vAlign w:val="bottom"/>
            <w:tcBorders>
              <w:bottom w:val="single" w:sz="8" w:color="1E1E1E"/>
            </w:tcBorders>
          </w:tcPr>
          <w:p>
            <w:pPr>
              <w:spacing w:after="0"/>
              <w:rPr>
                <w:sz w:val="21"/>
                <w:szCs w:val="21"/>
                <w:color w:val="auto"/>
              </w:rPr>
            </w:pPr>
          </w:p>
        </w:tc>
        <w:tc>
          <w:tcPr>
            <w:tcW w:w="8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tcPr>
          <w:p>
            <w:pPr>
              <w:jc w:val="center"/>
              <w:ind w:right="9"/>
              <w:spacing w:after="0"/>
              <w:rPr>
                <w:sz w:val="20"/>
                <w:szCs w:val="20"/>
                <w:color w:val="auto"/>
              </w:rPr>
            </w:pPr>
            <w:r>
              <w:rPr>
                <w:rFonts w:ascii="Times New Roman" w:cs="Times New Roman" w:eastAsia="Times New Roman" w:hAnsi="Times New Roman"/>
                <w:sz w:val="18"/>
                <w:szCs w:val="18"/>
                <w:b w:val="1"/>
                <w:bCs w:val="1"/>
                <w:color w:val="1E1E1E"/>
                <w:w w:val="97"/>
              </w:rPr>
              <w:t>Group</w:t>
            </w:r>
          </w:p>
        </w:tc>
        <w:tc>
          <w:tcPr>
            <w:tcW w:w="10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1080" w:type="dxa"/>
            <w:vAlign w:val="bottom"/>
            <w:tcBorders>
              <w:bottom w:val="single" w:sz="8" w:color="1E1E1E"/>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1E1E1E"/>
                <w:w w:val="97"/>
              </w:rPr>
              <w:t>Group</w:t>
            </w:r>
          </w:p>
        </w:tc>
        <w:tc>
          <w:tcPr>
            <w:tcW w:w="100" w:type="dxa"/>
            <w:vAlign w:val="bottom"/>
            <w:tcBorders>
              <w:bottom w:val="single" w:sz="8" w:color="1E1E1E"/>
            </w:tcBorders>
          </w:tcPr>
          <w:p>
            <w:pPr>
              <w:spacing w:after="0"/>
              <w:rPr>
                <w:sz w:val="21"/>
                <w:szCs w:val="21"/>
                <w:color w:val="auto"/>
              </w:rPr>
            </w:pPr>
          </w:p>
        </w:tc>
        <w:tc>
          <w:tcPr>
            <w:tcW w:w="1260" w:type="dxa"/>
            <w:vAlign w:val="bottom"/>
            <w:tcBorders>
              <w:bottom w:val="single" w:sz="8" w:color="1E1E1E"/>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1E1E1E"/>
              </w:rPr>
              <w:t>Consolidated</w:t>
            </w:r>
          </w:p>
        </w:tc>
      </w:tr>
      <w:tr>
        <w:trPr>
          <w:trHeight w:val="181"/>
        </w:trPr>
        <w:tc>
          <w:tcPr>
            <w:tcW w:w="20" w:type="dxa"/>
            <w:vAlign w:val="bottom"/>
          </w:tcPr>
          <w:p>
            <w:pPr>
              <w:spacing w:after="0"/>
              <w:rPr>
                <w:sz w:val="15"/>
                <w:szCs w:val="15"/>
                <w:color w:val="auto"/>
              </w:rPr>
            </w:pPr>
          </w:p>
        </w:tc>
        <w:tc>
          <w:tcPr>
            <w:tcW w:w="3880" w:type="dxa"/>
            <w:vAlign w:val="bottom"/>
            <w:tcBorders>
              <w:top w:val="single" w:sz="8" w:color="E4E4E4"/>
            </w:tcBorders>
            <w:shd w:val="clear" w:color="auto" w:fill="E4E4E4"/>
          </w:tcPr>
          <w:p>
            <w:pPr>
              <w:spacing w:after="0" w:line="181" w:lineRule="exact"/>
              <w:rPr>
                <w:sz w:val="20"/>
                <w:szCs w:val="20"/>
                <w:color w:val="auto"/>
              </w:rPr>
            </w:pPr>
            <w:r>
              <w:rPr>
                <w:rFonts w:ascii="Times New Roman" w:cs="Times New Roman" w:eastAsia="Times New Roman" w:hAnsi="Times New Roman"/>
                <w:sz w:val="15"/>
                <w:szCs w:val="15"/>
                <w:b w:val="1"/>
                <w:bCs w:val="1"/>
                <w:color w:val="1E1E1E"/>
              </w:rPr>
              <w:t>Net sales to external customers</w:t>
            </w:r>
            <w:r>
              <w:rPr>
                <w:rFonts w:ascii="Times New Roman" w:cs="Times New Roman" w:eastAsia="Times New Roman" w:hAnsi="Times New Roman"/>
                <w:sz w:val="20"/>
                <w:szCs w:val="20"/>
                <w:b w:val="1"/>
                <w:bCs w:val="1"/>
                <w:color w:val="1E1E1E"/>
                <w:vertAlign w:val="superscript"/>
              </w:rPr>
              <w:t>(1)</w:t>
            </w:r>
          </w:p>
        </w:tc>
        <w:tc>
          <w:tcPr>
            <w:tcW w:w="12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shd w:val="clear" w:color="auto" w:fill="E4E4E4"/>
              </w:rPr>
              <w:t>$</w:t>
            </w:r>
          </w:p>
        </w:tc>
        <w:tc>
          <w:tcPr>
            <w:tcW w:w="114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1,363,835</w:t>
            </w:r>
          </w:p>
        </w:tc>
        <w:tc>
          <w:tcPr>
            <w:tcW w:w="10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98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480,164</w:t>
            </w:r>
          </w:p>
        </w:tc>
        <w:tc>
          <w:tcPr>
            <w:tcW w:w="120" w:type="dxa"/>
            <w:vAlign w:val="bottom"/>
            <w:tcBorders>
              <w:top w:val="single" w:sz="8" w:color="E4E4E4"/>
            </w:tcBorders>
            <w:shd w:val="clear" w:color="auto" w:fill="E4E4E4"/>
          </w:tcPr>
          <w:p>
            <w:pPr>
              <w:spacing w:after="0"/>
              <w:rPr>
                <w:sz w:val="15"/>
                <w:szCs w:val="15"/>
                <w:color w:val="auto"/>
              </w:rPr>
            </w:pPr>
          </w:p>
        </w:tc>
        <w:tc>
          <w:tcPr>
            <w:tcW w:w="8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7"/>
                <w:szCs w:val="17"/>
                <w:color w:val="1E1E1E"/>
                <w:w w:val="70"/>
                <w:shd w:val="clear" w:color="auto" w:fill="E4E4E4"/>
              </w:rPr>
              <w:t>$</w:t>
            </w:r>
          </w:p>
        </w:tc>
        <w:tc>
          <w:tcPr>
            <w:tcW w:w="1080" w:type="dxa"/>
            <w:vAlign w:val="bottom"/>
            <w:tcBorders>
              <w:top w:val="single" w:sz="8" w:color="E4E4E4"/>
            </w:tcBorders>
            <w:shd w:val="clear" w:color="auto" w:fill="E4E4E4"/>
          </w:tcPr>
          <w:p>
            <w:pPr>
              <w:ind w:left="480"/>
              <w:spacing w:after="0" w:line="181" w:lineRule="exact"/>
              <w:rPr>
                <w:sz w:val="20"/>
                <w:szCs w:val="20"/>
                <w:color w:val="auto"/>
              </w:rPr>
            </w:pPr>
            <w:r>
              <w:rPr>
                <w:rFonts w:ascii="Times New Roman" w:cs="Times New Roman" w:eastAsia="Times New Roman" w:hAnsi="Times New Roman"/>
                <w:sz w:val="18"/>
                <w:szCs w:val="18"/>
                <w:color w:val="1E1E1E"/>
                <w:w w:val="99"/>
              </w:rPr>
              <w:t>339,446</w:t>
            </w:r>
          </w:p>
        </w:tc>
        <w:tc>
          <w:tcPr>
            <w:tcW w:w="10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99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141,179</w:t>
            </w:r>
          </w:p>
        </w:tc>
        <w:tc>
          <w:tcPr>
            <w:tcW w:w="90" w:type="dxa"/>
            <w:vAlign w:val="bottom"/>
            <w:tcBorders>
              <w:top w:val="single" w:sz="8" w:color="E4E4E4"/>
            </w:tcBorders>
            <w:shd w:val="clear" w:color="auto" w:fill="E4E4E4"/>
          </w:tcPr>
          <w:p>
            <w:pPr>
              <w:spacing w:after="0"/>
              <w:rPr>
                <w:sz w:val="15"/>
                <w:szCs w:val="15"/>
                <w:color w:val="auto"/>
              </w:rPr>
            </w:pPr>
          </w:p>
        </w:tc>
        <w:tc>
          <w:tcPr>
            <w:tcW w:w="10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1160" w:type="dxa"/>
            <w:vAlign w:val="bottom"/>
            <w:tcBorders>
              <w:top w:val="single" w:sz="8" w:color="E4E4E4"/>
            </w:tcBorders>
            <w:shd w:val="clear" w:color="auto" w:fill="E4E4E4"/>
          </w:tcPr>
          <w:p>
            <w:pPr>
              <w:jc w:val="right"/>
              <w:spacing w:after="0" w:line="181" w:lineRule="exact"/>
              <w:rPr>
                <w:sz w:val="20"/>
                <w:szCs w:val="20"/>
                <w:color w:val="auto"/>
              </w:rPr>
            </w:pPr>
            <w:r>
              <w:rPr>
                <w:rFonts w:ascii="Times New Roman" w:cs="Times New Roman" w:eastAsia="Times New Roman" w:hAnsi="Times New Roman"/>
                <w:sz w:val="18"/>
                <w:szCs w:val="18"/>
                <w:color w:val="1E1E1E"/>
              </w:rPr>
              <w:t>2,324,624</w:t>
            </w:r>
          </w:p>
        </w:tc>
        <w:tc>
          <w:tcPr>
            <w:tcW w:w="100" w:type="dxa"/>
            <w:vAlign w:val="bottom"/>
            <w:tcBorders>
              <w:top w:val="single" w:sz="8" w:color="E4E4E4"/>
            </w:tcBorders>
            <w:shd w:val="clear" w:color="auto" w:fill="E4E4E4"/>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color w:val="1E1E1E"/>
              </w:rPr>
              <w:t>Cost of sales</w:t>
            </w:r>
          </w:p>
        </w:tc>
        <w:tc>
          <w:tcPr>
            <w:tcW w:w="120" w:type="dxa"/>
            <w:vAlign w:val="bottom"/>
            <w:tcBorders>
              <w:bottom w:val="single" w:sz="8" w:color="E4E4E4"/>
            </w:tcBorders>
          </w:tcPr>
          <w:p>
            <w:pPr>
              <w:spacing w:after="0"/>
              <w:rPr>
                <w:sz w:val="19"/>
                <w:szCs w:val="19"/>
                <w:color w:val="auto"/>
              </w:rPr>
            </w:pPr>
          </w:p>
        </w:tc>
        <w:tc>
          <w:tcPr>
            <w:tcW w:w="11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696,351</w:t>
            </w: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98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273,588</w:t>
            </w:r>
          </w:p>
        </w:tc>
        <w:tc>
          <w:tcPr>
            <w:tcW w:w="12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080" w:type="dxa"/>
            <w:vAlign w:val="bottom"/>
            <w:tcBorders>
              <w:bottom w:val="single" w:sz="8" w:color="E4E4E4"/>
            </w:tcBorders>
          </w:tcPr>
          <w:p>
            <w:pPr>
              <w:ind w:left="480"/>
              <w:spacing w:after="0"/>
              <w:rPr>
                <w:sz w:val="20"/>
                <w:szCs w:val="20"/>
                <w:color w:val="auto"/>
              </w:rPr>
            </w:pPr>
            <w:r>
              <w:rPr>
                <w:rFonts w:ascii="Times New Roman" w:cs="Times New Roman" w:eastAsia="Times New Roman" w:hAnsi="Times New Roman"/>
                <w:sz w:val="18"/>
                <w:szCs w:val="18"/>
                <w:color w:val="1E1E1E"/>
                <w:w w:val="99"/>
              </w:rPr>
              <w:t>160,461</w:t>
            </w: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99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95,404</w:t>
            </w:r>
          </w:p>
        </w:tc>
        <w:tc>
          <w:tcPr>
            <w:tcW w:w="9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16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880" w:type="dxa"/>
            <w:vAlign w:val="bottom"/>
            <w:tcBorders>
              <w:bottom w:val="single" w:sz="8" w:color="1E1E1E"/>
            </w:tcBorders>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Selling and administrative expenses</w:t>
            </w:r>
          </w:p>
        </w:tc>
        <w:tc>
          <w:tcPr>
            <w:tcW w:w="120" w:type="dxa"/>
            <w:vAlign w:val="bottom"/>
            <w:tcBorders>
              <w:bottom w:val="single" w:sz="8" w:color="1E1E1E"/>
            </w:tcBorders>
            <w:shd w:val="clear" w:color="auto" w:fill="E4E4E4"/>
          </w:tcPr>
          <w:p>
            <w:pPr>
              <w:spacing w:after="0"/>
              <w:rPr>
                <w:sz w:val="17"/>
                <w:szCs w:val="17"/>
                <w:color w:val="auto"/>
              </w:rPr>
            </w:pPr>
          </w:p>
        </w:tc>
        <w:tc>
          <w:tcPr>
            <w:tcW w:w="114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656,412</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8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185,141</w:t>
            </w:r>
          </w:p>
        </w:tc>
        <w:tc>
          <w:tcPr>
            <w:tcW w:w="12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080" w:type="dxa"/>
            <w:vAlign w:val="bottom"/>
            <w:tcBorders>
              <w:bottom w:val="single" w:sz="8" w:color="1E1E1E"/>
            </w:tcBorders>
            <w:shd w:val="clear" w:color="auto" w:fill="E4E4E4"/>
          </w:tcPr>
          <w:p>
            <w:pPr>
              <w:ind w:left="480"/>
              <w:spacing w:after="0" w:line="201" w:lineRule="exact"/>
              <w:rPr>
                <w:sz w:val="20"/>
                <w:szCs w:val="20"/>
                <w:color w:val="auto"/>
              </w:rPr>
            </w:pPr>
            <w:r>
              <w:rPr>
                <w:rFonts w:ascii="Times New Roman" w:cs="Times New Roman" w:eastAsia="Times New Roman" w:hAnsi="Times New Roman"/>
                <w:sz w:val="18"/>
                <w:szCs w:val="18"/>
                <w:color w:val="1E1E1E"/>
                <w:w w:val="99"/>
              </w:rPr>
              <w:t>162,671</w:t>
            </w: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90" w:type="dxa"/>
            <w:vAlign w:val="bottom"/>
            <w:tcBorders>
              <w:bottom w:val="single" w:sz="8" w:color="1E1E1E"/>
            </w:tcBorders>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45,783</w:t>
            </w:r>
          </w:p>
        </w:tc>
        <w:tc>
          <w:tcPr>
            <w:tcW w:w="9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16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3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Segment operating income (loss)</w:t>
            </w: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11,072</w:t>
            </w:r>
          </w:p>
        </w:tc>
        <w:tc>
          <w:tcPr>
            <w:tcW w:w="2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21,435</w:t>
            </w:r>
          </w:p>
        </w:tc>
        <w:tc>
          <w:tcPr>
            <w:tcW w:w="2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16,314</w:t>
            </w:r>
          </w:p>
        </w:tc>
        <w:tc>
          <w:tcPr>
            <w:tcW w:w="20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8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E1E1E"/>
              </w:rPr>
              <w:t>(8)</w:t>
            </w: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w w:val="88"/>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48,813</w:t>
            </w:r>
          </w:p>
        </w:tc>
        <w:tc>
          <w:tcPr>
            <w:tcW w:w="100" w:type="dxa"/>
            <w:vAlign w:val="bottom"/>
            <w:tcBorders>
              <w:bottom w:val="single" w:sz="8" w:color="1E1E1E"/>
            </w:tcBorders>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88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color w:val="1E1E1E"/>
              </w:rPr>
              <w:t>Unallocated selling and administrative expenses</w:t>
            </w:r>
          </w:p>
        </w:tc>
        <w:tc>
          <w:tcPr>
            <w:tcW w:w="120" w:type="dxa"/>
            <w:vAlign w:val="bottom"/>
            <w:tcBorders>
              <w:top w:val="single" w:sz="8" w:color="E4E4E4"/>
            </w:tcBorders>
            <w:shd w:val="clear" w:color="auto" w:fill="E4E4E4"/>
          </w:tcPr>
          <w:p>
            <w:pPr>
              <w:spacing w:after="0"/>
              <w:rPr>
                <w:sz w:val="16"/>
                <w:szCs w:val="16"/>
                <w:color w:val="auto"/>
              </w:rPr>
            </w:pPr>
          </w:p>
        </w:tc>
        <w:tc>
          <w:tcPr>
            <w:tcW w:w="114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98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08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990" w:type="dxa"/>
            <w:vAlign w:val="bottom"/>
            <w:tcBorders>
              <w:top w:val="single" w:sz="8" w:color="E4E4E4"/>
            </w:tcBorders>
            <w:shd w:val="clear" w:color="auto" w:fill="E4E4E4"/>
          </w:tcPr>
          <w:p>
            <w:pPr>
              <w:spacing w:after="0"/>
              <w:rPr>
                <w:sz w:val="16"/>
                <w:szCs w:val="16"/>
                <w:color w:val="auto"/>
              </w:rPr>
            </w:pPr>
          </w:p>
        </w:tc>
        <w:tc>
          <w:tcPr>
            <w:tcW w:w="9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160" w:type="dxa"/>
            <w:vAlign w:val="bottom"/>
            <w:tcBorders>
              <w:top w:val="single" w:sz="8" w:color="E4E4E4"/>
            </w:tcBorders>
            <w:shd w:val="clear" w:color="auto" w:fill="E4E4E4"/>
          </w:tcPr>
          <w:p>
            <w:pPr>
              <w:jc w:val="right"/>
              <w:spacing w:after="0" w:line="190" w:lineRule="exact"/>
              <w:rPr>
                <w:sz w:val="20"/>
                <w:szCs w:val="20"/>
                <w:color w:val="auto"/>
              </w:rPr>
            </w:pPr>
            <w:r>
              <w:rPr>
                <w:rFonts w:ascii="Times New Roman" w:cs="Times New Roman" w:eastAsia="Times New Roman" w:hAnsi="Times New Roman"/>
                <w:sz w:val="18"/>
                <w:szCs w:val="18"/>
                <w:color w:val="1E1E1E"/>
              </w:rPr>
              <w:t>32,033</w:t>
            </w:r>
          </w:p>
        </w:tc>
        <w:tc>
          <w:tcPr>
            <w:tcW w:w="100" w:type="dxa"/>
            <w:vAlign w:val="bottom"/>
            <w:tcBorders>
              <w:top w:val="single" w:sz="8" w:color="E4E4E4"/>
            </w:tcBorders>
            <w:shd w:val="clear" w:color="auto" w:fill="E4E4E4"/>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E4E4E4"/>
            </w:tcBorders>
          </w:tcPr>
          <w:p>
            <w:pPr>
              <w:spacing w:after="0" w:line="221" w:lineRule="exact"/>
              <w:rPr>
                <w:sz w:val="20"/>
                <w:szCs w:val="20"/>
                <w:color w:val="auto"/>
              </w:rPr>
            </w:pPr>
            <w:r>
              <w:rPr>
                <w:rFonts w:ascii="Times New Roman" w:cs="Times New Roman" w:eastAsia="Times New Roman" w:hAnsi="Times New Roman"/>
                <w:sz w:val="18"/>
                <w:szCs w:val="18"/>
                <w:color w:val="1E1E1E"/>
              </w:rPr>
              <w:t xml:space="preserve">Goodwill impairment </w:t>
            </w:r>
            <w:r>
              <w:rPr>
                <w:rFonts w:ascii="Times New Roman" w:cs="Times New Roman" w:eastAsia="Times New Roman" w:hAnsi="Times New Roman"/>
                <w:sz w:val="24"/>
                <w:szCs w:val="24"/>
                <w:color w:val="1E1E1E"/>
                <w:vertAlign w:val="superscript"/>
              </w:rPr>
              <w:t>(2)</w:t>
            </w:r>
          </w:p>
        </w:tc>
        <w:tc>
          <w:tcPr>
            <w:tcW w:w="120" w:type="dxa"/>
            <w:vAlign w:val="bottom"/>
            <w:tcBorders>
              <w:bottom w:val="single" w:sz="8" w:color="E4E4E4"/>
            </w:tcBorders>
          </w:tcPr>
          <w:p>
            <w:pPr>
              <w:spacing w:after="0"/>
              <w:rPr>
                <w:sz w:val="19"/>
                <w:szCs w:val="19"/>
                <w:color w:val="auto"/>
              </w:rPr>
            </w:pPr>
          </w:p>
        </w:tc>
        <w:tc>
          <w:tcPr>
            <w:tcW w:w="114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980" w:type="dxa"/>
            <w:vAlign w:val="bottom"/>
            <w:tcBorders>
              <w:bottom w:val="single" w:sz="8" w:color="E4E4E4"/>
            </w:tcBorders>
          </w:tcPr>
          <w:p>
            <w:pPr>
              <w:spacing w:after="0"/>
              <w:rPr>
                <w:sz w:val="19"/>
                <w:szCs w:val="19"/>
                <w:color w:val="auto"/>
              </w:rPr>
            </w:pPr>
          </w:p>
        </w:tc>
        <w:tc>
          <w:tcPr>
            <w:tcW w:w="120" w:type="dxa"/>
            <w:vAlign w:val="bottom"/>
            <w:tcBorders>
              <w:bottom w:val="single" w:sz="8" w:color="E4E4E4"/>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108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990" w:type="dxa"/>
            <w:vAlign w:val="bottom"/>
            <w:tcBorders>
              <w:bottom w:val="single" w:sz="8" w:color="E4E4E4"/>
            </w:tcBorders>
          </w:tcPr>
          <w:p>
            <w:pPr>
              <w:spacing w:after="0"/>
              <w:rPr>
                <w:sz w:val="19"/>
                <w:szCs w:val="19"/>
                <w:color w:val="auto"/>
              </w:rPr>
            </w:pPr>
          </w:p>
        </w:tc>
        <w:tc>
          <w:tcPr>
            <w:tcW w:w="90" w:type="dxa"/>
            <w:vAlign w:val="bottom"/>
            <w:tcBorders>
              <w:bottom w:val="single" w:sz="8" w:color="E4E4E4"/>
            </w:tcBorders>
          </w:tcPr>
          <w:p>
            <w:pPr>
              <w:spacing w:after="0"/>
              <w:rPr>
                <w:sz w:val="19"/>
                <w:szCs w:val="19"/>
                <w:color w:val="auto"/>
              </w:rPr>
            </w:pPr>
          </w:p>
        </w:tc>
        <w:tc>
          <w:tcPr>
            <w:tcW w:w="100" w:type="dxa"/>
            <w:vAlign w:val="bottom"/>
            <w:tcBorders>
              <w:bottom w:val="single" w:sz="8" w:color="E4E4E4"/>
            </w:tcBorders>
          </w:tcPr>
          <w:p>
            <w:pPr>
              <w:spacing w:after="0"/>
              <w:rPr>
                <w:sz w:val="19"/>
                <w:szCs w:val="19"/>
                <w:color w:val="auto"/>
              </w:rPr>
            </w:pPr>
          </w:p>
        </w:tc>
        <w:tc>
          <w:tcPr>
            <w:tcW w:w="11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28,453</w:t>
            </w:r>
          </w:p>
        </w:tc>
        <w:tc>
          <w:tcPr>
            <w:tcW w:w="100" w:type="dxa"/>
            <w:vAlign w:val="bottom"/>
            <w:tcBorders>
              <w:bottom w:val="single" w:sz="8" w:color="E4E4E4"/>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880" w:type="dxa"/>
            <w:vAlign w:val="bottom"/>
            <w:tcBorders>
              <w:bottom w:val="single" w:sz="8" w:color="1E1E1E"/>
            </w:tcBorders>
            <w:shd w:val="clear" w:color="auto" w:fill="E4E4E4"/>
          </w:tcPr>
          <w:p>
            <w:pPr>
              <w:spacing w:after="0" w:line="205" w:lineRule="exact"/>
              <w:rPr>
                <w:sz w:val="20"/>
                <w:szCs w:val="20"/>
                <w:color w:val="auto"/>
              </w:rPr>
            </w:pPr>
            <w:r>
              <w:rPr>
                <w:rFonts w:ascii="Times New Roman" w:cs="Times New Roman" w:eastAsia="Times New Roman" w:hAnsi="Times New Roman"/>
                <w:sz w:val="18"/>
                <w:szCs w:val="18"/>
                <w:color w:val="1E1E1E"/>
              </w:rPr>
              <w:t>Asset impairments and other</w:t>
            </w:r>
            <w:r>
              <w:rPr>
                <w:rFonts w:ascii="Times New Roman" w:cs="Times New Roman" w:eastAsia="Times New Roman" w:hAnsi="Times New Roman"/>
                <w:sz w:val="23"/>
                <w:szCs w:val="23"/>
                <w:color w:val="1E1E1E"/>
                <w:vertAlign w:val="superscript"/>
              </w:rPr>
              <w:t>(3)</w:t>
            </w:r>
          </w:p>
        </w:tc>
        <w:tc>
          <w:tcPr>
            <w:tcW w:w="120" w:type="dxa"/>
            <w:vAlign w:val="bottom"/>
            <w:tcBorders>
              <w:bottom w:val="single" w:sz="8" w:color="1E1E1E"/>
            </w:tcBorders>
            <w:shd w:val="clear" w:color="auto" w:fill="E4E4E4"/>
          </w:tcPr>
          <w:p>
            <w:pPr>
              <w:spacing w:after="0"/>
              <w:rPr>
                <w:sz w:val="17"/>
                <w:szCs w:val="17"/>
                <w:color w:val="auto"/>
              </w:rPr>
            </w:pPr>
          </w:p>
        </w:tc>
        <w:tc>
          <w:tcPr>
            <w:tcW w:w="114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80" w:type="dxa"/>
            <w:vAlign w:val="bottom"/>
            <w:tcBorders>
              <w:bottom w:val="single" w:sz="8" w:color="1E1E1E"/>
            </w:tcBorders>
            <w:shd w:val="clear" w:color="auto" w:fill="E4E4E4"/>
          </w:tcPr>
          <w:p>
            <w:pPr>
              <w:spacing w:after="0"/>
              <w:rPr>
                <w:sz w:val="17"/>
                <w:szCs w:val="17"/>
                <w:color w:val="auto"/>
              </w:rPr>
            </w:pPr>
          </w:p>
        </w:tc>
        <w:tc>
          <w:tcPr>
            <w:tcW w:w="12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08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90" w:type="dxa"/>
            <w:vAlign w:val="bottom"/>
            <w:tcBorders>
              <w:bottom w:val="single" w:sz="8" w:color="1E1E1E"/>
            </w:tcBorders>
            <w:shd w:val="clear" w:color="auto" w:fill="E4E4E4"/>
          </w:tcPr>
          <w:p>
            <w:pPr>
              <w:spacing w:after="0"/>
              <w:rPr>
                <w:sz w:val="17"/>
                <w:szCs w:val="17"/>
                <w:color w:val="auto"/>
              </w:rPr>
            </w:pPr>
          </w:p>
        </w:tc>
        <w:tc>
          <w:tcPr>
            <w:tcW w:w="9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160" w:type="dxa"/>
            <w:vAlign w:val="bottom"/>
            <w:tcBorders>
              <w:bottom w:val="single" w:sz="8" w:color="1E1E1E"/>
            </w:tcBorders>
            <w:shd w:val="clear" w:color="auto" w:fill="E4E4E4"/>
          </w:tcPr>
          <w:p>
            <w:pPr>
              <w:jc w:val="right"/>
              <w:spacing w:after="0" w:line="206" w:lineRule="exact"/>
              <w:rPr>
                <w:sz w:val="20"/>
                <w:szCs w:val="20"/>
                <w:color w:val="auto"/>
              </w:rPr>
            </w:pPr>
            <w:r>
              <w:rPr>
                <w:rFonts w:ascii="Times New Roman" w:cs="Times New Roman" w:eastAsia="Times New Roman" w:hAnsi="Times New Roman"/>
                <w:sz w:val="18"/>
                <w:szCs w:val="18"/>
                <w:color w:val="1E1E1E"/>
              </w:rPr>
              <w:t>1,787</w:t>
            </w:r>
          </w:p>
        </w:tc>
        <w:tc>
          <w:tcPr>
            <w:tcW w:w="100" w:type="dxa"/>
            <w:vAlign w:val="bottom"/>
            <w:tcBorders>
              <w:bottom w:val="single" w:sz="8" w:color="1E1E1E"/>
            </w:tcBorders>
            <w:shd w:val="clear" w:color="auto" w:fill="E4E4E4"/>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8"/>
                <w:szCs w:val="18"/>
                <w:b w:val="1"/>
                <w:bCs w:val="1"/>
                <w:color w:val="1E1E1E"/>
              </w:rPr>
              <w:t>Operating loss</w:t>
            </w:r>
          </w:p>
        </w:tc>
        <w:tc>
          <w:tcPr>
            <w:tcW w:w="120" w:type="dxa"/>
            <w:vAlign w:val="bottom"/>
            <w:tcBorders>
              <w:bottom w:val="single" w:sz="8" w:color="E4E4E4"/>
            </w:tcBorders>
          </w:tcPr>
          <w:p>
            <w:pPr>
              <w:spacing w:after="0"/>
              <w:rPr>
                <w:sz w:val="18"/>
                <w:szCs w:val="18"/>
                <w:color w:val="auto"/>
              </w:rPr>
            </w:pPr>
          </w:p>
        </w:tc>
        <w:tc>
          <w:tcPr>
            <w:tcW w:w="114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980" w:type="dxa"/>
            <w:vAlign w:val="bottom"/>
            <w:tcBorders>
              <w:bottom w:val="single" w:sz="8" w:color="E4E4E4"/>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108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990" w:type="dxa"/>
            <w:vAlign w:val="bottom"/>
            <w:tcBorders>
              <w:bottom w:val="single" w:sz="8" w:color="E4E4E4"/>
            </w:tcBorders>
          </w:tcPr>
          <w:p>
            <w:pPr>
              <w:spacing w:after="0"/>
              <w:rPr>
                <w:sz w:val="18"/>
                <w:szCs w:val="18"/>
                <w:color w:val="auto"/>
              </w:rPr>
            </w:pPr>
          </w:p>
        </w:tc>
        <w:tc>
          <w:tcPr>
            <w:tcW w:w="90" w:type="dxa"/>
            <w:vAlign w:val="bottom"/>
            <w:tcBorders>
              <w:bottom w:val="single" w:sz="8" w:color="E4E4E4"/>
            </w:tcBorders>
          </w:tcPr>
          <w:p>
            <w:pPr>
              <w:spacing w:after="0"/>
              <w:rPr>
                <w:sz w:val="18"/>
                <w:szCs w:val="18"/>
                <w:color w:val="auto"/>
              </w:rPr>
            </w:pPr>
          </w:p>
        </w:tc>
        <w:tc>
          <w:tcPr>
            <w:tcW w:w="100" w:type="dxa"/>
            <w:vAlign w:val="bottom"/>
            <w:tcBorders>
              <w:bottom w:val="single" w:sz="8" w:color="E4E4E4"/>
            </w:tcBorders>
          </w:tcPr>
          <w:p>
            <w:pPr>
              <w:spacing w:after="0"/>
              <w:rPr>
                <w:sz w:val="18"/>
                <w:szCs w:val="18"/>
                <w:color w:val="auto"/>
              </w:rPr>
            </w:pPr>
          </w:p>
        </w:tc>
        <w:tc>
          <w:tcPr>
            <w:tcW w:w="1260" w:type="dxa"/>
            <w:vAlign w:val="bottom"/>
            <w:tcBorders>
              <w:bottom w:val="single" w:sz="8" w:color="E4E4E4"/>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1E1E1E"/>
              </w:rPr>
              <w:t>(13,460)</w:t>
            </w:r>
          </w:p>
        </w:tc>
      </w:tr>
      <w:tr>
        <w:trPr>
          <w:trHeight w:val="201"/>
        </w:trPr>
        <w:tc>
          <w:tcPr>
            <w:tcW w:w="20" w:type="dxa"/>
            <w:vAlign w:val="bottom"/>
          </w:tcPr>
          <w:p>
            <w:pPr>
              <w:spacing w:after="0"/>
              <w:rPr>
                <w:sz w:val="17"/>
                <w:szCs w:val="17"/>
                <w:color w:val="auto"/>
              </w:rPr>
            </w:pPr>
          </w:p>
        </w:tc>
        <w:tc>
          <w:tcPr>
            <w:tcW w:w="3880" w:type="dxa"/>
            <w:vAlign w:val="bottom"/>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Other components of net periodic benefit cost</w:t>
            </w:r>
          </w:p>
        </w:tc>
        <w:tc>
          <w:tcPr>
            <w:tcW w:w="120" w:type="dxa"/>
            <w:vAlign w:val="bottom"/>
            <w:shd w:val="clear" w:color="auto" w:fill="E4E4E4"/>
          </w:tcPr>
          <w:p>
            <w:pPr>
              <w:spacing w:after="0"/>
              <w:rPr>
                <w:sz w:val="17"/>
                <w:szCs w:val="17"/>
                <w:color w:val="auto"/>
              </w:rPr>
            </w:pPr>
          </w:p>
        </w:tc>
        <w:tc>
          <w:tcPr>
            <w:tcW w:w="11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0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990" w:type="dxa"/>
            <w:vAlign w:val="bottom"/>
            <w:shd w:val="clear" w:color="auto" w:fill="E4E4E4"/>
          </w:tcPr>
          <w:p>
            <w:pPr>
              <w:spacing w:after="0"/>
              <w:rPr>
                <w:sz w:val="17"/>
                <w:szCs w:val="17"/>
                <w:color w:val="auto"/>
              </w:rPr>
            </w:pPr>
          </w:p>
        </w:tc>
        <w:tc>
          <w:tcPr>
            <w:tcW w:w="9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16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537</w:t>
            </w:r>
          </w:p>
        </w:tc>
        <w:tc>
          <w:tcPr>
            <w:tcW w:w="100" w:type="dxa"/>
            <w:vAlign w:val="bottom"/>
            <w:shd w:val="clear" w:color="auto" w:fill="E4E4E4"/>
          </w:tcPr>
          <w:p>
            <w:pPr>
              <w:spacing w:after="0"/>
              <w:rPr>
                <w:sz w:val="17"/>
                <w:szCs w:val="17"/>
                <w:color w:val="auto"/>
              </w:rPr>
            </w:pPr>
          </w:p>
        </w:tc>
      </w:tr>
      <w:tr>
        <w:trPr>
          <w:trHeight w:val="246"/>
        </w:trPr>
        <w:tc>
          <w:tcPr>
            <w:tcW w:w="20" w:type="dxa"/>
            <w:vAlign w:val="bottom"/>
          </w:tcPr>
          <w:p>
            <w:pPr>
              <w:spacing w:after="0"/>
              <w:rPr>
                <w:sz w:val="20"/>
                <w:szCs w:val="20"/>
                <w:color w:val="auto"/>
              </w:rPr>
            </w:pPr>
          </w:p>
        </w:tc>
        <w:tc>
          <w:tcPr>
            <w:tcW w:w="388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Interest expense, net</w:t>
            </w:r>
          </w:p>
        </w:tc>
        <w:tc>
          <w:tcPr>
            <w:tcW w:w="12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980" w:type="dxa"/>
            <w:vAlign w:val="bottom"/>
            <w:tcBorders>
              <w:bottom w:val="single" w:sz="8" w:color="1E1E1E"/>
            </w:tcBorders>
          </w:tcPr>
          <w:p>
            <w:pPr>
              <w:spacing w:after="0"/>
              <w:rPr>
                <w:sz w:val="20"/>
                <w:szCs w:val="20"/>
                <w:color w:val="auto"/>
              </w:rPr>
            </w:pPr>
          </w:p>
        </w:tc>
        <w:tc>
          <w:tcPr>
            <w:tcW w:w="120" w:type="dxa"/>
            <w:vAlign w:val="bottom"/>
            <w:tcBorders>
              <w:bottom w:val="single" w:sz="8" w:color="1E1E1E"/>
            </w:tcBorders>
          </w:tcPr>
          <w:p>
            <w:pPr>
              <w:spacing w:after="0"/>
              <w:rPr>
                <w:sz w:val="20"/>
                <w:szCs w:val="20"/>
                <w:color w:val="auto"/>
              </w:rPr>
            </w:pPr>
          </w:p>
        </w:tc>
        <w:tc>
          <w:tcPr>
            <w:tcW w:w="80" w:type="dxa"/>
            <w:vAlign w:val="bottom"/>
            <w:tcBorders>
              <w:bottom w:val="single" w:sz="8" w:color="1E1E1E"/>
            </w:tcBorders>
          </w:tcPr>
          <w:p>
            <w:pPr>
              <w:spacing w:after="0"/>
              <w:rPr>
                <w:sz w:val="20"/>
                <w:szCs w:val="20"/>
                <w:color w:val="auto"/>
              </w:rPr>
            </w:pPr>
          </w:p>
        </w:tc>
        <w:tc>
          <w:tcPr>
            <w:tcW w:w="108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990" w:type="dxa"/>
            <w:vAlign w:val="bottom"/>
            <w:tcBorders>
              <w:bottom w:val="single" w:sz="8" w:color="1E1E1E"/>
            </w:tcBorders>
          </w:tcPr>
          <w:p>
            <w:pPr>
              <w:spacing w:after="0"/>
              <w:rPr>
                <w:sz w:val="20"/>
                <w:szCs w:val="20"/>
                <w:color w:val="auto"/>
              </w:rPr>
            </w:pPr>
          </w:p>
        </w:tc>
        <w:tc>
          <w:tcPr>
            <w:tcW w:w="90" w:type="dxa"/>
            <w:vAlign w:val="bottom"/>
            <w:tcBorders>
              <w:bottom w:val="single" w:sz="8" w:color="1E1E1E"/>
            </w:tcBorders>
          </w:tcPr>
          <w:p>
            <w:pPr>
              <w:spacing w:after="0"/>
              <w:rPr>
                <w:sz w:val="20"/>
                <w:szCs w:val="20"/>
                <w:color w:val="auto"/>
              </w:rPr>
            </w:pPr>
          </w:p>
        </w:tc>
        <w:tc>
          <w:tcPr>
            <w:tcW w:w="100" w:type="dxa"/>
            <w:vAlign w:val="bottom"/>
            <w:tcBorders>
              <w:bottom w:val="single" w:sz="8" w:color="1E1E1E"/>
            </w:tcBorders>
          </w:tcPr>
          <w:p>
            <w:pPr>
              <w:spacing w:after="0"/>
              <w:rPr>
                <w:sz w:val="20"/>
                <w:szCs w:val="20"/>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7,777</w:t>
            </w:r>
          </w:p>
        </w:tc>
        <w:tc>
          <w:tcPr>
            <w:tcW w:w="100" w:type="dxa"/>
            <w:vAlign w:val="bottom"/>
            <w:tcBorders>
              <w:bottom w:val="single" w:sz="8" w:color="1E1E1E"/>
            </w:tcBorders>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880" w:type="dxa"/>
            <w:vAlign w:val="bottom"/>
            <w:tcBorders>
              <w:top w:val="single" w:sz="8" w:color="E4E4E4"/>
            </w:tcBorders>
            <w:shd w:val="clear" w:color="auto" w:fill="E4E4E4"/>
          </w:tcPr>
          <w:p>
            <w:pPr>
              <w:spacing w:after="0" w:line="190" w:lineRule="exact"/>
              <w:rPr>
                <w:sz w:val="20"/>
                <w:szCs w:val="20"/>
                <w:color w:val="auto"/>
              </w:rPr>
            </w:pPr>
            <w:r>
              <w:rPr>
                <w:rFonts w:ascii="Times New Roman" w:cs="Times New Roman" w:eastAsia="Times New Roman" w:hAnsi="Times New Roman"/>
                <w:sz w:val="18"/>
                <w:szCs w:val="18"/>
                <w:b w:val="1"/>
                <w:bCs w:val="1"/>
                <w:color w:val="1E1E1E"/>
              </w:rPr>
              <w:t>Loss from continuing operations before income</w:t>
            </w:r>
          </w:p>
        </w:tc>
        <w:tc>
          <w:tcPr>
            <w:tcW w:w="120" w:type="dxa"/>
            <w:vAlign w:val="bottom"/>
            <w:tcBorders>
              <w:top w:val="single" w:sz="8" w:color="E4E4E4"/>
            </w:tcBorders>
            <w:shd w:val="clear" w:color="auto" w:fill="E4E4E4"/>
          </w:tcPr>
          <w:p>
            <w:pPr>
              <w:spacing w:after="0"/>
              <w:rPr>
                <w:sz w:val="16"/>
                <w:szCs w:val="16"/>
                <w:color w:val="auto"/>
              </w:rPr>
            </w:pPr>
          </w:p>
        </w:tc>
        <w:tc>
          <w:tcPr>
            <w:tcW w:w="114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980" w:type="dxa"/>
            <w:vAlign w:val="bottom"/>
            <w:tcBorders>
              <w:top w:val="single" w:sz="8" w:color="E4E4E4"/>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108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990" w:type="dxa"/>
            <w:vAlign w:val="bottom"/>
            <w:tcBorders>
              <w:top w:val="single" w:sz="8" w:color="E4E4E4"/>
            </w:tcBorders>
            <w:shd w:val="clear" w:color="auto" w:fill="E4E4E4"/>
          </w:tcPr>
          <w:p>
            <w:pPr>
              <w:spacing w:after="0"/>
              <w:rPr>
                <w:sz w:val="16"/>
                <w:szCs w:val="16"/>
                <w:color w:val="auto"/>
              </w:rPr>
            </w:pPr>
          </w:p>
        </w:tc>
        <w:tc>
          <w:tcPr>
            <w:tcW w:w="9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116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r>
      <w:tr>
        <w:trPr>
          <w:trHeight w:val="206"/>
        </w:trPr>
        <w:tc>
          <w:tcPr>
            <w:tcW w:w="20" w:type="dxa"/>
            <w:vAlign w:val="bottom"/>
            <w:tcBorders>
              <w:bottom w:val="single" w:sz="8" w:color="1E1E1E"/>
            </w:tcBorders>
          </w:tcPr>
          <w:p>
            <w:pPr>
              <w:spacing w:after="0"/>
              <w:rPr>
                <w:sz w:val="17"/>
                <w:szCs w:val="17"/>
                <w:color w:val="auto"/>
              </w:rPr>
            </w:pPr>
          </w:p>
        </w:tc>
        <w:tc>
          <w:tcPr>
            <w:tcW w:w="3880" w:type="dxa"/>
            <w:vAlign w:val="bottom"/>
            <w:tcBorders>
              <w:bottom w:val="single" w:sz="8" w:color="1E1E1E"/>
            </w:tcBorders>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E1E1E"/>
              </w:rPr>
              <w:t>taxes</w:t>
            </w:r>
          </w:p>
        </w:tc>
        <w:tc>
          <w:tcPr>
            <w:tcW w:w="120" w:type="dxa"/>
            <w:vAlign w:val="bottom"/>
            <w:tcBorders>
              <w:bottom w:val="single" w:sz="8" w:color="1E1E1E"/>
            </w:tcBorders>
            <w:shd w:val="clear" w:color="auto" w:fill="E4E4E4"/>
          </w:tcPr>
          <w:p>
            <w:pPr>
              <w:spacing w:after="0"/>
              <w:rPr>
                <w:sz w:val="17"/>
                <w:szCs w:val="17"/>
                <w:color w:val="auto"/>
              </w:rPr>
            </w:pPr>
          </w:p>
        </w:tc>
        <w:tc>
          <w:tcPr>
            <w:tcW w:w="114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80" w:type="dxa"/>
            <w:vAlign w:val="bottom"/>
            <w:tcBorders>
              <w:bottom w:val="single" w:sz="8" w:color="1E1E1E"/>
            </w:tcBorders>
            <w:shd w:val="clear" w:color="auto" w:fill="E4E4E4"/>
          </w:tcPr>
          <w:p>
            <w:pPr>
              <w:spacing w:after="0"/>
              <w:rPr>
                <w:sz w:val="17"/>
                <w:szCs w:val="17"/>
                <w:color w:val="auto"/>
              </w:rPr>
            </w:pPr>
          </w:p>
        </w:tc>
        <w:tc>
          <w:tcPr>
            <w:tcW w:w="120" w:type="dxa"/>
            <w:vAlign w:val="bottom"/>
            <w:tcBorders>
              <w:bottom w:val="single" w:sz="8" w:color="1E1E1E"/>
            </w:tcBorders>
            <w:shd w:val="clear" w:color="auto" w:fill="E4E4E4"/>
          </w:tcPr>
          <w:p>
            <w:pPr>
              <w:spacing w:after="0"/>
              <w:rPr>
                <w:sz w:val="17"/>
                <w:szCs w:val="17"/>
                <w:color w:val="auto"/>
              </w:rPr>
            </w:pPr>
          </w:p>
        </w:tc>
        <w:tc>
          <w:tcPr>
            <w:tcW w:w="80" w:type="dxa"/>
            <w:vAlign w:val="bottom"/>
            <w:tcBorders>
              <w:bottom w:val="single" w:sz="8" w:color="1E1E1E"/>
            </w:tcBorders>
            <w:shd w:val="clear" w:color="auto" w:fill="E4E4E4"/>
          </w:tcPr>
          <w:p>
            <w:pPr>
              <w:spacing w:after="0"/>
              <w:rPr>
                <w:sz w:val="17"/>
                <w:szCs w:val="17"/>
                <w:color w:val="auto"/>
              </w:rPr>
            </w:pPr>
          </w:p>
        </w:tc>
        <w:tc>
          <w:tcPr>
            <w:tcW w:w="108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spacing w:after="0"/>
              <w:rPr>
                <w:sz w:val="17"/>
                <w:szCs w:val="17"/>
                <w:color w:val="auto"/>
              </w:rPr>
            </w:pPr>
          </w:p>
        </w:tc>
        <w:tc>
          <w:tcPr>
            <w:tcW w:w="990" w:type="dxa"/>
            <w:vAlign w:val="bottom"/>
            <w:tcBorders>
              <w:bottom w:val="single" w:sz="8" w:color="1E1E1E"/>
            </w:tcBorders>
            <w:shd w:val="clear" w:color="auto" w:fill="E4E4E4"/>
          </w:tcPr>
          <w:p>
            <w:pPr>
              <w:spacing w:after="0"/>
              <w:rPr>
                <w:sz w:val="17"/>
                <w:szCs w:val="17"/>
                <w:color w:val="auto"/>
              </w:rPr>
            </w:pPr>
          </w:p>
        </w:tc>
        <w:tc>
          <w:tcPr>
            <w:tcW w:w="90" w:type="dxa"/>
            <w:vAlign w:val="bottom"/>
            <w:tcBorders>
              <w:bottom w:val="single" w:sz="8" w:color="1E1E1E"/>
            </w:tcBorders>
            <w:shd w:val="clear" w:color="auto" w:fill="E4E4E4"/>
          </w:tcPr>
          <w:p>
            <w:pPr>
              <w:spacing w:after="0"/>
              <w:rPr>
                <w:sz w:val="17"/>
                <w:szCs w:val="17"/>
                <w:color w:val="auto"/>
              </w:rPr>
            </w:pPr>
          </w:p>
        </w:tc>
        <w:tc>
          <w:tcPr>
            <w:tcW w:w="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w w:val="88"/>
                <w:shd w:val="clear" w:color="auto" w:fill="E4E4E4"/>
              </w:rPr>
              <w:t>$</w:t>
            </w:r>
          </w:p>
        </w:tc>
        <w:tc>
          <w:tcPr>
            <w:tcW w:w="11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(21,774)</w:t>
            </w:r>
          </w:p>
        </w:tc>
        <w:tc>
          <w:tcPr>
            <w:tcW w:w="100" w:type="dxa"/>
            <w:vAlign w:val="bottom"/>
            <w:tcBorders>
              <w:bottom w:val="single" w:sz="8" w:color="1E1E1E"/>
            </w:tcBorders>
            <w:shd w:val="clear" w:color="auto" w:fill="E4E4E4"/>
          </w:tcPr>
          <w:p>
            <w:pPr>
              <w:spacing w:after="0"/>
              <w:rPr>
                <w:sz w:val="17"/>
                <w:szCs w:val="17"/>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388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90" w:type="dxa"/>
            <w:vAlign w:val="bottom"/>
            <w:tcBorders>
              <w:bottom w:val="single" w:sz="8" w:color="1E1E1E"/>
            </w:tcBorders>
          </w:tcPr>
          <w:p>
            <w:pPr>
              <w:spacing w:after="0" w:line="20" w:lineRule="exact"/>
              <w:rPr>
                <w:sz w:val="1"/>
                <w:szCs w:val="1"/>
                <w:color w:val="auto"/>
              </w:rPr>
            </w:pPr>
          </w:p>
        </w:tc>
        <w:tc>
          <w:tcPr>
            <w:tcW w:w="9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-1010285</wp:posOffset>
                </wp:positionV>
                <wp:extent cx="651065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79.5499pt" to="513.3pt,-79.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8255</wp:posOffset>
                </wp:positionH>
                <wp:positionV relativeFrom="paragraph">
                  <wp:posOffset>-440055</wp:posOffset>
                </wp:positionV>
                <wp:extent cx="651065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06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34.6499pt" to="513.3pt,-34.6499pt" o:allowincell="f" strokecolor="#FFFFFF" strokeweight="0.72pt"/>
            </w:pict>
          </mc:Fallback>
        </mc:AlternateContent>
      </w:r>
    </w:p>
    <w:p>
      <w:pPr>
        <w:spacing w:after="0" w:line="237" w:lineRule="exact"/>
        <w:rPr>
          <w:sz w:val="20"/>
          <w:szCs w:val="20"/>
          <w:color w:val="auto"/>
        </w:rPr>
      </w:pPr>
    </w:p>
    <w:p>
      <w:pPr>
        <w:ind w:left="380" w:right="20" w:hanging="366"/>
        <w:spacing w:after="0" w:line="253" w:lineRule="auto"/>
        <w:tabs>
          <w:tab w:leader="none" w:pos="380" w:val="left"/>
        </w:tabs>
        <w:numPr>
          <w:ilvl w:val="0"/>
          <w:numId w:val="27"/>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Net sales in North America and in the United Kingdom, which includes the Republic of Ireland, accounted for 79% and 21%, respectively, of our net sales for Fiscal 2024.</w:t>
      </w:r>
    </w:p>
    <w:p>
      <w:pPr>
        <w:ind w:left="380" w:hanging="366"/>
        <w:spacing w:after="0" w:line="229" w:lineRule="auto"/>
        <w:tabs>
          <w:tab w:leader="none" w:pos="380" w:val="left"/>
        </w:tabs>
        <w:numPr>
          <w:ilvl w:val="0"/>
          <w:numId w:val="27"/>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Goodwill impairment of $28.5 million is related to Genesco Brands Group.</w:t>
      </w:r>
    </w:p>
    <w:p>
      <w:pPr>
        <w:spacing w:after="0" w:line="35" w:lineRule="exact"/>
        <w:rPr>
          <w:rFonts w:ascii="Times New Roman" w:cs="Times New Roman" w:eastAsia="Times New Roman" w:hAnsi="Times New Roman"/>
          <w:sz w:val="24"/>
          <w:szCs w:val="24"/>
          <w:color w:val="1E1E1E"/>
          <w:vertAlign w:val="superscript"/>
        </w:rPr>
      </w:pPr>
    </w:p>
    <w:p>
      <w:pPr>
        <w:ind w:left="380" w:right="20" w:hanging="366"/>
        <w:spacing w:after="0" w:line="237" w:lineRule="auto"/>
        <w:tabs>
          <w:tab w:leader="none" w:pos="380" w:val="left"/>
        </w:tabs>
        <w:numPr>
          <w:ilvl w:val="0"/>
          <w:numId w:val="27"/>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Asset impairments and other includes $1.1 million for severance and $1.0 million charge for asset impairments in Journeys Group, partially offset by a $0.3 million insurance gain.</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1E1E1E"/>
        </w:rPr>
        <w:t>Fiscal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4458335</wp:posOffset>
                </wp:positionH>
                <wp:positionV relativeFrom="paragraph">
                  <wp:posOffset>19685</wp:posOffset>
                </wp:positionV>
                <wp:extent cx="12700" cy="127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FFFFF"/>
                        </a:solidFill>
                      </wps:spPr>
                      <wps:bodyPr/>
                    </wps:wsp>
                  </a:graphicData>
                </a:graphic>
              </wp:anchor>
            </w:drawing>
          </mc:Choice>
          <mc:Fallback>
            <w:pict>
              <v:rect id="Shape 115" o:spid="_x0000_s1140" style="position:absolute;margin-left:351.05pt;margin-top:1.55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5132070</wp:posOffset>
                </wp:positionH>
                <wp:positionV relativeFrom="paragraph">
                  <wp:posOffset>26035</wp:posOffset>
                </wp:positionV>
                <wp:extent cx="64897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1pt,2.05pt" to="455.2pt,2.05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5787390</wp:posOffset>
                </wp:positionH>
                <wp:positionV relativeFrom="paragraph">
                  <wp:posOffset>26035</wp:posOffset>
                </wp:positionV>
                <wp:extent cx="71628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28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7pt,2.05pt" to="512.1pt,2.05pt" o:allowincell="f" strokecolor="#FFFFFF" strokeweight="0.7199pt"/>
            </w:pict>
          </mc:Fallback>
        </mc:AlternateConten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60" w:type="dxa"/>
            <w:vAlign w:val="bottom"/>
            <w:tcBorders>
              <w:top w:val="single" w:sz="8" w:color="1E1E1E"/>
            </w:tcBorders>
          </w:tcPr>
          <w:p>
            <w:pPr>
              <w:spacing w:after="0"/>
              <w:rPr>
                <w:sz w:val="16"/>
                <w:szCs w:val="16"/>
                <w:color w:val="auto"/>
              </w:rPr>
            </w:pPr>
          </w:p>
        </w:tc>
        <w:tc>
          <w:tcPr>
            <w:tcW w:w="120" w:type="dxa"/>
            <w:vAlign w:val="bottom"/>
            <w:tcBorders>
              <w:top w:val="single" w:sz="8" w:color="1E1E1E"/>
            </w:tcBorders>
          </w:tcPr>
          <w:p>
            <w:pPr>
              <w:spacing w:after="0"/>
              <w:rPr>
                <w:sz w:val="16"/>
                <w:szCs w:val="16"/>
                <w:color w:val="auto"/>
              </w:rPr>
            </w:pPr>
          </w:p>
        </w:tc>
        <w:tc>
          <w:tcPr>
            <w:tcW w:w="840" w:type="dxa"/>
            <w:vAlign w:val="bottom"/>
            <w:tcBorders>
              <w:top w:val="single" w:sz="8" w:color="1E1E1E"/>
            </w:tcBorders>
          </w:tcPr>
          <w:p>
            <w:pPr>
              <w:spacing w:after="0"/>
              <w:rPr>
                <w:sz w:val="16"/>
                <w:szCs w:val="16"/>
                <w:color w:val="auto"/>
              </w:rPr>
            </w:pPr>
          </w:p>
        </w:tc>
        <w:tc>
          <w:tcPr>
            <w:tcW w:w="220" w:type="dxa"/>
            <w:vAlign w:val="bottom"/>
            <w:tcBorders>
              <w:top w:val="single" w:sz="8" w:color="1E1E1E"/>
            </w:tcBorders>
          </w:tcPr>
          <w:p>
            <w:pPr>
              <w:spacing w:after="0"/>
              <w:rPr>
                <w:sz w:val="16"/>
                <w:szCs w:val="16"/>
                <w:color w:val="auto"/>
              </w:rPr>
            </w:pPr>
          </w:p>
        </w:tc>
        <w:tc>
          <w:tcPr>
            <w:tcW w:w="740" w:type="dxa"/>
            <w:vAlign w:val="bottom"/>
            <w:tcBorders>
              <w:top w:val="single" w:sz="8" w:color="1E1E1E"/>
            </w:tcBorders>
          </w:tcPr>
          <w:p>
            <w:pPr>
              <w:spacing w:after="0"/>
              <w:rPr>
                <w:sz w:val="16"/>
                <w:szCs w:val="16"/>
                <w:color w:val="auto"/>
              </w:rPr>
            </w:pPr>
          </w:p>
        </w:tc>
        <w:tc>
          <w:tcPr>
            <w:tcW w:w="980" w:type="dxa"/>
            <w:vAlign w:val="bottom"/>
            <w:tcBorders>
              <w:top w:val="single" w:sz="8" w:color="1E1E1E"/>
            </w:tcBorders>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Johnston</w:t>
            </w:r>
          </w:p>
        </w:tc>
        <w:tc>
          <w:tcPr>
            <w:tcW w:w="200" w:type="dxa"/>
            <w:vAlign w:val="bottom"/>
            <w:tcBorders>
              <w:top w:val="single" w:sz="8" w:color="1E1E1E"/>
            </w:tcBorders>
          </w:tcPr>
          <w:p>
            <w:pPr>
              <w:spacing w:after="0"/>
              <w:rPr>
                <w:sz w:val="16"/>
                <w:szCs w:val="16"/>
                <w:color w:val="auto"/>
              </w:rPr>
            </w:pPr>
          </w:p>
        </w:tc>
        <w:tc>
          <w:tcPr>
            <w:tcW w:w="860" w:type="dxa"/>
            <w:vAlign w:val="bottom"/>
            <w:tcBorders>
              <w:top w:val="single" w:sz="8" w:color="1E1E1E"/>
              <w:right w:val="single" w:sz="8" w:color="1E1E1E"/>
            </w:tcBorders>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1E1E1E"/>
                <w:w w:val="99"/>
              </w:rPr>
              <w:t>Genesco</w:t>
            </w:r>
          </w:p>
        </w:tc>
        <w:tc>
          <w:tcPr>
            <w:tcW w:w="1060" w:type="dxa"/>
            <w:vAlign w:val="bottom"/>
            <w:tcBorders>
              <w:top w:val="single" w:sz="8" w:color="1E1E1E"/>
              <w:right w:val="single" w:sz="8" w:color="1E1E1E"/>
            </w:tcBorders>
            <w:gridSpan w:val="3"/>
          </w:tcPr>
          <w:p>
            <w:pPr>
              <w:jc w:val="center"/>
              <w:ind w:right="140"/>
              <w:spacing w:after="0" w:line="186" w:lineRule="exact"/>
              <w:rPr>
                <w:sz w:val="20"/>
                <w:szCs w:val="20"/>
                <w:color w:val="auto"/>
              </w:rPr>
            </w:pPr>
            <w:r>
              <w:rPr>
                <w:rFonts w:ascii="Times New Roman" w:cs="Times New Roman" w:eastAsia="Times New Roman" w:hAnsi="Times New Roman"/>
                <w:sz w:val="18"/>
                <w:szCs w:val="18"/>
                <w:b w:val="1"/>
                <w:bCs w:val="1"/>
                <w:color w:val="1E1E1E"/>
              </w:rPr>
              <w:t>Reportable</w:t>
            </w:r>
          </w:p>
        </w:tc>
        <w:tc>
          <w:tcPr>
            <w:tcW w:w="80" w:type="dxa"/>
            <w:vAlign w:val="bottom"/>
            <w:tcBorders>
              <w:top w:val="single" w:sz="8" w:color="1E1E1E"/>
            </w:tcBorders>
          </w:tcPr>
          <w:p>
            <w:pPr>
              <w:spacing w:after="0"/>
              <w:rPr>
                <w:sz w:val="16"/>
                <w:szCs w:val="16"/>
                <w:color w:val="auto"/>
              </w:rPr>
            </w:pPr>
          </w:p>
        </w:tc>
        <w:tc>
          <w:tcPr>
            <w:tcW w:w="840" w:type="dxa"/>
            <w:vAlign w:val="bottom"/>
            <w:tcBorders>
              <w:top w:val="single" w:sz="8" w:color="1E1E1E"/>
            </w:tcBorders>
          </w:tcPr>
          <w:p>
            <w:pPr>
              <w:spacing w:after="0"/>
              <w:rPr>
                <w:sz w:val="16"/>
                <w:szCs w:val="16"/>
                <w:color w:val="auto"/>
              </w:rPr>
            </w:pPr>
          </w:p>
        </w:tc>
        <w:tc>
          <w:tcPr>
            <w:tcW w:w="120" w:type="dxa"/>
            <w:vAlign w:val="bottom"/>
            <w:tcBorders>
              <w:top w:val="single" w:sz="8" w:color="1E1E1E"/>
              <w:right w:val="single" w:sz="8" w:color="1E1E1E"/>
            </w:tcBorders>
          </w:tcPr>
          <w:p>
            <w:pPr>
              <w:spacing w:after="0"/>
              <w:rPr>
                <w:sz w:val="16"/>
                <w:szCs w:val="16"/>
                <w:color w:val="auto"/>
              </w:rPr>
            </w:pPr>
          </w:p>
        </w:tc>
        <w:tc>
          <w:tcPr>
            <w:tcW w:w="2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900" w:type="dxa"/>
            <w:vAlign w:val="bottom"/>
            <w:tcBorders>
              <w:top w:val="single" w:sz="8" w:color="1E1E1E"/>
            </w:tcBorders>
          </w:tcPr>
          <w:p>
            <w:pPr>
              <w:spacing w:after="0"/>
              <w:rPr>
                <w:sz w:val="16"/>
                <w:szCs w:val="16"/>
                <w:color w:val="auto"/>
              </w:rPr>
            </w:pPr>
          </w:p>
        </w:tc>
        <w:tc>
          <w:tcPr>
            <w:tcW w:w="120" w:type="dxa"/>
            <w:vAlign w:val="bottom"/>
            <w:tcBorders>
              <w:top w:val="single" w:sz="8" w:color="1E1E1E"/>
              <w:right w:val="single" w:sz="8" w:color="1E1E1E"/>
            </w:tcBorders>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8"/>
                <w:szCs w:val="18"/>
                <w:b w:val="1"/>
                <w:bCs w:val="1"/>
                <w:color w:val="1E1E1E"/>
                <w:w w:val="99"/>
              </w:rPr>
              <w:t>Journeys</w:t>
            </w:r>
          </w:p>
        </w:tc>
        <w:tc>
          <w:tcPr>
            <w:tcW w:w="22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8"/>
                <w:szCs w:val="18"/>
                <w:b w:val="1"/>
                <w:bCs w:val="1"/>
                <w:color w:val="1E1E1E"/>
              </w:rPr>
              <w:t>Schuh</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1E1E1E"/>
                <w:w w:val="98"/>
              </w:rPr>
              <w:t>&amp; Murphy</w:t>
            </w:r>
          </w:p>
        </w:tc>
        <w:tc>
          <w:tcPr>
            <w:tcW w:w="200" w:type="dxa"/>
            <w:vAlign w:val="bottom"/>
          </w:tcPr>
          <w:p>
            <w:pPr>
              <w:spacing w:after="0"/>
              <w:rPr>
                <w:sz w:val="18"/>
                <w:szCs w:val="18"/>
                <w:color w:val="auto"/>
              </w:rPr>
            </w:pPr>
          </w:p>
        </w:tc>
        <w:tc>
          <w:tcPr>
            <w:tcW w:w="860" w:type="dxa"/>
            <w:vAlign w:val="bottom"/>
            <w:tcBorders>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w w:val="99"/>
              </w:rPr>
              <w:t>Brands</w:t>
            </w:r>
          </w:p>
        </w:tc>
        <w:tc>
          <w:tcPr>
            <w:tcW w:w="80" w:type="dxa"/>
            <w:vAlign w:val="bottom"/>
          </w:tcPr>
          <w:p>
            <w:pPr>
              <w:spacing w:after="0"/>
              <w:rPr>
                <w:sz w:val="18"/>
                <w:szCs w:val="18"/>
                <w:color w:val="auto"/>
              </w:rPr>
            </w:pPr>
          </w:p>
        </w:tc>
        <w:tc>
          <w:tcPr>
            <w:tcW w:w="980" w:type="dxa"/>
            <w:vAlign w:val="bottom"/>
            <w:tcBorders>
              <w:right w:val="single" w:sz="8" w:color="1E1E1E"/>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1E1E1E"/>
                <w:w w:val="99"/>
              </w:rPr>
              <w:t>Segment</w:t>
            </w:r>
          </w:p>
        </w:tc>
        <w:tc>
          <w:tcPr>
            <w:tcW w:w="1040" w:type="dxa"/>
            <w:vAlign w:val="bottom"/>
            <w:tcBorders>
              <w:right w:val="single" w:sz="8" w:color="1E1E1E"/>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1E1E1E"/>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1E1E1E"/>
            </w:tcBorders>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0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(In thousands)</w:t>
            </w:r>
          </w:p>
        </w:tc>
        <w:tc>
          <w:tcPr>
            <w:tcW w:w="120" w:type="dxa"/>
            <w:vAlign w:val="bottom"/>
            <w:tcBorders>
              <w:bottom w:val="single" w:sz="8" w:color="1E1E1E"/>
            </w:tcBorders>
          </w:tcPr>
          <w:p>
            <w:pPr>
              <w:spacing w:after="0"/>
              <w:rPr>
                <w:sz w:val="20"/>
                <w:szCs w:val="20"/>
                <w:color w:val="auto"/>
              </w:rPr>
            </w:pPr>
          </w:p>
        </w:tc>
        <w:tc>
          <w:tcPr>
            <w:tcW w:w="840" w:type="dxa"/>
            <w:vAlign w:val="bottom"/>
            <w:tcBorders>
              <w:bottom w:val="single" w:sz="8" w:color="1E1E1E"/>
            </w:tcBorders>
          </w:tcPr>
          <w:p>
            <w:pPr>
              <w:jc w:val="right"/>
              <w:ind w:right="12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220" w:type="dxa"/>
            <w:vAlign w:val="bottom"/>
            <w:tcBorders>
              <w:bottom w:val="single" w:sz="8" w:color="1E1E1E"/>
            </w:tcBorders>
          </w:tcPr>
          <w:p>
            <w:pPr>
              <w:spacing w:after="0"/>
              <w:rPr>
                <w:sz w:val="20"/>
                <w:szCs w:val="20"/>
                <w:color w:val="auto"/>
              </w:rPr>
            </w:pPr>
          </w:p>
        </w:tc>
        <w:tc>
          <w:tcPr>
            <w:tcW w:w="740" w:type="dxa"/>
            <w:vAlign w:val="bottom"/>
            <w:tcBorders>
              <w:bottom w:val="single" w:sz="8" w:color="1E1E1E"/>
            </w:tcBorders>
          </w:tcPr>
          <w:p>
            <w:pPr>
              <w:jc w:val="right"/>
              <w:ind w:right="89"/>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200" w:type="dxa"/>
            <w:vAlign w:val="bottom"/>
            <w:tcBorders>
              <w:bottom w:val="single" w:sz="8" w:color="1E1E1E"/>
            </w:tcBorders>
          </w:tcPr>
          <w:p>
            <w:pPr>
              <w:spacing w:after="0"/>
              <w:rPr>
                <w:sz w:val="20"/>
                <w:szCs w:val="20"/>
                <w:color w:val="auto"/>
              </w:rPr>
            </w:pPr>
          </w:p>
        </w:tc>
        <w:tc>
          <w:tcPr>
            <w:tcW w:w="780" w:type="dxa"/>
            <w:vAlign w:val="bottom"/>
            <w:tcBorders>
              <w:bottom w:val="single" w:sz="8" w:color="1E1E1E"/>
            </w:tcBorders>
          </w:tcPr>
          <w:p>
            <w:pPr>
              <w:jc w:val="center"/>
              <w:ind w:right="29"/>
              <w:spacing w:after="0"/>
              <w:rPr>
                <w:sz w:val="20"/>
                <w:szCs w:val="20"/>
                <w:color w:val="auto"/>
              </w:rPr>
            </w:pPr>
            <w:r>
              <w:rPr>
                <w:rFonts w:ascii="Times New Roman" w:cs="Times New Roman" w:eastAsia="Times New Roman" w:hAnsi="Times New Roman"/>
                <w:sz w:val="18"/>
                <w:szCs w:val="18"/>
                <w:b w:val="1"/>
                <w:bCs w:val="1"/>
                <w:color w:val="1E1E1E"/>
                <w:w w:val="97"/>
              </w:rPr>
              <w:t>Group</w:t>
            </w:r>
          </w:p>
        </w:tc>
        <w:tc>
          <w:tcPr>
            <w:tcW w:w="200" w:type="dxa"/>
            <w:vAlign w:val="bottom"/>
            <w:tcBorders>
              <w:bottom w:val="single" w:sz="8" w:color="1E1E1E"/>
            </w:tcBorders>
          </w:tcPr>
          <w:p>
            <w:pPr>
              <w:spacing w:after="0"/>
              <w:rPr>
                <w:sz w:val="20"/>
                <w:szCs w:val="20"/>
                <w:color w:val="auto"/>
              </w:rPr>
            </w:pPr>
          </w:p>
        </w:tc>
        <w:tc>
          <w:tcPr>
            <w:tcW w:w="860" w:type="dxa"/>
            <w:vAlign w:val="bottom"/>
            <w:tcBorders>
              <w:bottom w:val="single" w:sz="8" w:color="1E1E1E"/>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rPr>
              <w:t>Group</w:t>
            </w:r>
          </w:p>
        </w:tc>
        <w:tc>
          <w:tcPr>
            <w:tcW w:w="80" w:type="dxa"/>
            <w:vAlign w:val="bottom"/>
            <w:tcBorders>
              <w:bottom w:val="single" w:sz="8" w:color="1E1E1E"/>
            </w:tcBorders>
          </w:tcPr>
          <w:p>
            <w:pPr>
              <w:spacing w:after="0"/>
              <w:rPr>
                <w:sz w:val="20"/>
                <w:szCs w:val="20"/>
                <w:color w:val="auto"/>
              </w:rPr>
            </w:pPr>
          </w:p>
        </w:tc>
        <w:tc>
          <w:tcPr>
            <w:tcW w:w="980" w:type="dxa"/>
            <w:vAlign w:val="bottom"/>
            <w:tcBorders>
              <w:bottom w:val="single" w:sz="8" w:color="1E1E1E"/>
              <w:right w:val="single" w:sz="8" w:color="1E1E1E"/>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1E1E1E"/>
                <w:w w:val="97"/>
              </w:rPr>
              <w:t>Total</w:t>
            </w:r>
          </w:p>
        </w:tc>
        <w:tc>
          <w:tcPr>
            <w:tcW w:w="8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right w:val="single" w:sz="8" w:color="1E1E1E"/>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1E1E1E"/>
              </w:rPr>
              <w:t>&amp; Other</w:t>
            </w:r>
          </w:p>
        </w:tc>
        <w:tc>
          <w:tcPr>
            <w:tcW w:w="20" w:type="dxa"/>
            <w:vAlign w:val="bottom"/>
            <w:tcBorders>
              <w:bottom w:val="single" w:sz="8" w:color="1E1E1E"/>
            </w:tcBorders>
          </w:tcPr>
          <w:p>
            <w:pPr>
              <w:spacing w:after="0"/>
              <w:rPr>
                <w:sz w:val="20"/>
                <w:szCs w:val="20"/>
                <w:color w:val="auto"/>
              </w:rPr>
            </w:pPr>
          </w:p>
        </w:tc>
        <w:tc>
          <w:tcPr>
            <w:tcW w:w="1120" w:type="dxa"/>
            <w:vAlign w:val="bottom"/>
            <w:tcBorders>
              <w:bottom w:val="single" w:sz="8" w:color="1E1E1E"/>
              <w:right w:val="single" w:sz="8" w:color="1E1E1E"/>
            </w:tcBorders>
            <w:gridSpan w:val="3"/>
          </w:tcPr>
          <w:p>
            <w:pPr>
              <w:spacing w:after="0"/>
              <w:rPr>
                <w:sz w:val="20"/>
                <w:szCs w:val="20"/>
                <w:color w:val="auto"/>
              </w:rPr>
            </w:pPr>
            <w:r>
              <w:rPr>
                <w:rFonts w:ascii="Times New Roman" w:cs="Times New Roman" w:eastAsia="Times New Roman" w:hAnsi="Times New Roman"/>
                <w:sz w:val="18"/>
                <w:szCs w:val="18"/>
                <w:b w:val="1"/>
                <w:bCs w:val="1"/>
                <w:color w:val="1E1E1E"/>
              </w:rPr>
              <w:t>Consolidated</w:t>
            </w:r>
          </w:p>
        </w:tc>
      </w:tr>
      <w:tr>
        <w:trPr>
          <w:trHeight w:val="210"/>
        </w:trPr>
        <w:tc>
          <w:tcPr>
            <w:tcW w:w="20" w:type="dxa"/>
            <w:vAlign w:val="bottom"/>
          </w:tcPr>
          <w:p>
            <w:pPr>
              <w:spacing w:after="0"/>
              <w:rPr>
                <w:sz w:val="18"/>
                <w:szCs w:val="18"/>
                <w:color w:val="auto"/>
              </w:rPr>
            </w:pPr>
          </w:p>
        </w:tc>
        <w:tc>
          <w:tcPr>
            <w:tcW w:w="3060" w:type="dxa"/>
            <w:vAlign w:val="bottom"/>
            <w:tcBorders>
              <w:bottom w:val="single" w:sz="8" w:color="E4E4E4"/>
            </w:tcBorders>
          </w:tcPr>
          <w:p>
            <w:pPr>
              <w:spacing w:after="0" w:line="210" w:lineRule="exact"/>
              <w:rPr>
                <w:sz w:val="20"/>
                <w:szCs w:val="20"/>
                <w:color w:val="auto"/>
              </w:rPr>
            </w:pPr>
            <w:r>
              <w:rPr>
                <w:rFonts w:ascii="Times New Roman" w:cs="Times New Roman" w:eastAsia="Times New Roman" w:hAnsi="Times New Roman"/>
                <w:sz w:val="18"/>
                <w:szCs w:val="18"/>
                <w:color w:val="1E1E1E"/>
              </w:rPr>
              <w:t>Total assets at fiscal year end</w:t>
            </w:r>
            <w:r>
              <w:rPr>
                <w:rFonts w:ascii="Times New Roman" w:cs="Times New Roman" w:eastAsia="Times New Roman" w:hAnsi="Times New Roman"/>
                <w:sz w:val="24"/>
                <w:szCs w:val="24"/>
                <w:color w:val="1E1E1E"/>
                <w:vertAlign w:val="superscript"/>
              </w:rPr>
              <w:t>(1)</w:t>
            </w:r>
          </w:p>
        </w:tc>
        <w:tc>
          <w:tcPr>
            <w:tcW w:w="96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   659,150</w:t>
            </w:r>
          </w:p>
        </w:tc>
        <w:tc>
          <w:tcPr>
            <w:tcW w:w="22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200,482</w:t>
            </w:r>
          </w:p>
        </w:tc>
        <w:tc>
          <w:tcPr>
            <w:tcW w:w="98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  165,217</w:t>
            </w:r>
          </w:p>
        </w:tc>
        <w:tc>
          <w:tcPr>
            <w:tcW w:w="20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74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18"/>
                <w:szCs w:val="18"/>
                <w:color w:val="1E1E1E"/>
              </w:rPr>
              <w:t>59,630</w:t>
            </w:r>
          </w:p>
        </w:tc>
        <w:tc>
          <w:tcPr>
            <w:tcW w:w="120" w:type="dxa"/>
            <w:vAlign w:val="bottom"/>
            <w:tcBorders>
              <w:bottom w:val="single" w:sz="8" w:color="E4E4E4"/>
              <w:right w:val="single" w:sz="8" w:color="1E1E1E"/>
            </w:tcBorders>
          </w:tcPr>
          <w:p>
            <w:pPr>
              <w:spacing w:after="0"/>
              <w:rPr>
                <w:sz w:val="18"/>
                <w:szCs w:val="18"/>
                <w:color w:val="auto"/>
              </w:rPr>
            </w:pPr>
          </w:p>
        </w:tc>
        <w:tc>
          <w:tcPr>
            <w:tcW w:w="930" w:type="dxa"/>
            <w:vAlign w:val="bottom"/>
            <w:tcBorders>
              <w:bottom w:val="single" w:sz="8" w:color="E4E4E4"/>
            </w:tcBorders>
            <w:gridSpan w:val="2"/>
          </w:tcPr>
          <w:p>
            <w:pPr>
              <w:jc w:val="right"/>
              <w:spacing w:after="0"/>
              <w:rPr>
                <w:sz w:val="20"/>
                <w:szCs w:val="20"/>
                <w:color w:val="auto"/>
              </w:rPr>
            </w:pPr>
            <w:r>
              <w:rPr>
                <w:rFonts w:ascii="Times New Roman" w:cs="Times New Roman" w:eastAsia="Times New Roman" w:hAnsi="Times New Roman"/>
                <w:sz w:val="18"/>
                <w:szCs w:val="18"/>
                <w:color w:val="1E1E1E"/>
                <w:w w:val="99"/>
              </w:rPr>
              <w:t>$  1,084,479</w:t>
            </w:r>
          </w:p>
        </w:tc>
        <w:tc>
          <w:tcPr>
            <w:tcW w:w="130" w:type="dxa"/>
            <w:vAlign w:val="bottom"/>
            <w:tcBorders>
              <w:bottom w:val="single" w:sz="8" w:color="E4E4E4"/>
              <w:right w:val="single" w:sz="8" w:color="1E1E1E"/>
            </w:tcBorders>
          </w:tcPr>
          <w:p>
            <w:pPr>
              <w:spacing w:after="0"/>
              <w:rPr>
                <w:sz w:val="18"/>
                <w:szCs w:val="18"/>
                <w:color w:val="auto"/>
              </w:rPr>
            </w:pPr>
          </w:p>
        </w:tc>
        <w:tc>
          <w:tcPr>
            <w:tcW w:w="1040" w:type="dxa"/>
            <w:vAlign w:val="bottom"/>
            <w:tcBorders>
              <w:bottom w:val="single" w:sz="8" w:color="E4E4E4"/>
              <w:right w:val="single" w:sz="8" w:color="1E1E1E"/>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1E1E1E"/>
              </w:rPr>
              <w:t>$   245,411</w:t>
            </w:r>
          </w:p>
        </w:tc>
        <w:tc>
          <w:tcPr>
            <w:tcW w:w="1020" w:type="dxa"/>
            <w:vAlign w:val="bottom"/>
            <w:tcBorders>
              <w:bottom w:val="single" w:sz="8" w:color="E4E4E4"/>
            </w:tcBorders>
            <w:gridSpan w:val="3"/>
          </w:tcPr>
          <w:p>
            <w:pPr>
              <w:jc w:val="right"/>
              <w:spacing w:after="0"/>
              <w:rPr>
                <w:sz w:val="20"/>
                <w:szCs w:val="20"/>
                <w:color w:val="auto"/>
              </w:rPr>
            </w:pPr>
            <w:r>
              <w:rPr>
                <w:rFonts w:ascii="Times New Roman" w:cs="Times New Roman" w:eastAsia="Times New Roman" w:hAnsi="Times New Roman"/>
                <w:sz w:val="18"/>
                <w:szCs w:val="18"/>
                <w:color w:val="1E1E1E"/>
              </w:rPr>
              <w:t>$  1,329,890</w:t>
            </w:r>
          </w:p>
        </w:tc>
        <w:tc>
          <w:tcPr>
            <w:tcW w:w="120" w:type="dxa"/>
            <w:vAlign w:val="bottom"/>
            <w:tcBorders>
              <w:bottom w:val="single" w:sz="8" w:color="E4E4E4"/>
              <w:right w:val="single" w:sz="8" w:color="1E1E1E"/>
            </w:tcBorders>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060" w:type="dxa"/>
            <w:vAlign w:val="bottom"/>
            <w:shd w:val="clear" w:color="auto" w:fill="E4E4E4"/>
          </w:tcPr>
          <w:p>
            <w:pPr>
              <w:spacing w:after="0" w:line="201" w:lineRule="exact"/>
              <w:rPr>
                <w:sz w:val="20"/>
                <w:szCs w:val="20"/>
                <w:color w:val="auto"/>
              </w:rPr>
            </w:pPr>
            <w:r>
              <w:rPr>
                <w:rFonts w:ascii="Times New Roman" w:cs="Times New Roman" w:eastAsia="Times New Roman" w:hAnsi="Times New Roman"/>
                <w:sz w:val="18"/>
                <w:szCs w:val="18"/>
                <w:color w:val="1E1E1E"/>
              </w:rPr>
              <w:t>Depreciation and amortization</w:t>
            </w:r>
          </w:p>
        </w:tc>
        <w:tc>
          <w:tcPr>
            <w:tcW w:w="120" w:type="dxa"/>
            <w:vAlign w:val="bottom"/>
            <w:shd w:val="clear" w:color="auto" w:fill="E4E4E4"/>
          </w:tcPr>
          <w:p>
            <w:pPr>
              <w:spacing w:after="0"/>
              <w:rPr>
                <w:sz w:val="17"/>
                <w:szCs w:val="17"/>
                <w:color w:val="auto"/>
              </w:rPr>
            </w:pPr>
          </w:p>
        </w:tc>
        <w:tc>
          <w:tcPr>
            <w:tcW w:w="84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32,419</w:t>
            </w:r>
          </w:p>
        </w:tc>
        <w:tc>
          <w:tcPr>
            <w:tcW w:w="220" w:type="dxa"/>
            <w:vAlign w:val="bottom"/>
            <w:shd w:val="clear" w:color="auto" w:fill="E4E4E4"/>
          </w:tcPr>
          <w:p>
            <w:pPr>
              <w:spacing w:after="0"/>
              <w:rPr>
                <w:sz w:val="17"/>
                <w:szCs w:val="17"/>
                <w:color w:val="auto"/>
              </w:rPr>
            </w:pPr>
          </w:p>
        </w:tc>
        <w:tc>
          <w:tcPr>
            <w:tcW w:w="74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6,636</w:t>
            </w:r>
          </w:p>
        </w:tc>
        <w:tc>
          <w:tcPr>
            <w:tcW w:w="200" w:type="dxa"/>
            <w:vAlign w:val="bottom"/>
            <w:shd w:val="clear" w:color="auto" w:fill="E4E4E4"/>
          </w:tcPr>
          <w:p>
            <w:pPr>
              <w:spacing w:after="0"/>
              <w:rPr>
                <w:sz w:val="17"/>
                <w:szCs w:val="17"/>
                <w:color w:val="auto"/>
              </w:rPr>
            </w:pPr>
          </w:p>
        </w:tc>
        <w:tc>
          <w:tcPr>
            <w:tcW w:w="78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5,113</w:t>
            </w:r>
          </w:p>
        </w:tc>
        <w:tc>
          <w:tcPr>
            <w:tcW w:w="200" w:type="dxa"/>
            <w:vAlign w:val="bottom"/>
            <w:shd w:val="clear" w:color="auto" w:fill="E4E4E4"/>
          </w:tcPr>
          <w:p>
            <w:pPr>
              <w:spacing w:after="0"/>
              <w:rPr>
                <w:sz w:val="17"/>
                <w:szCs w:val="17"/>
                <w:color w:val="auto"/>
              </w:rPr>
            </w:pPr>
          </w:p>
        </w:tc>
        <w:tc>
          <w:tcPr>
            <w:tcW w:w="74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984</w:t>
            </w:r>
          </w:p>
        </w:tc>
        <w:tc>
          <w:tcPr>
            <w:tcW w:w="120" w:type="dxa"/>
            <w:vAlign w:val="bottom"/>
            <w:tcBorders>
              <w:right w:val="single" w:sz="8" w:color="1E1E1E"/>
            </w:tcBorders>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85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45,152</w:t>
            </w:r>
          </w:p>
        </w:tc>
        <w:tc>
          <w:tcPr>
            <w:tcW w:w="130" w:type="dxa"/>
            <w:vAlign w:val="bottom"/>
            <w:tcBorders>
              <w:right w:val="single" w:sz="8" w:color="1E1E1E"/>
            </w:tcBorders>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84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4,289</w:t>
            </w:r>
          </w:p>
        </w:tc>
        <w:tc>
          <w:tcPr>
            <w:tcW w:w="120" w:type="dxa"/>
            <w:vAlign w:val="bottom"/>
            <w:tcBorders>
              <w:right w:val="single" w:sz="8" w:color="1E1E1E"/>
            </w:tcBorders>
            <w:shd w:val="clear" w:color="auto" w:fill="E4E4E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900" w:type="dxa"/>
            <w:vAlign w:val="bottom"/>
            <w:shd w:val="clear" w:color="auto" w:fill="E4E4E4"/>
          </w:tcPr>
          <w:p>
            <w:pPr>
              <w:jc w:val="right"/>
              <w:spacing w:after="0" w:line="201" w:lineRule="exact"/>
              <w:rPr>
                <w:sz w:val="20"/>
                <w:szCs w:val="20"/>
                <w:color w:val="auto"/>
              </w:rPr>
            </w:pPr>
            <w:r>
              <w:rPr>
                <w:rFonts w:ascii="Times New Roman" w:cs="Times New Roman" w:eastAsia="Times New Roman" w:hAnsi="Times New Roman"/>
                <w:sz w:val="18"/>
                <w:szCs w:val="18"/>
                <w:color w:val="1E1E1E"/>
              </w:rPr>
              <w:t>49,441</w:t>
            </w:r>
          </w:p>
        </w:tc>
        <w:tc>
          <w:tcPr>
            <w:tcW w:w="120" w:type="dxa"/>
            <w:vAlign w:val="bottom"/>
            <w:tcBorders>
              <w:right w:val="single" w:sz="8" w:color="1E1E1E"/>
            </w:tcBorders>
            <w:shd w:val="clear" w:color="auto" w:fill="E4E4E4"/>
          </w:tcPr>
          <w:p>
            <w:pPr>
              <w:spacing w:after="0"/>
              <w:rPr>
                <w:sz w:val="17"/>
                <w:szCs w:val="17"/>
                <w:color w:val="auto"/>
              </w:rPr>
            </w:pPr>
          </w:p>
        </w:tc>
      </w:tr>
      <w:tr>
        <w:trPr>
          <w:trHeight w:val="221"/>
        </w:trPr>
        <w:tc>
          <w:tcPr>
            <w:tcW w:w="20" w:type="dxa"/>
            <w:vAlign w:val="bottom"/>
            <w:tcBorders>
              <w:bottom w:val="single" w:sz="8" w:color="1E1E1E"/>
            </w:tcBorders>
          </w:tcPr>
          <w:p>
            <w:pPr>
              <w:spacing w:after="0"/>
              <w:rPr>
                <w:sz w:val="19"/>
                <w:szCs w:val="19"/>
                <w:color w:val="auto"/>
              </w:rPr>
            </w:pPr>
          </w:p>
        </w:tc>
        <w:tc>
          <w:tcPr>
            <w:tcW w:w="30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Capital expenditures</w:t>
            </w:r>
          </w:p>
        </w:tc>
        <w:tc>
          <w:tcPr>
            <w:tcW w:w="96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38,093</w:t>
            </w:r>
          </w:p>
        </w:tc>
        <w:tc>
          <w:tcPr>
            <w:tcW w:w="22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12,183</w:t>
            </w:r>
          </w:p>
        </w:tc>
        <w:tc>
          <w:tcPr>
            <w:tcW w:w="98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6,785</w:t>
            </w:r>
          </w:p>
        </w:tc>
        <w:tc>
          <w:tcPr>
            <w:tcW w:w="200" w:type="dxa"/>
            <w:vAlign w:val="bottom"/>
            <w:tcBorders>
              <w:bottom w:val="single" w:sz="8" w:color="1E1E1E"/>
            </w:tcBorders>
          </w:tcPr>
          <w:p>
            <w:pPr>
              <w:spacing w:after="0"/>
              <w:rPr>
                <w:sz w:val="19"/>
                <w:szCs w:val="19"/>
                <w:color w:val="auto"/>
              </w:rPr>
            </w:pPr>
          </w:p>
        </w:tc>
        <w:tc>
          <w:tcPr>
            <w:tcW w:w="7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2,214</w:t>
            </w:r>
          </w:p>
        </w:tc>
        <w:tc>
          <w:tcPr>
            <w:tcW w:w="120" w:type="dxa"/>
            <w:vAlign w:val="bottom"/>
            <w:tcBorders>
              <w:bottom w:val="single" w:sz="8" w:color="1E1E1E"/>
              <w:right w:val="single" w:sz="8" w:color="1E1E1E"/>
            </w:tcBorders>
          </w:tcPr>
          <w:p>
            <w:pPr>
              <w:spacing w:after="0"/>
              <w:rPr>
                <w:sz w:val="19"/>
                <w:szCs w:val="19"/>
                <w:color w:val="auto"/>
              </w:rPr>
            </w:pPr>
          </w:p>
        </w:tc>
        <w:tc>
          <w:tcPr>
            <w:tcW w:w="93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8"/>
                <w:szCs w:val="18"/>
                <w:color w:val="1E1E1E"/>
              </w:rPr>
              <w:t>59,275</w:t>
            </w:r>
          </w:p>
        </w:tc>
        <w:tc>
          <w:tcPr>
            <w:tcW w:w="130" w:type="dxa"/>
            <w:vAlign w:val="bottom"/>
            <w:tcBorders>
              <w:bottom w:val="single" w:sz="8" w:color="1E1E1E"/>
              <w:right w:val="single" w:sz="8" w:color="1E1E1E"/>
            </w:tcBorders>
          </w:tcPr>
          <w:p>
            <w:pPr>
              <w:spacing w:after="0"/>
              <w:rPr>
                <w:sz w:val="19"/>
                <w:szCs w:val="19"/>
                <w:color w:val="auto"/>
              </w:rPr>
            </w:pPr>
          </w:p>
        </w:tc>
        <w:tc>
          <w:tcPr>
            <w:tcW w:w="1040" w:type="dxa"/>
            <w:vAlign w:val="bottom"/>
            <w:tcBorders>
              <w:bottom w:val="single" w:sz="8" w:color="1E1E1E"/>
              <w:right w:val="single" w:sz="8" w:color="1E1E1E"/>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1E1E1E"/>
              </w:rPr>
              <w:t>1,028</w:t>
            </w:r>
          </w:p>
        </w:tc>
        <w:tc>
          <w:tcPr>
            <w:tcW w:w="20" w:type="dxa"/>
            <w:vAlign w:val="bottom"/>
            <w:tcBorders>
              <w:bottom w:val="single" w:sz="8" w:color="1E1E1E"/>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8"/>
                <w:szCs w:val="18"/>
                <w:color w:val="1E1E1E"/>
              </w:rPr>
              <w:t>60,303</w:t>
            </w:r>
          </w:p>
        </w:tc>
        <w:tc>
          <w:tcPr>
            <w:tcW w:w="120" w:type="dxa"/>
            <w:vAlign w:val="bottom"/>
            <w:tcBorders>
              <w:bottom w:val="single" w:sz="8" w:color="1E1E1E"/>
              <w:right w:val="single" w:sz="8" w:color="1E1E1E"/>
            </w:tcBorders>
          </w:tcPr>
          <w:p>
            <w:pPr>
              <w:spacing w:after="0"/>
              <w:rPr>
                <w:sz w:val="19"/>
                <w:szCs w:val="19"/>
                <w:color w:val="auto"/>
              </w:rPr>
            </w:pP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306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8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850" w:type="dxa"/>
            <w:vAlign w:val="bottom"/>
            <w:tcBorders>
              <w:bottom w:val="single" w:sz="8" w:color="1E1E1E"/>
            </w:tcBorders>
          </w:tcPr>
          <w:p>
            <w:pPr>
              <w:spacing w:after="0" w:line="20" w:lineRule="exact"/>
              <w:rPr>
                <w:sz w:val="1"/>
                <w:szCs w:val="1"/>
                <w:color w:val="auto"/>
              </w:rPr>
            </w:pPr>
          </w:p>
        </w:tc>
        <w:tc>
          <w:tcPr>
            <w:tcW w:w="13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4461510</wp:posOffset>
                </wp:positionH>
                <wp:positionV relativeFrom="paragraph">
                  <wp:posOffset>-443230</wp:posOffset>
                </wp:positionV>
                <wp:extent cx="66421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3pt,-34.8999pt" to="403.6pt,-34.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5132070</wp:posOffset>
                </wp:positionH>
                <wp:positionV relativeFrom="paragraph">
                  <wp:posOffset>-443230</wp:posOffset>
                </wp:positionV>
                <wp:extent cx="64897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1pt,-34.8999pt" to="455.2pt,-34.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4461510</wp:posOffset>
                </wp:positionH>
                <wp:positionV relativeFrom="paragraph">
                  <wp:posOffset>-162560</wp:posOffset>
                </wp:positionV>
                <wp:extent cx="66421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3pt,-12.7999pt" to="403.6pt,-12.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5132070</wp:posOffset>
                </wp:positionH>
                <wp:positionV relativeFrom="paragraph">
                  <wp:posOffset>-162560</wp:posOffset>
                </wp:positionV>
                <wp:extent cx="64897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9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1pt,-12.7999pt" to="455.2pt,-12.7999pt" o:allowincell="f" strokecolor="#FFFFFF" strokeweight="0.72pt"/>
            </w:pict>
          </mc:Fallback>
        </mc:AlternateContent>
      </w:r>
    </w:p>
    <w:p>
      <w:pPr>
        <w:spacing w:after="0" w:line="189" w:lineRule="exact"/>
        <w:rPr>
          <w:sz w:val="20"/>
          <w:szCs w:val="20"/>
          <w:color w:val="auto"/>
        </w:rPr>
      </w:pPr>
    </w:p>
    <w:p>
      <w:pPr>
        <w:ind w:left="380" w:right="20" w:hanging="366"/>
        <w:spacing w:after="0" w:line="269" w:lineRule="auto"/>
        <w:tabs>
          <w:tab w:leader="none" w:pos="296" w:val="left"/>
        </w:tabs>
        <w:numPr>
          <w:ilvl w:val="0"/>
          <w:numId w:val="28"/>
        </w:numPr>
        <w:rPr>
          <w:rFonts w:ascii="Times New Roman" w:cs="Times New Roman" w:eastAsia="Times New Roman" w:hAnsi="Times New Roman"/>
          <w:sz w:val="24"/>
          <w:szCs w:val="24"/>
          <w:color w:val="1E1E1E"/>
          <w:vertAlign w:val="superscript"/>
        </w:rPr>
      </w:pPr>
      <w:r>
        <w:rPr>
          <w:rFonts w:ascii="Times New Roman" w:cs="Times New Roman" w:eastAsia="Times New Roman" w:hAnsi="Times New Roman"/>
          <w:sz w:val="19"/>
          <w:szCs w:val="19"/>
          <w:color w:val="1E1E1E"/>
        </w:rPr>
        <w:t>Of our $677.2 million of long-lived assets, $89.4 million and $12.3 million relate to long-lived assets in the U.K. and Canada, respectively.</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84</w:t>
      </w:r>
    </w:p>
    <w:p>
      <w:pPr>
        <w:sectPr>
          <w:pgSz w:w="12240" w:h="15840" w:orient="portrait"/>
          <w:cols w:equalWidth="0" w:num="1">
            <w:col w:w="10280"/>
          </w:cols>
          <w:pgMar w:left="980" w:top="1156" w:right="980" w:bottom="178" w:gutter="0" w:footer="0" w:header="0"/>
          <w:type w:val="continuous"/>
        </w:sectPr>
      </w:pPr>
    </w:p>
    <w:bookmarkStart w:id="91" w:name="page92"/>
    <w:bookmarkEnd w:id="91"/>
    <w:p>
      <w:pPr>
        <w:jc w:val="both"/>
        <w:ind w:right="20"/>
        <w:spacing w:after="0" w:line="335" w:lineRule="auto"/>
        <w:rPr>
          <w:sz w:val="20"/>
          <w:szCs w:val="20"/>
          <w:color w:val="auto"/>
        </w:rPr>
      </w:pPr>
      <w:r>
        <w:rPr>
          <w:rFonts w:ascii="Times New Roman" w:cs="Times New Roman" w:eastAsia="Times New Roman" w:hAnsi="Times New Roman"/>
          <w:sz w:val="20"/>
          <w:szCs w:val="20"/>
          <w:b w:val="1"/>
          <w:bCs w:val="1"/>
          <w:u w:val="single" w:color="auto"/>
          <w:color w:val="1E1E1E"/>
        </w:rPr>
        <w:t>ITEM 9. CHANGES IN AND DISAGREEMENTS WITH ACCOUNTANTS ON ACCOUNTING AND FINANCIAL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9A. CONTROLS AND PROCEDURES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Evaluation of disclosure controls and procedures.</w:t>
      </w:r>
    </w:p>
    <w:p>
      <w:pPr>
        <w:spacing w:after="0" w:line="241"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1E1E1E"/>
        </w:rPr>
        <w:t>Based on their evaluation as of January 31, 2026,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Management’s annual report on internal control over financial reporting.</w:t>
      </w:r>
    </w:p>
    <w:p>
      <w:pPr>
        <w:spacing w:after="0" w:line="2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1E1E1E"/>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51"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4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1E1E1E"/>
        </w:rPr>
        <w:t xml:space="preserve">Management assessed the effectiveness of our internal control over financial reporting as of January 31, 2026. In making this assessment, management used the criteria set forth in </w:t>
      </w:r>
      <w:r>
        <w:rPr>
          <w:rFonts w:ascii="Times New Roman" w:cs="Times New Roman" w:eastAsia="Times New Roman" w:hAnsi="Times New Roman"/>
          <w:sz w:val="20"/>
          <w:szCs w:val="20"/>
          <w:i w:val="1"/>
          <w:iCs w:val="1"/>
          <w:color w:val="1E1E1E"/>
        </w:rPr>
        <w:t>Internal Control – Integrated Framework</w:t>
      </w:r>
      <w:r>
        <w:rPr>
          <w:rFonts w:ascii="Times New Roman" w:cs="Times New Roman" w:eastAsia="Times New Roman" w:hAnsi="Times New Roman"/>
          <w:sz w:val="20"/>
          <w:szCs w:val="20"/>
          <w:color w:val="1E1E1E"/>
        </w:rPr>
        <w:t xml:space="preserve"> (2013) drafted by the Committee of Sponsoring Organizations of the Treadway Commission (COSO). Based on this assessment, management believes that, as of January 31, 2026, our internal control over financial reporting was effective based on those criteria.</w:t>
      </w:r>
    </w:p>
    <w:p>
      <w:pPr>
        <w:spacing w:after="0" w:line="15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1E1E1E"/>
        </w:rPr>
        <w:t>Deloitte &amp; Touche LLP, the independent registered public accounting firm who also audited our Consolidated Financial Statements, has issued an attestation report on the Company’s effectiveness of internal control over financial reporting which is included herein. The report by Deloitte &amp; Touche LLP is included in Item 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Changes in internal control over financial reporting.</w:t>
      </w:r>
    </w:p>
    <w:p>
      <w:pPr>
        <w:spacing w:after="0" w:line="24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0"/>
          <w:szCs w:val="20"/>
          <w:color w:val="1E1E1E"/>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9B. OTHER INFORMATION</w:t>
      </w:r>
    </w:p>
    <w:p>
      <w:pPr>
        <w:spacing w:after="0" w:line="247" w:lineRule="exact"/>
        <w:rPr>
          <w:sz w:val="20"/>
          <w:szCs w:val="20"/>
          <w:color w:val="auto"/>
        </w:rPr>
      </w:pPr>
    </w:p>
    <w:p>
      <w:pPr>
        <w:ind w:right="260"/>
        <w:spacing w:after="0" w:line="308" w:lineRule="auto"/>
        <w:rPr>
          <w:sz w:val="20"/>
          <w:szCs w:val="20"/>
          <w:color w:val="auto"/>
        </w:rPr>
      </w:pPr>
      <w:r>
        <w:rPr>
          <w:rFonts w:ascii="Times New Roman" w:cs="Times New Roman" w:eastAsia="Times New Roman" w:hAnsi="Times New Roman"/>
          <w:sz w:val="20"/>
          <w:szCs w:val="20"/>
          <w:color w:val="1E1E1E"/>
        </w:rPr>
        <w:t>During the fourth quarter of Fiscal 2026, no director or Section 16 officer of the Company adopted or terminated any "Rule 10b5-1 trading arrangements" or "non-Rule 10b5-1 trading arrangements" (in each case, as defined in Item 408 (a) and (c) of Regulation S-K).</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85</w:t>
      </w:r>
    </w:p>
    <w:p>
      <w:pPr>
        <w:sectPr>
          <w:pgSz w:w="12240" w:h="15840" w:orient="portrait"/>
          <w:cols w:equalWidth="0" w:num="1">
            <w:col w:w="10260"/>
          </w:cols>
          <w:pgMar w:left="1000" w:top="1156" w:right="980" w:bottom="178"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9C. DISCLOSURE REGARDING FOREIGN JURISDICTIONS THAT PREVENT INSPECTIONS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10. DIRECTORS, EXECUTIVE OFFICERS AND CORPORATE GOVERNANCE</w:t>
      </w:r>
    </w:p>
    <w:p>
      <w:pPr>
        <w:spacing w:after="0" w:line="24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1E1E1E"/>
        </w:rPr>
        <w:t>Certain information required by this item is incorporated herein by reference to the sections entitled “Election of Directors,” “Corporate Governance” and “Delinquent Section 16(a) Reports” in our definitive proxy statement for our annual meeting of shareholders to be held June 25, 2026, to be filed with the Securities and Exchange Commission. Pursuant to General Instruction G(3), certain information concerning our executive officers appears under Part I, Item 1, “Information about Our Executive Officers”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Code of Ethics</w:t>
      </w:r>
    </w:p>
    <w:p>
      <w:pPr>
        <w:spacing w:after="0" w:line="24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20"/>
          <w:szCs w:val="20"/>
          <w:color w:val="1E1E1E"/>
        </w:rPr>
        <w:t xml:space="preserve">We have a code of ethics (the “Code of Ethics”) that applies to all of our directors, officers (including our chief executive officer and chief financial officer) and employees. We have made the Code of Ethics available and intend to post any legally required amendments to, or waivers of, such Code of Ethics on our website at </w:t>
      </w:r>
      <w:r>
        <w:rPr>
          <w:rFonts w:ascii="Times New Roman" w:cs="Times New Roman" w:eastAsia="Times New Roman" w:hAnsi="Times New Roman"/>
          <w:sz w:val="20"/>
          <w:szCs w:val="20"/>
          <w:u w:val="single" w:color="auto"/>
          <w:color w:val="1E1E1E"/>
        </w:rPr>
        <w:t>http://www.genesco.com</w:t>
      </w:r>
      <w:r>
        <w:rPr>
          <w:rFonts w:ascii="Times New Roman" w:cs="Times New Roman" w:eastAsia="Times New Roman" w:hAnsi="Times New Roman"/>
          <w:sz w:val="20"/>
          <w:szCs w:val="20"/>
          <w:color w:val="1E1E1E"/>
        </w:rPr>
        <w:t>. Our website address is provided as an inactive textual reference only. The information provided on our website is not a part of this report, and therefore is not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Insider Trading Policy</w:t>
      </w:r>
    </w:p>
    <w:p>
      <w:pPr>
        <w:spacing w:after="0" w:line="24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1E1E1E"/>
        </w:rPr>
        <w:t>The Company has insider trading policies and procedures that govern the purchase, sale and other dispositions of its securities by directors, officers, employees and the Company (the "Insider Trading Policy"). We believe the Insider Trading Policy is reasonably designed to promote compliance with insider trading laws, rules and regulations and applicable listing standards. The foregoing is a summary of our insider trading policies and procedures, does not purport to be complete and is qualified by reference to our Insider Trading Policy filed as Exhibit 19 to our Annual Report on Form 10-K for the fiscal year ended February 1, 2025.</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11. EXECUTIVE COMPENSATION</w:t>
      </w:r>
    </w:p>
    <w:p>
      <w:pPr>
        <w:spacing w:after="0" w:line="247"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20"/>
          <w:szCs w:val="20"/>
          <w:color w:val="1E1E1E"/>
        </w:rPr>
        <w:t>The information required by this item is incorporated herein by reference to the sections entitled “Director Compensation,” “Compensation Committee Report” and “Executive Compensation” in our definitive proxy statement for our annual meeting of shareholders to be held June 25, 2026, to be filed with the Securities and Exchange Commission.</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86</w:t>
      </w:r>
    </w:p>
    <w:p>
      <w:pPr>
        <w:sectPr>
          <w:pgSz w:w="12240" w:h="15840" w:orient="portrait"/>
          <w:cols w:equalWidth="0" w:num="1">
            <w:col w:w="10260"/>
          </w:cols>
          <w:pgMar w:left="1000" w:top="1156" w:right="980" w:bottom="178" w:gutter="0" w:footer="0" w:header="0"/>
          <w:type w:val="continuous"/>
        </w:sectPr>
      </w:pPr>
    </w:p>
    <w:bookmarkStart w:id="93" w:name="page94"/>
    <w:bookmarkEnd w:id="93"/>
    <w:p>
      <w:pPr>
        <w:ind w:left="20" w:right="560"/>
        <w:spacing w:after="0" w:line="335" w:lineRule="auto"/>
        <w:rPr>
          <w:sz w:val="20"/>
          <w:szCs w:val="20"/>
          <w:color w:val="auto"/>
        </w:rPr>
      </w:pPr>
      <w:r>
        <w:rPr>
          <w:rFonts w:ascii="Times New Roman" w:cs="Times New Roman" w:eastAsia="Times New Roman" w:hAnsi="Times New Roman"/>
          <w:sz w:val="20"/>
          <w:szCs w:val="20"/>
          <w:b w:val="1"/>
          <w:bCs w:val="1"/>
          <w:u w:val="single" w:color="auto"/>
          <w:color w:val="1E1E1E"/>
        </w:rPr>
        <w:t>ITEM 12. SECURITY OWNERSHIP OF CERTAIN BENEFICIAL OWNERS AND MANAGEMENT AND RELATED STOCKHOLDER MATTERS</w:t>
      </w:r>
    </w:p>
    <w:p>
      <w:pPr>
        <w:spacing w:after="0" w:line="114" w:lineRule="exact"/>
        <w:rPr>
          <w:sz w:val="20"/>
          <w:szCs w:val="20"/>
          <w:color w:val="auto"/>
        </w:rPr>
      </w:pPr>
    </w:p>
    <w:p>
      <w:pPr>
        <w:jc w:val="both"/>
        <w:ind w:left="20"/>
        <w:spacing w:after="0" w:line="306" w:lineRule="auto"/>
        <w:rPr>
          <w:sz w:val="20"/>
          <w:szCs w:val="20"/>
          <w:color w:val="auto"/>
        </w:rPr>
      </w:pPr>
      <w:r>
        <w:rPr>
          <w:rFonts w:ascii="Times New Roman" w:cs="Times New Roman" w:eastAsia="Times New Roman" w:hAnsi="Times New Roman"/>
          <w:sz w:val="20"/>
          <w:szCs w:val="20"/>
          <w:color w:val="1E1E1E"/>
        </w:rPr>
        <w:t>Certain information required by this item is incorporated herein by reference to the section entitled “Security Ownership of Officers, Directors and Principal Shareholders” in our definitive proxy statement for our annual meeting of shareholders to be held June 25, 2026, to be filed with the Securities and Exchange Commission.</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The following table provides certain information as of January 31, 2026 with respect to our equity compensation plans: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EQUITY COMPENSATION PLAN INFORMATION*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(c)</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(a)</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Number of</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Number of</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securities</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securities to</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remaining available</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be issued</w:t>
            </w:r>
          </w:p>
        </w:tc>
        <w:tc>
          <w:tcPr>
            <w:tcW w:w="260" w:type="dxa"/>
            <w:vAlign w:val="bottom"/>
          </w:tcPr>
          <w:p>
            <w:pPr>
              <w:spacing w:after="0"/>
              <w:rPr>
                <w:sz w:val="17"/>
                <w:szCs w:val="17"/>
                <w:color w:val="auto"/>
              </w:rPr>
            </w:pPr>
          </w:p>
        </w:tc>
        <w:tc>
          <w:tcPr>
            <w:tcW w:w="156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(b)</w:t>
            </w: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for future issuance</w:t>
            </w:r>
          </w:p>
        </w:tc>
      </w:tr>
      <w:tr>
        <w:trPr>
          <w:trHeight w:val="211"/>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upon exercise of</w:t>
            </w:r>
          </w:p>
        </w:tc>
        <w:tc>
          <w:tcPr>
            <w:tcW w:w="260" w:type="dxa"/>
            <w:vAlign w:val="bottom"/>
          </w:tcPr>
          <w:p>
            <w:pPr>
              <w:spacing w:after="0"/>
              <w:rPr>
                <w:sz w:val="18"/>
                <w:szCs w:val="18"/>
                <w:color w:val="auto"/>
              </w:rPr>
            </w:pPr>
          </w:p>
        </w:tc>
        <w:tc>
          <w:tcPr>
            <w:tcW w:w="156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Weighted-average</w:t>
            </w: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under equity</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outstanding</w:t>
            </w:r>
          </w:p>
        </w:tc>
        <w:tc>
          <w:tcPr>
            <w:tcW w:w="260" w:type="dxa"/>
            <w:vAlign w:val="bottom"/>
          </w:tcPr>
          <w:p>
            <w:pPr>
              <w:spacing w:after="0"/>
              <w:rPr>
                <w:sz w:val="17"/>
                <w:szCs w:val="17"/>
                <w:color w:val="auto"/>
              </w:rPr>
            </w:pPr>
          </w:p>
        </w:tc>
        <w:tc>
          <w:tcPr>
            <w:tcW w:w="156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exercise price of</w:t>
            </w: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compensation</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options,</w:t>
            </w:r>
          </w:p>
        </w:tc>
        <w:tc>
          <w:tcPr>
            <w:tcW w:w="260" w:type="dxa"/>
            <w:vAlign w:val="bottom"/>
          </w:tcPr>
          <w:p>
            <w:pPr>
              <w:spacing w:after="0"/>
              <w:rPr>
                <w:sz w:val="17"/>
                <w:szCs w:val="17"/>
                <w:color w:val="auto"/>
              </w:rPr>
            </w:pPr>
          </w:p>
        </w:tc>
        <w:tc>
          <w:tcPr>
            <w:tcW w:w="156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outstanding</w:t>
            </w: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plans (excluding</w:t>
            </w:r>
          </w:p>
        </w:tc>
      </w:tr>
      <w:tr>
        <w:trPr>
          <w:trHeight w:val="20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warrants and</w:t>
            </w:r>
          </w:p>
        </w:tc>
        <w:tc>
          <w:tcPr>
            <w:tcW w:w="260" w:type="dxa"/>
            <w:vAlign w:val="bottom"/>
          </w:tcPr>
          <w:p>
            <w:pPr>
              <w:spacing w:after="0"/>
              <w:rPr>
                <w:sz w:val="17"/>
                <w:szCs w:val="17"/>
                <w:color w:val="auto"/>
              </w:rPr>
            </w:pPr>
          </w:p>
        </w:tc>
        <w:tc>
          <w:tcPr>
            <w:tcW w:w="1560" w:type="dxa"/>
            <w:vAlign w:val="bottom"/>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options, warrants</w:t>
            </w:r>
          </w:p>
        </w:tc>
        <w:tc>
          <w:tcPr>
            <w:tcW w:w="1760" w:type="dxa"/>
            <w:vAlign w:val="bottom"/>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securities reflected</w:t>
            </w:r>
          </w:p>
        </w:tc>
      </w:tr>
      <w:tr>
        <w:trPr>
          <w:trHeight w:val="231"/>
        </w:trPr>
        <w:tc>
          <w:tcPr>
            <w:tcW w:w="20" w:type="dxa"/>
            <w:vAlign w:val="bottom"/>
          </w:tcPr>
          <w:p>
            <w:pPr>
              <w:spacing w:after="0"/>
              <w:rPr>
                <w:sz w:val="20"/>
                <w:szCs w:val="20"/>
                <w:color w:val="auto"/>
              </w:rPr>
            </w:pPr>
          </w:p>
        </w:tc>
        <w:tc>
          <w:tcPr>
            <w:tcW w:w="48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8"/>
                <w:szCs w:val="18"/>
                <w:color w:val="1E1E1E"/>
              </w:rPr>
              <w:t>Plan Category</w:t>
            </w:r>
          </w:p>
        </w:tc>
        <w:tc>
          <w:tcPr>
            <w:tcW w:w="1800" w:type="dxa"/>
            <w:vAlign w:val="bottom"/>
            <w:tcBorders>
              <w:bottom w:val="single" w:sz="8" w:color="1E1E1E"/>
            </w:tcBorders>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rights(1)</w:t>
            </w:r>
          </w:p>
        </w:tc>
        <w:tc>
          <w:tcPr>
            <w:tcW w:w="260" w:type="dxa"/>
            <w:vAlign w:val="bottom"/>
            <w:tcBorders>
              <w:bottom w:val="single" w:sz="8" w:color="1E1E1E"/>
            </w:tcBorders>
          </w:tcPr>
          <w:p>
            <w:pPr>
              <w:spacing w:after="0"/>
              <w:rPr>
                <w:sz w:val="20"/>
                <w:szCs w:val="20"/>
                <w:color w:val="auto"/>
              </w:rPr>
            </w:pPr>
          </w:p>
        </w:tc>
        <w:tc>
          <w:tcPr>
            <w:tcW w:w="1560" w:type="dxa"/>
            <w:vAlign w:val="bottom"/>
            <w:tcBorders>
              <w:bottom w:val="single" w:sz="8" w:color="1E1E1E"/>
            </w:tcBorders>
          </w:tcPr>
          <w:p>
            <w:pPr>
              <w:jc w:val="right"/>
              <w:ind w:right="26"/>
              <w:spacing w:after="0"/>
              <w:rPr>
                <w:sz w:val="20"/>
                <w:szCs w:val="20"/>
                <w:color w:val="auto"/>
              </w:rPr>
            </w:pPr>
            <w:r>
              <w:rPr>
                <w:rFonts w:ascii="Times New Roman" w:cs="Times New Roman" w:eastAsia="Times New Roman" w:hAnsi="Times New Roman"/>
                <w:sz w:val="18"/>
                <w:szCs w:val="18"/>
                <w:b w:val="1"/>
                <w:bCs w:val="1"/>
                <w:color w:val="1E1E1E"/>
              </w:rPr>
              <w:t>and rights</w:t>
            </w:r>
          </w:p>
        </w:tc>
        <w:tc>
          <w:tcPr>
            <w:tcW w:w="176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8"/>
                <w:szCs w:val="18"/>
                <w:b w:val="1"/>
                <w:bCs w:val="1"/>
                <w:color w:val="1E1E1E"/>
              </w:rPr>
              <w:t>in column (a)) (2)</w:t>
            </w:r>
          </w:p>
        </w:tc>
      </w:tr>
      <w:tr>
        <w:trPr>
          <w:trHeight w:val="220"/>
        </w:trPr>
        <w:tc>
          <w:tcPr>
            <w:tcW w:w="20" w:type="dxa"/>
            <w:vAlign w:val="bottom"/>
          </w:tcPr>
          <w:p>
            <w:pPr>
              <w:spacing w:after="0"/>
              <w:rPr>
                <w:sz w:val="19"/>
                <w:szCs w:val="19"/>
                <w:color w:val="auto"/>
              </w:rPr>
            </w:pPr>
          </w:p>
        </w:tc>
        <w:tc>
          <w:tcPr>
            <w:tcW w:w="48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Equity compensation plans approved by security holders</w:t>
            </w:r>
          </w:p>
        </w:tc>
        <w:tc>
          <w:tcPr>
            <w:tcW w:w="1800" w:type="dxa"/>
            <w:vAlign w:val="bottom"/>
            <w:shd w:val="clear" w:color="auto" w:fill="E4E4E4"/>
          </w:tcPr>
          <w:p>
            <w:pPr>
              <w:jc w:val="right"/>
              <w:ind w:right="26"/>
              <w:spacing w:after="0" w:line="220" w:lineRule="exact"/>
              <w:rPr>
                <w:sz w:val="20"/>
                <w:szCs w:val="20"/>
                <w:color w:val="auto"/>
              </w:rPr>
            </w:pPr>
            <w:r>
              <w:rPr>
                <w:rFonts w:ascii="Times New Roman" w:cs="Times New Roman" w:eastAsia="Times New Roman" w:hAnsi="Times New Roman"/>
                <w:sz w:val="20"/>
                <w:szCs w:val="20"/>
                <w:color w:val="1E1E1E"/>
              </w:rPr>
              <w:t>920</w:t>
            </w:r>
          </w:p>
        </w:tc>
        <w:tc>
          <w:tcPr>
            <w:tcW w:w="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560" w:type="dxa"/>
            <w:vAlign w:val="bottom"/>
            <w:shd w:val="clear" w:color="auto" w:fill="E4E4E4"/>
          </w:tcPr>
          <w:p>
            <w:pPr>
              <w:jc w:val="right"/>
              <w:ind w:right="26"/>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760" w:type="dxa"/>
            <w:vAlign w:val="bottom"/>
            <w:shd w:val="clear" w:color="auto" w:fill="E4E4E4"/>
          </w:tcPr>
          <w:p>
            <w:pPr>
              <w:jc w:val="right"/>
              <w:ind w:right="7"/>
              <w:spacing w:after="0" w:line="220" w:lineRule="exact"/>
              <w:rPr>
                <w:sz w:val="20"/>
                <w:szCs w:val="20"/>
                <w:color w:val="auto"/>
              </w:rPr>
            </w:pPr>
            <w:r>
              <w:rPr>
                <w:rFonts w:ascii="Times New Roman" w:cs="Times New Roman" w:eastAsia="Times New Roman" w:hAnsi="Times New Roman"/>
                <w:sz w:val="20"/>
                <w:szCs w:val="20"/>
                <w:color w:val="1E1E1E"/>
              </w:rPr>
              <w:t>766,794</w:t>
            </w:r>
          </w:p>
        </w:tc>
      </w:tr>
      <w:tr>
        <w:trPr>
          <w:trHeight w:val="230"/>
        </w:trPr>
        <w:tc>
          <w:tcPr>
            <w:tcW w:w="20" w:type="dxa"/>
            <w:vAlign w:val="bottom"/>
          </w:tcPr>
          <w:p>
            <w:pPr>
              <w:spacing w:after="0"/>
              <w:rPr>
                <w:sz w:val="20"/>
                <w:szCs w:val="20"/>
                <w:color w:val="auto"/>
              </w:rPr>
            </w:pPr>
          </w:p>
        </w:tc>
        <w:tc>
          <w:tcPr>
            <w:tcW w:w="48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Equity compensation plans not approved by security holders</w:t>
            </w:r>
          </w:p>
        </w:tc>
        <w:tc>
          <w:tcPr>
            <w:tcW w:w="1800" w:type="dxa"/>
            <w:vAlign w:val="bottom"/>
            <w:tcBorders>
              <w:bottom w:val="single" w:sz="8" w:color="1E1E1E"/>
            </w:tcBorders>
          </w:tcPr>
          <w:p>
            <w:pPr>
              <w:jc w:val="right"/>
              <w:ind w:right="26"/>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1E1E1E"/>
            </w:tcBorders>
          </w:tcPr>
          <w:p>
            <w:pPr>
              <w:spacing w:after="0"/>
              <w:rPr>
                <w:sz w:val="20"/>
                <w:szCs w:val="20"/>
                <w:color w:val="auto"/>
              </w:rPr>
            </w:pPr>
          </w:p>
        </w:tc>
        <w:tc>
          <w:tcPr>
            <w:tcW w:w="1560" w:type="dxa"/>
            <w:vAlign w:val="bottom"/>
            <w:tcBorders>
              <w:bottom w:val="single" w:sz="8" w:color="1E1E1E"/>
            </w:tcBorders>
          </w:tcPr>
          <w:p>
            <w:pPr>
              <w:jc w:val="right"/>
              <w:ind w:right="26"/>
              <w:spacing w:after="0"/>
              <w:rPr>
                <w:sz w:val="20"/>
                <w:szCs w:val="20"/>
                <w:color w:val="auto"/>
              </w:rPr>
            </w:pPr>
            <w:r>
              <w:rPr>
                <w:rFonts w:ascii="Times New Roman" w:cs="Times New Roman" w:eastAsia="Times New Roman" w:hAnsi="Times New Roman"/>
                <w:sz w:val="20"/>
                <w:szCs w:val="20"/>
                <w:color w:val="1E1E1E"/>
              </w:rPr>
              <w:t>—</w:t>
            </w:r>
          </w:p>
        </w:tc>
        <w:tc>
          <w:tcPr>
            <w:tcW w:w="176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20"/>
                <w:szCs w:val="20"/>
                <w:color w:val="1E1E1E"/>
              </w:rPr>
              <w:t>—</w:t>
            </w:r>
          </w:p>
        </w:tc>
      </w:tr>
      <w:tr>
        <w:trPr>
          <w:trHeight w:val="220"/>
        </w:trPr>
        <w:tc>
          <w:tcPr>
            <w:tcW w:w="20" w:type="dxa"/>
            <w:vAlign w:val="bottom"/>
            <w:tcBorders>
              <w:bottom w:val="single" w:sz="8" w:color="1E1E1E"/>
            </w:tcBorders>
          </w:tcPr>
          <w:p>
            <w:pPr>
              <w:spacing w:after="0"/>
              <w:rPr>
                <w:sz w:val="19"/>
                <w:szCs w:val="19"/>
                <w:color w:val="auto"/>
              </w:rPr>
            </w:pPr>
          </w:p>
        </w:tc>
        <w:tc>
          <w:tcPr>
            <w:tcW w:w="486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800" w:type="dxa"/>
            <w:vAlign w:val="bottom"/>
            <w:tcBorders>
              <w:bottom w:val="single" w:sz="8" w:color="1E1E1E"/>
            </w:tcBorders>
            <w:shd w:val="clear" w:color="auto" w:fill="E4E4E4"/>
          </w:tcPr>
          <w:p>
            <w:pPr>
              <w:jc w:val="right"/>
              <w:ind w:right="26"/>
              <w:spacing w:after="0" w:line="220" w:lineRule="exact"/>
              <w:rPr>
                <w:sz w:val="20"/>
                <w:szCs w:val="20"/>
                <w:color w:val="auto"/>
              </w:rPr>
            </w:pPr>
            <w:r>
              <w:rPr>
                <w:rFonts w:ascii="Times New Roman" w:cs="Times New Roman" w:eastAsia="Times New Roman" w:hAnsi="Times New Roman"/>
                <w:sz w:val="20"/>
                <w:szCs w:val="20"/>
                <w:color w:val="1E1E1E"/>
              </w:rPr>
              <w:t>920</w:t>
            </w:r>
          </w:p>
        </w:tc>
        <w:tc>
          <w:tcPr>
            <w:tcW w:w="2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560" w:type="dxa"/>
            <w:vAlign w:val="bottom"/>
            <w:tcBorders>
              <w:bottom w:val="single" w:sz="8" w:color="1E1E1E"/>
            </w:tcBorders>
            <w:shd w:val="clear" w:color="auto" w:fill="E4E4E4"/>
          </w:tcPr>
          <w:p>
            <w:pPr>
              <w:jc w:val="right"/>
              <w:ind w:right="26"/>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760" w:type="dxa"/>
            <w:vAlign w:val="bottom"/>
            <w:tcBorders>
              <w:bottom w:val="single" w:sz="8" w:color="1E1E1E"/>
            </w:tcBorders>
            <w:shd w:val="clear" w:color="auto" w:fill="E4E4E4"/>
          </w:tcPr>
          <w:p>
            <w:pPr>
              <w:jc w:val="right"/>
              <w:ind w:right="7"/>
              <w:spacing w:after="0" w:line="220" w:lineRule="exact"/>
              <w:rPr>
                <w:sz w:val="20"/>
                <w:szCs w:val="20"/>
                <w:color w:val="auto"/>
              </w:rPr>
            </w:pPr>
            <w:r>
              <w:rPr>
                <w:rFonts w:ascii="Times New Roman" w:cs="Times New Roman" w:eastAsia="Times New Roman" w:hAnsi="Times New Roman"/>
                <w:sz w:val="20"/>
                <w:szCs w:val="20"/>
                <w:color w:val="1E1E1E"/>
              </w:rPr>
              <w:t>766,794</w:t>
            </w:r>
          </w:p>
        </w:tc>
      </w:tr>
    </w:tbl>
    <w:p>
      <w:pPr>
        <w:spacing w:after="0" w:line="231" w:lineRule="exact"/>
        <w:rPr>
          <w:sz w:val="20"/>
          <w:szCs w:val="20"/>
          <w:color w:val="auto"/>
        </w:rPr>
      </w:pPr>
    </w:p>
    <w:p>
      <w:pPr>
        <w:ind w:left="200" w:hanging="186"/>
        <w:spacing w:after="0"/>
        <w:tabs>
          <w:tab w:leader="none" w:pos="200" w:val="left"/>
        </w:tabs>
        <w:numPr>
          <w:ilvl w:val="0"/>
          <w:numId w:val="29"/>
        </w:numPr>
        <w:rPr>
          <w:rFonts w:ascii="Times New Roman" w:cs="Times New Roman" w:eastAsia="Times New Roman" w:hAnsi="Times New Roman"/>
          <w:sz w:val="23"/>
          <w:szCs w:val="23"/>
          <w:color w:val="1E1E1E"/>
          <w:vertAlign w:val="superscript"/>
        </w:rPr>
      </w:pPr>
      <w:r>
        <w:rPr>
          <w:rFonts w:ascii="Times New Roman" w:cs="Times New Roman" w:eastAsia="Times New Roman" w:hAnsi="Times New Roman"/>
          <w:sz w:val="18"/>
          <w:szCs w:val="18"/>
          <w:color w:val="1E1E1E"/>
        </w:rPr>
        <w:t>Restricted stock units issued to certain employees at no cost.</w:t>
      </w:r>
    </w:p>
    <w:p>
      <w:pPr>
        <w:spacing w:after="0" w:line="165" w:lineRule="exact"/>
        <w:rPr>
          <w:rFonts w:ascii="Times New Roman" w:cs="Times New Roman" w:eastAsia="Times New Roman" w:hAnsi="Times New Roman"/>
          <w:sz w:val="23"/>
          <w:szCs w:val="23"/>
          <w:color w:val="1E1E1E"/>
          <w:vertAlign w:val="superscript"/>
        </w:rPr>
      </w:pPr>
    </w:p>
    <w:p>
      <w:pPr>
        <w:ind w:left="180" w:hanging="166"/>
        <w:spacing w:after="0"/>
        <w:tabs>
          <w:tab w:leader="none" w:pos="180" w:val="left"/>
        </w:tabs>
        <w:numPr>
          <w:ilvl w:val="0"/>
          <w:numId w:val="29"/>
        </w:numPr>
        <w:rPr>
          <w:rFonts w:ascii="Times New Roman" w:cs="Times New Roman" w:eastAsia="Times New Roman" w:hAnsi="Times New Roman"/>
          <w:sz w:val="21"/>
          <w:szCs w:val="21"/>
          <w:color w:val="1E1E1E"/>
          <w:vertAlign w:val="superscript"/>
        </w:rPr>
      </w:pPr>
      <w:r>
        <w:rPr>
          <w:rFonts w:ascii="Times New Roman" w:cs="Times New Roman" w:eastAsia="Times New Roman" w:hAnsi="Times New Roman"/>
          <w:sz w:val="16"/>
          <w:szCs w:val="16"/>
          <w:color w:val="1E1E1E"/>
        </w:rPr>
        <w:t>Such shares may be issued as restricted shares or other forms of stock-based compensation pursuant to our stock incentive plans.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1E1E1E"/>
        </w:rPr>
        <w:t>* For additional information concerning our equity compensation plans, see the discussion in Note 14, "Share-Based Compensation Plans".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ITEM 13. CERTAIN RELATIONSHIPS AND RELATED TRANSACTIONS, AND DIRECTOR INDEPENDENCE</w:t>
      </w:r>
    </w:p>
    <w:p>
      <w:pPr>
        <w:spacing w:after="0" w:line="247" w:lineRule="exact"/>
        <w:rPr>
          <w:sz w:val="20"/>
          <w:szCs w:val="20"/>
          <w:color w:val="auto"/>
        </w:rPr>
      </w:pPr>
    </w:p>
    <w:p>
      <w:pPr>
        <w:jc w:val="both"/>
        <w:ind w:left="20" w:right="20"/>
        <w:spacing w:after="0" w:line="308" w:lineRule="auto"/>
        <w:rPr>
          <w:sz w:val="20"/>
          <w:szCs w:val="20"/>
          <w:color w:val="auto"/>
        </w:rPr>
      </w:pPr>
      <w:r>
        <w:rPr>
          <w:rFonts w:ascii="Times New Roman" w:cs="Times New Roman" w:eastAsia="Times New Roman" w:hAnsi="Times New Roman"/>
          <w:sz w:val="20"/>
          <w:szCs w:val="20"/>
          <w:color w:val="1E1E1E"/>
        </w:rPr>
        <w:t>The information required by this item is incorporated herein by reference to the section entitled “Election of Directors” in our definitive proxy statement for our annual meeting of shareholders to be held June 25, 2026, to be filed with the Securities and Exchange Commission.</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ITEM 14. PRINCIPAL ACCOUNTING FEES AND SERVICES</w:t>
      </w:r>
    </w:p>
    <w:p>
      <w:pPr>
        <w:spacing w:after="0" w:line="247" w:lineRule="exact"/>
        <w:rPr>
          <w:sz w:val="20"/>
          <w:szCs w:val="20"/>
          <w:color w:val="auto"/>
        </w:rPr>
      </w:pPr>
    </w:p>
    <w:p>
      <w:pPr>
        <w:jc w:val="both"/>
        <w:ind w:left="20"/>
        <w:spacing w:after="0" w:line="308" w:lineRule="auto"/>
        <w:rPr>
          <w:sz w:val="20"/>
          <w:szCs w:val="20"/>
          <w:color w:val="auto"/>
        </w:rPr>
      </w:pPr>
      <w:r>
        <w:rPr>
          <w:rFonts w:ascii="Times New Roman" w:cs="Times New Roman" w:eastAsia="Times New Roman" w:hAnsi="Times New Roman"/>
          <w:sz w:val="20"/>
          <w:szCs w:val="20"/>
          <w:color w:val="1E1E1E"/>
        </w:rPr>
        <w:t>The information required by this item is incorporated herein by reference to the section entitled “Audit Matters” in our definitive proxy statement for our annual meeting of shareholders to be held June 25, 2026, to be filed with the Securities and Exchange Commission.</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87</w:t>
      </w:r>
    </w:p>
    <w:p>
      <w:pPr>
        <w:sectPr>
          <w:pgSz w:w="12240" w:h="15840" w:orient="portrait"/>
          <w:cols w:equalWidth="0" w:num="1">
            <w:col w:w="10280"/>
          </w:cols>
          <w:pgMar w:left="980" w:top="1156" w:right="980" w:bottom="178" w:gutter="0" w:footer="0" w:header="0"/>
          <w:type w:val="continuous"/>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15. EXHIBITS AND FINANCIAL STATEMENT SCHEDULES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Financial Statements</w:t>
      </w:r>
    </w:p>
    <w:p>
      <w:pPr>
        <w:spacing w:after="0" w:line="247" w:lineRule="exact"/>
        <w:rPr>
          <w:sz w:val="20"/>
          <w:szCs w:val="20"/>
          <w:color w:val="auto"/>
        </w:rPr>
      </w:pPr>
    </w:p>
    <w:p>
      <w:pPr>
        <w:ind w:right="780"/>
        <w:spacing w:after="0" w:line="331" w:lineRule="auto"/>
        <w:rPr>
          <w:sz w:val="20"/>
          <w:szCs w:val="20"/>
          <w:color w:val="auto"/>
        </w:rPr>
      </w:pPr>
      <w:r>
        <w:rPr>
          <w:rFonts w:ascii="Times New Roman" w:cs="Times New Roman" w:eastAsia="Times New Roman" w:hAnsi="Times New Roman"/>
          <w:sz w:val="20"/>
          <w:szCs w:val="20"/>
          <w:color w:val="1E1E1E"/>
        </w:rPr>
        <w:t>The following consolidated financial statements of Genesco Inc. and Subsidiaries are filed as part of this report under Item 8, Financial Statements and Supplementary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 on Internal Control over Financial Reporting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Reports of Independent Registered Public Accounting Firms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Consolidated Balance Sheets, January 31, 2026 and February 1,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Consolidated Statements of Operations, each of the three fiscal years ended 2026, 2025 and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Consolidated Statements of Comprehensive Income (Loss), each of the three fiscal years ended 2026, 2025 and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Consolidated Statements of Cash Flows, each of the three fiscal years ended 2026, 2025 and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Consolidated Statements of Equity, each of the three fiscal years ended 2026, 2025 and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Schedule 2 — Valuation and Qualifying Accounts, each of the three fiscal years ended 2026, 2025 and 2024</w:t>
      </w:r>
    </w:p>
    <w:p>
      <w:pPr>
        <w:spacing w:after="0" w:line="245" w:lineRule="exact"/>
        <w:rPr>
          <w:sz w:val="20"/>
          <w:szCs w:val="20"/>
          <w:color w:val="auto"/>
        </w:rPr>
      </w:pPr>
    </w:p>
    <w:p>
      <w:pPr>
        <w:ind w:right="660"/>
        <w:spacing w:after="0" w:line="326" w:lineRule="auto"/>
        <w:rPr>
          <w:sz w:val="20"/>
          <w:szCs w:val="20"/>
          <w:color w:val="auto"/>
        </w:rPr>
      </w:pPr>
      <w:r>
        <w:rPr>
          <w:rFonts w:ascii="Times New Roman" w:cs="Times New Roman" w:eastAsia="Times New Roman" w:hAnsi="Times New Roman"/>
          <w:sz w:val="20"/>
          <w:szCs w:val="20"/>
          <w:color w:val="1E1E1E"/>
        </w:rPr>
        <w:t>All other schedules are omitted because the required information is either not applicable or is presented in the financial statements or related notes. These schedules begin on page 95.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Exhibits</w:t>
      </w:r>
    </w:p>
    <w:p>
      <w:pPr>
        <w:spacing w:after="0" w:line="233" w:lineRule="exact"/>
        <w:rPr>
          <w:sz w:val="20"/>
          <w:szCs w:val="20"/>
          <w:color w:val="auto"/>
        </w:rPr>
      </w:pPr>
    </w:p>
    <w:p>
      <w:pPr>
        <w:ind w:left="2120" w:right="160" w:hanging="1488"/>
        <w:spacing w:after="0" w:line="245" w:lineRule="auto"/>
        <w:tabs>
          <w:tab w:leader="none" w:pos="1587" w:val="left"/>
        </w:tabs>
        <w:numPr>
          <w:ilvl w:val="0"/>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a.Purchase Agreement dated December 14, 2018, among Hat World, Inc., GCO Canada Inc., Flagg Bros. of Puerto Rico, Inc., Hat World Corporation, Hat World Services Co., Inc., LSG Guam, Inc., Genesco Inc., Fanzzlids Holding, LLC, Fanatics, Inc. and Fanzz Holding, Inc. Incorporated by reference to Exhibit 2.1 to the current report on Form 8-K file December 14, 2018 (File No. 1-3083).*</w:t>
      </w:r>
    </w:p>
    <w:p>
      <w:pPr>
        <w:spacing w:after="0" w:line="3" w:lineRule="exact"/>
        <w:rPr>
          <w:rFonts w:ascii="Times New Roman" w:cs="Times New Roman" w:eastAsia="Times New Roman" w:hAnsi="Times New Roman"/>
          <w:sz w:val="20"/>
          <w:szCs w:val="20"/>
          <w:color w:val="1E1E1E"/>
        </w:rPr>
      </w:pPr>
    </w:p>
    <w:p>
      <w:pPr>
        <w:ind w:left="2120" w:right="140" w:hanging="528"/>
        <w:spacing w:after="0"/>
        <w:tabs>
          <w:tab w:leader="none" w:pos="2120" w:val="left"/>
        </w:tabs>
        <w:numPr>
          <w:ilvl w:val="1"/>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Asset Purchase Agreement dated December 18, 2019, by and among Genesco Brands NY, LLC, Togast LLC, Togast Direct, LLC, TGB Design, LLC, Quanzhou TGB Footwear Co. Ltd and Anthony LoConte. Incorporated by reference to Exhibit 2.1 to the current report on Form 8-K filed December 18, 2019 (File No. 1-3083).</w:t>
      </w:r>
    </w:p>
    <w:p>
      <w:pPr>
        <w:spacing w:after="0" w:line="1" w:lineRule="exact"/>
        <w:rPr>
          <w:rFonts w:ascii="Times New Roman" w:cs="Times New Roman" w:eastAsia="Times New Roman" w:hAnsi="Times New Roman"/>
          <w:sz w:val="20"/>
          <w:szCs w:val="20"/>
          <w:color w:val="1E1E1E"/>
        </w:rPr>
      </w:pPr>
    </w:p>
    <w:p>
      <w:pPr>
        <w:ind w:left="2120" w:right="140" w:hanging="528"/>
        <w:spacing w:after="0"/>
        <w:tabs>
          <w:tab w:leader="none" w:pos="2120" w:val="left"/>
        </w:tabs>
        <w:numPr>
          <w:ilvl w:val="1"/>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Amendment to Asset Purchase Agreement dated September 30, 2020, by and among Genesco Brands NY, LLC, Togast LLC, Togast Direct, LLC, TGB Design, LLC, Quanzhou TGB Footwear Co. Ltd and Anthony LoConte. Incorporated by reference to Exhibit (2)c to the Company's Annual Report on Form 10-K for the fiscal year ended January 30, 2021 (File No. 1-3083).</w:t>
      </w:r>
    </w:p>
    <w:p>
      <w:pPr>
        <w:spacing w:after="0" w:line="1" w:lineRule="exact"/>
        <w:rPr>
          <w:rFonts w:ascii="Times New Roman" w:cs="Times New Roman" w:eastAsia="Times New Roman" w:hAnsi="Times New Roman"/>
          <w:sz w:val="20"/>
          <w:szCs w:val="20"/>
          <w:color w:val="1E1E1E"/>
        </w:rPr>
      </w:pPr>
    </w:p>
    <w:p>
      <w:pPr>
        <w:ind w:left="2120" w:right="140" w:hanging="1488"/>
        <w:spacing w:after="0" w:line="237" w:lineRule="auto"/>
        <w:tabs>
          <w:tab w:leader="none" w:pos="1587" w:val="left"/>
        </w:tabs>
        <w:numPr>
          <w:ilvl w:val="0"/>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a.Second Amended and Restated Bylaws of Genesco Inc. Incorporated by reference to Exhibit 3.1 to the current report on Form 8-K filed November 1, 2022 (File No. 1-3083).</w:t>
      </w:r>
    </w:p>
    <w:p>
      <w:pPr>
        <w:spacing w:after="0" w:line="1" w:lineRule="exact"/>
        <w:rPr>
          <w:rFonts w:ascii="Times New Roman" w:cs="Times New Roman" w:eastAsia="Times New Roman" w:hAnsi="Times New Roman"/>
          <w:sz w:val="20"/>
          <w:szCs w:val="20"/>
          <w:color w:val="1E1E1E"/>
        </w:rPr>
      </w:pPr>
    </w:p>
    <w:p>
      <w:pPr>
        <w:ind w:left="2120" w:right="560" w:hanging="528"/>
        <w:spacing w:after="0"/>
        <w:tabs>
          <w:tab w:leader="none" w:pos="2120" w:val="left"/>
        </w:tabs>
        <w:numPr>
          <w:ilvl w:val="1"/>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Restated Charter of Genesco Inc., as amended. Incorporated by reference to Exhibit 3.3 to the Company's Quarterly Report on Form 10-Q filed on December 8, 2022 (File No. 1-3083).</w:t>
      </w:r>
    </w:p>
    <w:p>
      <w:pPr>
        <w:jc w:val="right"/>
        <w:ind w:left="2120" w:right="240" w:hanging="1488"/>
        <w:spacing w:after="0" w:line="253" w:lineRule="auto"/>
        <w:tabs>
          <w:tab w:leader="none" w:pos="1587" w:val="left"/>
        </w:tabs>
        <w:numPr>
          <w:ilvl w:val="0"/>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w:t>
      </w:r>
      <w:r>
        <w:rPr>
          <w:rFonts w:ascii="Times New Roman" w:cs="Times New Roman" w:eastAsia="Times New Roman" w:hAnsi="Times New Roman"/>
          <w:sz w:val="19"/>
          <w:szCs w:val="19"/>
          <w:color w:val="1E1E1E"/>
        </w:rPr>
        <w:t>Form of Certificate for the Common Stock. Incorporated by reference to Exhibit 3 to the Genesco Inc. Registration Statement on Form 8-A/A filed with the SEC on May 1, 2003 (File No.1-3083).</w:t>
      </w:r>
    </w:p>
    <w:p>
      <w:pPr>
        <w:ind w:left="2120" w:hanging="528"/>
        <w:spacing w:after="0" w:line="250" w:lineRule="auto"/>
        <w:tabs>
          <w:tab w:leader="none" w:pos="2120" w:val="left"/>
        </w:tabs>
        <w:numPr>
          <w:ilvl w:val="1"/>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Description of Securities. Incorporated by reference to Exhibit (4)b to the Company's Annual Report on Form 10-K for the fiscal year ended February 3, 2024. (File No. 1-3083).</w:t>
      </w:r>
    </w:p>
    <w:p>
      <w:pPr>
        <w:sectPr>
          <w:pgSz w:w="12240" w:h="15840" w:orient="portrait"/>
          <w:cols w:equalWidth="0" w:num="1">
            <w:col w:w="10180"/>
          </w:cols>
          <w:pgMar w:left="1000" w:top="1156" w:right="106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88</w:t>
      </w:r>
    </w:p>
    <w:p>
      <w:pPr>
        <w:sectPr>
          <w:pgSz w:w="12240" w:h="15840" w:orient="portrait"/>
          <w:cols w:equalWidth="0" w:num="1">
            <w:col w:w="10180"/>
          </w:cols>
          <w:pgMar w:left="1000" w:top="1156" w:right="1060" w:bottom="178" w:gutter="0" w:footer="0" w:header="0"/>
          <w:type w:val="continuous"/>
        </w:sectPr>
      </w:pPr>
    </w:p>
    <w:bookmarkStart w:id="95" w:name="page96"/>
    <w:bookmarkEnd w:id="95"/>
    <w:p>
      <w:pPr>
        <w:ind w:left="1680" w:hanging="1488"/>
        <w:spacing w:after="0" w:line="245" w:lineRule="auto"/>
        <w:tabs>
          <w:tab w:leader="none" w:pos="1147" w:val="left"/>
        </w:tabs>
        <w:numPr>
          <w:ilvl w:val="0"/>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a.Fourth Amended and Restated Credit Agreement, dated as of January 31, 2018, by and among Genesco Inc., certain subsidiaries of Genesco Inc. party thereto, as Other Domestic Borrowers, GCO Canada Inc., Genesco (UK) Limited, the Lenders party thereto and Bank of America, N.A., as Agent. Incorporated by reference to Exhibit 10.1 to the current report on Form 8-K filed February 3, 2018. (File No. 1-3083).</w:t>
      </w:r>
    </w:p>
    <w:p>
      <w:pPr>
        <w:spacing w:after="0" w:line="3" w:lineRule="exact"/>
        <w:rPr>
          <w:rFonts w:ascii="Times New Roman" w:cs="Times New Roman" w:eastAsia="Times New Roman" w:hAnsi="Times New Roman"/>
          <w:sz w:val="20"/>
          <w:szCs w:val="20"/>
          <w:color w:val="1E1E1E"/>
        </w:rPr>
      </w:pPr>
    </w:p>
    <w:p>
      <w:pPr>
        <w:ind w:left="1680" w:right="4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First Amendment to Fourth Amended and Restated Credit Agreement, dated as of February 1, 2019, by and among Genesco Inc., certain subsidiaries of Genesco Inc. party thereto, as Other Domestic Borrowers, GCO Canada Inc., Genesco (UK) Limited, the Lender party thereto and Bank of America, N.A., as Agent. Incorporated by reference to Exhibit 10.1 to the current report on Form 8-K filed February 5, 2019 (File No. 1-3083).</w:t>
      </w:r>
    </w:p>
    <w:p>
      <w:pPr>
        <w:spacing w:after="0" w:line="2" w:lineRule="exact"/>
        <w:rPr>
          <w:rFonts w:ascii="Times New Roman" w:cs="Times New Roman" w:eastAsia="Times New Roman" w:hAnsi="Times New Roman"/>
          <w:sz w:val="20"/>
          <w:szCs w:val="20"/>
          <w:color w:val="1E1E1E"/>
        </w:rPr>
      </w:pPr>
    </w:p>
    <w:p>
      <w:pPr>
        <w:ind w:left="1680" w:right="40" w:hanging="528"/>
        <w:spacing w:after="0" w:line="239" w:lineRule="auto"/>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Second Amendment to Fourth Amended and Restated Credit Agreement, dated as of June 5, 2020, by and among Genesco Inc., certain subsidiaries of Genesco Inc. party thereto, as Other Domestic Borrowers, GCO Canada Inc., Genesco (UK) Limited, the Lender party thereto and Bank of America, N.A., as Agent. Incorporated by reference to Exhibit 10.1 to the current report on Form 8-K filed June 9, 2020. (File No. 1-3083).</w:t>
      </w:r>
    </w:p>
    <w:p>
      <w:pPr>
        <w:spacing w:after="0" w:line="2" w:lineRule="exact"/>
        <w:rPr>
          <w:rFonts w:ascii="Times New Roman" w:cs="Times New Roman" w:eastAsia="Times New Roman" w:hAnsi="Times New Roman"/>
          <w:sz w:val="20"/>
          <w:szCs w:val="20"/>
          <w:color w:val="1E1E1E"/>
        </w:rPr>
      </w:pPr>
    </w:p>
    <w:p>
      <w:pPr>
        <w:ind w:left="1680" w:right="2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Third Amendment to Fourth Amended and Restated Credit Agreement, dated as of January 28, 2022 by and among Genesco Inc., certain subsidiaries of Genesco Inc. party thereto, as Other Domestic Borrowers, GCO Canada Inc., Genesco (UK) Limited, the Lender party thereto and Bank of America, N.A., as Agent. Incorporated by reference to Exhibit 10.1 to the current report on Form 8-K filed February 3, 2022. (File No. 1-3083).</w:t>
      </w:r>
    </w:p>
    <w:p>
      <w:pPr>
        <w:spacing w:after="0" w:line="2" w:lineRule="exact"/>
        <w:rPr>
          <w:rFonts w:ascii="Times New Roman" w:cs="Times New Roman" w:eastAsia="Times New Roman" w:hAnsi="Times New Roman"/>
          <w:sz w:val="20"/>
          <w:szCs w:val="20"/>
          <w:color w:val="1E1E1E"/>
        </w:rPr>
      </w:pPr>
    </w:p>
    <w:p>
      <w:pPr>
        <w:ind w:left="1680" w:right="4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Fourth Amendment to Fourth Amended and Restated Credit Agreement, dated January 16, 2026 by and among Genesco Inc., certain subsidiaries of Genesco Inc. party thereto, GCO Canada ULC, Genesco (UK) Limited, Other Domestic Borrowers, the Lenders party thereto and Bank of America, N.A., as Agent. Incorporated by reference to Exhibit 10.1 to the current report on Form 8-K filed January 21, 2026. (File No. 1-3083).</w:t>
      </w:r>
    </w:p>
    <w:p>
      <w:pPr>
        <w:spacing w:after="0" w:line="2" w:lineRule="exact"/>
        <w:rPr>
          <w:rFonts w:ascii="Times New Roman" w:cs="Times New Roman" w:eastAsia="Times New Roman" w:hAnsi="Times New Roman"/>
          <w:sz w:val="20"/>
          <w:szCs w:val="20"/>
          <w:color w:val="1E1E1E"/>
        </w:rPr>
      </w:pPr>
    </w:p>
    <w:p>
      <w:pPr>
        <w:ind w:left="1680" w:right="160" w:hanging="528"/>
        <w:spacing w:after="0" w:line="238" w:lineRule="auto"/>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Split-Dollar Insurance Agreement with Executive Officers. Incorporated by reference to Exhibit (10)a to the Company’s Annual Report on Form 10-K for the fiscal year ended February 1, 1997 (File No.1-3083).</w:t>
      </w:r>
    </w:p>
    <w:p>
      <w:pPr>
        <w:spacing w:after="0" w:line="2" w:lineRule="exact"/>
        <w:rPr>
          <w:rFonts w:ascii="Times New Roman" w:cs="Times New Roman" w:eastAsia="Times New Roman" w:hAnsi="Times New Roman"/>
          <w:sz w:val="20"/>
          <w:szCs w:val="20"/>
          <w:color w:val="1E1E1E"/>
        </w:rPr>
      </w:pPr>
    </w:p>
    <w:p>
      <w:pPr>
        <w:jc w:val="both"/>
        <w:ind w:left="1680" w:right="2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Second Amended and Restated 2009 Equity Incentive Plan. Incorporated by reference to Exhibit 10.1 to the Company’s current report on Form 8-K, filed June 28, 2016 (File No. 1-3083).</w:t>
      </w:r>
    </w:p>
    <w:p>
      <w:pPr>
        <w:ind w:left="1680" w:right="12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Third Amended and Restated EVA Incentive Compensation Plan. Incorporated by reference to Exhibit (10)h to the Company’s Annual Report on Form 10-K for the fiscal year ended February 1, 2020. (File No. 1-3083).</w:t>
      </w:r>
    </w:p>
    <w:p>
      <w:pPr>
        <w:spacing w:after="0" w:line="1" w:lineRule="exact"/>
        <w:rPr>
          <w:rFonts w:ascii="Times New Roman" w:cs="Times New Roman" w:eastAsia="Times New Roman" w:hAnsi="Times New Roman"/>
          <w:sz w:val="20"/>
          <w:szCs w:val="20"/>
          <w:color w:val="1E1E1E"/>
        </w:rPr>
      </w:pPr>
    </w:p>
    <w:p>
      <w:pPr>
        <w:ind w:left="1680" w:right="2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First Amendment to the Third Amended and Restated EVA Incentive Compensation Plan of Genesco Inc. Incorporated by reference to Exhibit (10)a to the Company's Quarterly Report on Form 10-Q for the quarter ended May 1, 2021. (File No. 1-3083).</w:t>
      </w:r>
    </w:p>
    <w:p>
      <w:pPr>
        <w:spacing w:after="0" w:line="1" w:lineRule="exact"/>
        <w:rPr>
          <w:rFonts w:ascii="Times New Roman" w:cs="Times New Roman" w:eastAsia="Times New Roman" w:hAnsi="Times New Roman"/>
          <w:sz w:val="20"/>
          <w:szCs w:val="20"/>
          <w:color w:val="1E1E1E"/>
        </w:rPr>
      </w:pPr>
    </w:p>
    <w:p>
      <w:pPr>
        <w:ind w:left="1680" w:right="20" w:hanging="528"/>
        <w:spacing w:after="0" w:line="238" w:lineRule="auto"/>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Second Amendment to the Third Amended and Restated EVA Incentive Compensation Plan of Genesco Inc. Incorporated by reference to Exhibit (10)a to the Company's Quarterly Report on Form 10-Q for the quarter ended October 30, 2021. (File No. 1-3083).</w:t>
      </w:r>
    </w:p>
    <w:p>
      <w:pPr>
        <w:spacing w:after="0" w:line="2" w:lineRule="exact"/>
        <w:rPr>
          <w:rFonts w:ascii="Times New Roman" w:cs="Times New Roman" w:eastAsia="Times New Roman" w:hAnsi="Times New Roman"/>
          <w:sz w:val="20"/>
          <w:szCs w:val="20"/>
          <w:color w:val="1E1E1E"/>
        </w:rPr>
      </w:pPr>
    </w:p>
    <w:p>
      <w:pPr>
        <w:ind w:left="168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Fourth Amended and Restated EVA Incentive Compensation Plan. Incorporated by reference to Exhibit 10.1 to the Company's Current Report on Form 8-K filed March 31, 2023. (File No. 1-3083).</w:t>
      </w:r>
    </w:p>
    <w:p>
      <w:pPr>
        <w:ind w:left="1680" w:right="44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2020 Equity Incentive Plan. Incorporated by reference to Appendix A to Genesco Inc.’s Definitive Proxy Statement on Schedule 14A, filed May 15, 2020. (File No. 1-3083).</w:t>
      </w:r>
    </w:p>
    <w:p>
      <w:pPr>
        <w:ind w:left="1680" w:right="320" w:hanging="528"/>
        <w:spacing w:after="0"/>
        <w:tabs>
          <w:tab w:leader="none" w:pos="1681"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Amended and Restated 2020 Equity Incentive Plan. Incorporated by reference to Appendix A to Genesco Inc.'s Definitive Proxy Statement on Schedule 14A, filed May 12, 2023. (File No. 1-3083).</w:t>
      </w:r>
    </w:p>
    <w:p>
      <w:pPr>
        <w:spacing w:after="0" w:line="1" w:lineRule="exact"/>
        <w:rPr>
          <w:rFonts w:ascii="Times New Roman" w:cs="Times New Roman" w:eastAsia="Times New Roman" w:hAnsi="Times New Roman"/>
          <w:sz w:val="20"/>
          <w:szCs w:val="20"/>
          <w:color w:val="1E1E1E"/>
        </w:rPr>
      </w:pPr>
    </w:p>
    <w:p>
      <w:pPr>
        <w:jc w:val="both"/>
        <w:ind w:left="1680" w:right="80" w:hanging="528"/>
        <w:spacing w:after="0" w:line="238" w:lineRule="auto"/>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Second Amended and Restated 2020 Equity Incentive Plan. Incorporated by reference to Appendix A to Genesco Inc.'s Definitive Proxy Statement on Schedule 14A, filed May 17, 2024. (File No. 1-3083).</w:t>
      </w:r>
    </w:p>
    <w:p>
      <w:pPr>
        <w:spacing w:after="0" w:line="2" w:lineRule="exact"/>
        <w:rPr>
          <w:rFonts w:ascii="Times New Roman" w:cs="Times New Roman" w:eastAsia="Times New Roman" w:hAnsi="Times New Roman"/>
          <w:sz w:val="20"/>
          <w:szCs w:val="20"/>
          <w:color w:val="1E1E1E"/>
        </w:rPr>
      </w:pPr>
    </w:p>
    <w:p>
      <w:pPr>
        <w:ind w:left="1680" w:right="2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Third Amended and Restated 2020 Equity Incentive Plan. Incorporated by reference to Appendix A to Genesco Inc.'s Definitive Proxy Statement on Schedule 14A, filed May 16, 2025. (File No. 1-3083).</w:t>
      </w:r>
    </w:p>
    <w:p>
      <w:pPr>
        <w:spacing w:after="0" w:line="1" w:lineRule="exact"/>
        <w:rPr>
          <w:rFonts w:ascii="Times New Roman" w:cs="Times New Roman" w:eastAsia="Times New Roman" w:hAnsi="Times New Roman"/>
          <w:sz w:val="20"/>
          <w:szCs w:val="20"/>
          <w:color w:val="1E1E1E"/>
        </w:rPr>
      </w:pPr>
    </w:p>
    <w:p>
      <w:pPr>
        <w:ind w:left="1680" w:right="440" w:hanging="528"/>
        <w:spacing w:after="0"/>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Incentive Stock Option Agreement. Incorporated by reference to Exhibit (10)c to the Company’s Quarterly Report on Form 10-Q for the quarter ended October 29, 2005 (File No.1-3083).</w:t>
      </w:r>
    </w:p>
    <w:p>
      <w:pPr>
        <w:spacing w:after="0" w:line="1" w:lineRule="exact"/>
        <w:rPr>
          <w:rFonts w:ascii="Times New Roman" w:cs="Times New Roman" w:eastAsia="Times New Roman" w:hAnsi="Times New Roman"/>
          <w:sz w:val="20"/>
          <w:szCs w:val="20"/>
          <w:color w:val="1E1E1E"/>
        </w:rPr>
      </w:pPr>
    </w:p>
    <w:p>
      <w:pPr>
        <w:ind w:left="1680" w:right="160" w:hanging="528"/>
        <w:spacing w:after="0" w:line="245" w:lineRule="auto"/>
        <w:tabs>
          <w:tab w:leader="none" w:pos="1680" w:val="left"/>
        </w:tabs>
        <w:numPr>
          <w:ilvl w:val="1"/>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Non-Qualified Stock Option Agreement. Incorporated by reference to Exhibit (10)d to the Company’s Quarterly Report on Form 10-Q for the quarter ended October 29, 2005 (File No.1-3083).</w:t>
      </w:r>
    </w:p>
    <w:p>
      <w:pPr>
        <w:sectPr>
          <w:pgSz w:w="12240" w:h="15840" w:orient="portrait"/>
          <w:cols w:equalWidth="0" w:num="1">
            <w:col w:w="9760"/>
          </w:cols>
          <w:pgMar w:left="1440" w:top="1158" w:right="1040" w:bottom="178" w:gutter="0" w:footer="0" w:header="0"/>
        </w:sectPr>
      </w:pPr>
    </w:p>
    <w:p>
      <w:pPr>
        <w:spacing w:after="0" w:line="3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1E1E1E"/>
        </w:rPr>
        <w:t>89</w:t>
      </w:r>
    </w:p>
    <w:p>
      <w:pPr>
        <w:sectPr>
          <w:pgSz w:w="12240" w:h="15840" w:orient="portrait"/>
          <w:cols w:equalWidth="0" w:num="1">
            <w:col w:w="9760"/>
          </w:cols>
          <w:pgMar w:left="1440" w:top="1158" w:right="1040" w:bottom="178" w:gutter="0" w:footer="0" w:header="0"/>
          <w:type w:val="continuous"/>
        </w:sectPr>
      </w:pPr>
    </w:p>
    <w:bookmarkStart w:id="96" w:name="page97"/>
    <w:bookmarkEnd w:id="96"/>
    <w:p>
      <w:pPr>
        <w:ind w:left="1680" w:right="220" w:hanging="528"/>
        <w:spacing w:after="0" w:line="249" w:lineRule="auto"/>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Restricted Share Award Agreement for Executive Officers. Incorporated by reference to Exhibit (10)e to the Company’s Quarterly Report on Form 10-Q for the quarter ended October 29, 2005 (File No.1-3083).</w:t>
      </w:r>
    </w:p>
    <w:p>
      <w:pPr>
        <w:jc w:val="both"/>
        <w:ind w:left="1680" w:right="40" w:hanging="528"/>
        <w:spacing w:after="0"/>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Restricted Share Award Agreement for Officers and Employees. Incorporated by reference to Exhibit (10)f to the Company’s Quarterly Report on Form 10-Q for the quarter ended October 29, 2005 (File No.1-3083).</w:t>
      </w:r>
    </w:p>
    <w:p>
      <w:pPr>
        <w:spacing w:after="0" w:line="1" w:lineRule="exact"/>
        <w:rPr>
          <w:rFonts w:ascii="Times New Roman" w:cs="Times New Roman" w:eastAsia="Times New Roman" w:hAnsi="Times New Roman"/>
          <w:sz w:val="20"/>
          <w:szCs w:val="20"/>
          <w:color w:val="1E1E1E"/>
        </w:rPr>
      </w:pPr>
    </w:p>
    <w:p>
      <w:pPr>
        <w:ind w:left="1680" w:right="40" w:hanging="528"/>
        <w:spacing w:after="0"/>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Restricted Share Award Agreement. Incorporated by reference to Exhibit (10)a to the Company’s Quarterly Report on Form 10-Q for the quarter ended August 1, 2009 (File No. 1-3083).</w:t>
      </w:r>
    </w:p>
    <w:p>
      <w:pPr>
        <w:ind w:left="1680" w:hanging="528"/>
        <w:spacing w:after="0"/>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Genesco Inc. Performance Share Unit Agreement. Incorporated by reference to Exhibit 10.2 to the Company's Quarterly Report on Form 10-Q for the quarter ended April 29, 2023 (File No. 1-3083).</w:t>
      </w:r>
    </w:p>
    <w:p>
      <w:pPr>
        <w:spacing w:after="0" w:line="1" w:lineRule="exact"/>
        <w:rPr>
          <w:rFonts w:ascii="Times New Roman" w:cs="Times New Roman" w:eastAsia="Times New Roman" w:hAnsi="Times New Roman"/>
          <w:sz w:val="20"/>
          <w:szCs w:val="20"/>
          <w:color w:val="1E1E1E"/>
        </w:rPr>
      </w:pPr>
    </w:p>
    <w:p>
      <w:pPr>
        <w:ind w:left="1680" w:hanging="528"/>
        <w:spacing w:after="0"/>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Genesco Inc. Performance Share Unit Agreement. Incorporated by reference to Exhibit 10.2 to the Company's Quarterly Report on Form 10-Q for the quarter ended May 4, 2024 (File No. 1-3083).</w:t>
      </w:r>
    </w:p>
    <w:p>
      <w:pPr>
        <w:spacing w:after="0" w:line="1" w:lineRule="exact"/>
        <w:rPr>
          <w:rFonts w:ascii="Times New Roman" w:cs="Times New Roman" w:eastAsia="Times New Roman" w:hAnsi="Times New Roman"/>
          <w:sz w:val="20"/>
          <w:szCs w:val="20"/>
          <w:color w:val="1E1E1E"/>
        </w:rPr>
      </w:pPr>
    </w:p>
    <w:p>
      <w:pPr>
        <w:ind w:left="1680" w:hanging="528"/>
        <w:spacing w:after="0" w:line="238" w:lineRule="auto"/>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Genesco Inc. Performance Share Unit Agreement. Incorporated by reference to Exhibit 10.1 to the Company's Quarterly Report on Form 10-Q for the quarter ended August 2, 2025 (File No. 1-3083).</w:t>
      </w:r>
    </w:p>
    <w:p>
      <w:pPr>
        <w:spacing w:after="0" w:line="2" w:lineRule="exact"/>
        <w:rPr>
          <w:rFonts w:ascii="Times New Roman" w:cs="Times New Roman" w:eastAsia="Times New Roman" w:hAnsi="Times New Roman"/>
          <w:sz w:val="20"/>
          <w:szCs w:val="20"/>
          <w:color w:val="1E1E1E"/>
        </w:rPr>
      </w:pPr>
    </w:p>
    <w:p>
      <w:pPr>
        <w:ind w:left="1680" w:right="20" w:hanging="528"/>
        <w:spacing w:after="0"/>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Genesco Inc. Restricted Share Award Agreement. Incorporated by reference to Exhibit 10.3 to the Company's Quarterly Report on Form 10-Q for the quarter ended April 29, 2023 (File No. 1-3083).</w:t>
      </w:r>
    </w:p>
    <w:p>
      <w:pPr>
        <w:spacing w:after="0" w:line="1" w:lineRule="exact"/>
        <w:rPr>
          <w:rFonts w:ascii="Times New Roman" w:cs="Times New Roman" w:eastAsia="Times New Roman" w:hAnsi="Times New Roman"/>
          <w:sz w:val="20"/>
          <w:szCs w:val="20"/>
          <w:color w:val="1E1E1E"/>
        </w:rPr>
      </w:pPr>
    </w:p>
    <w:p>
      <w:pPr>
        <w:ind w:left="1680" w:right="80" w:hanging="528"/>
        <w:spacing w:after="0"/>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Indemnification Agreement For Directors. Incorporated by reference to Exhibit (10)m to the Company’s Annual Report on Form 10-K for the fiscal year ended January 31, 1993 (File No.1-3083). (P)</w:t>
      </w:r>
    </w:p>
    <w:p>
      <w:pPr>
        <w:spacing w:after="0" w:line="1" w:lineRule="exact"/>
        <w:rPr>
          <w:rFonts w:ascii="Times New Roman" w:cs="Times New Roman" w:eastAsia="Times New Roman" w:hAnsi="Times New Roman"/>
          <w:sz w:val="20"/>
          <w:szCs w:val="20"/>
          <w:color w:val="1E1E1E"/>
        </w:rPr>
      </w:pPr>
    </w:p>
    <w:p>
      <w:pPr>
        <w:ind w:left="1680" w:right="180" w:hanging="528"/>
        <w:spacing w:after="0"/>
        <w:tabs>
          <w:tab w:leader="none" w:pos="168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Non-Executive Director Indemnification Agreement. Incorporated by reference to Exhibit (10.1) to the current report on Form 8-K filed November 3, 2008 (File No. 1-3083).</w:t>
      </w:r>
    </w:p>
    <w:p>
      <w:pPr>
        <w:spacing w:after="0" w:line="1" w:lineRule="exact"/>
        <w:rPr>
          <w:sz w:val="20"/>
          <w:szCs w:val="20"/>
          <w:color w:val="auto"/>
        </w:rPr>
      </w:pPr>
    </w:p>
    <w:p>
      <w:pPr>
        <w:ind w:left="1680" w:right="340" w:hanging="528"/>
        <w:spacing w:after="0" w:line="238" w:lineRule="auto"/>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Officer Indemnification Agreement. Incorporated by reference to Exhibit (10.2) to the Company’s Quarterly Report on Form 10-Q for the quarter ended November 1, 2008 (File No.1-3083).</w:t>
      </w:r>
    </w:p>
    <w:p>
      <w:pPr>
        <w:spacing w:after="0" w:line="2" w:lineRule="exact"/>
        <w:rPr>
          <w:rFonts w:ascii="Times New Roman" w:cs="Times New Roman" w:eastAsia="Times New Roman" w:hAnsi="Times New Roman"/>
          <w:sz w:val="20"/>
          <w:szCs w:val="20"/>
          <w:color w:val="1E1E1E"/>
        </w:rPr>
      </w:pPr>
    </w:p>
    <w:p>
      <w:pPr>
        <w:ind w:left="1680" w:right="80" w:hanging="528"/>
        <w:spacing w:after="0"/>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Employment Protection Agreement between the Company and certain executive officers dated as of February 26, 1997. Incorporated by reference to Exhibit (10)p to the Company’s Annual Report on Form 10-K for the fiscal year ended February 1, 1997 (File No.1-3083).</w:t>
      </w:r>
    </w:p>
    <w:p>
      <w:pPr>
        <w:spacing w:after="0" w:line="1" w:lineRule="exact"/>
        <w:rPr>
          <w:rFonts w:ascii="Times New Roman" w:cs="Times New Roman" w:eastAsia="Times New Roman" w:hAnsi="Times New Roman"/>
          <w:sz w:val="20"/>
          <w:szCs w:val="20"/>
          <w:color w:val="1E1E1E"/>
        </w:rPr>
      </w:pPr>
    </w:p>
    <w:p>
      <w:pPr>
        <w:ind w:left="1680" w:right="160" w:hanging="528"/>
        <w:spacing w:after="0"/>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First Amendment to Form of Employment Protection Agreement. Incorporated by reference to Exhibit (10)s to the Company’s Annual Report on Form 10-K for the fiscal year ended January 30, 2010 (File No.1-3083).</w:t>
      </w:r>
    </w:p>
    <w:p>
      <w:pPr>
        <w:spacing w:after="0" w:line="1" w:lineRule="exact"/>
        <w:rPr>
          <w:rFonts w:ascii="Times New Roman" w:cs="Times New Roman" w:eastAsia="Times New Roman" w:hAnsi="Times New Roman"/>
          <w:sz w:val="20"/>
          <w:szCs w:val="20"/>
          <w:color w:val="1E1E1E"/>
        </w:rPr>
      </w:pPr>
    </w:p>
    <w:p>
      <w:pPr>
        <w:ind w:left="1680" w:right="280" w:hanging="528"/>
        <w:spacing w:after="0"/>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Employment Protection Agreement between the Company and certain executive officers dated as of October 30, 2019. Incorporated by reference to Exhibit 10.1 to the current report on Form 8-K filed October 31, 2019 (File No. 1-3083).</w:t>
      </w:r>
    </w:p>
    <w:p>
      <w:pPr>
        <w:spacing w:after="0" w:line="1" w:lineRule="exact"/>
        <w:rPr>
          <w:rFonts w:ascii="Times New Roman" w:cs="Times New Roman" w:eastAsia="Times New Roman" w:hAnsi="Times New Roman"/>
          <w:sz w:val="20"/>
          <w:szCs w:val="20"/>
          <w:color w:val="1E1E1E"/>
        </w:rPr>
      </w:pPr>
    </w:p>
    <w:p>
      <w:pPr>
        <w:ind w:left="1680" w:right="620" w:hanging="528"/>
        <w:spacing w:after="0" w:line="237" w:lineRule="auto"/>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Employment Protection Agreement. Incorporated by reference to Exhibit 10.1 to the Current Report on Form 8-K filed February 7, 2025 (File No. 1-3083).</w:t>
      </w:r>
    </w:p>
    <w:p>
      <w:pPr>
        <w:spacing w:after="0" w:line="1" w:lineRule="exact"/>
        <w:rPr>
          <w:rFonts w:ascii="Times New Roman" w:cs="Times New Roman" w:eastAsia="Times New Roman" w:hAnsi="Times New Roman"/>
          <w:sz w:val="20"/>
          <w:szCs w:val="20"/>
          <w:color w:val="1E1E1E"/>
        </w:rPr>
      </w:pPr>
    </w:p>
    <w:p>
      <w:pPr>
        <w:ind w:left="1680" w:right="200" w:hanging="528"/>
        <w:spacing w:after="0"/>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Executive Severance Plan. Incorporated by reference to Exhibit (10.1) to the Current Report on Form 8-K filed on May 3, 2024 (File No. 1-3083).</w:t>
      </w:r>
    </w:p>
    <w:p>
      <w:pPr>
        <w:ind w:left="1680" w:right="160" w:hanging="528"/>
        <w:spacing w:after="0"/>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Deferred Income Plan dated as of July 1, 2000. Incorporated by reference to Exhibit (10)p to the Company’s Annual Report on Form 10-K for the fiscal year ended January 29, 2005. Amended and Restated Deferred Income Plan dated August 22, 2007. Incorporated by reference to Exhibit (10)r to the Company’s Annual Report on Form 10-K for the fiscal year ended February 2, 2008 (File No.1-3083).</w:t>
      </w:r>
    </w:p>
    <w:p>
      <w:pPr>
        <w:spacing w:after="0" w:line="2" w:lineRule="exact"/>
        <w:rPr>
          <w:rFonts w:ascii="Times New Roman" w:cs="Times New Roman" w:eastAsia="Times New Roman" w:hAnsi="Times New Roman"/>
          <w:sz w:val="20"/>
          <w:szCs w:val="20"/>
          <w:color w:val="1E1E1E"/>
        </w:rPr>
      </w:pPr>
    </w:p>
    <w:p>
      <w:pPr>
        <w:ind w:left="1680" w:right="160" w:hanging="528"/>
        <w:spacing w:after="0" w:line="238" w:lineRule="auto"/>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Schuh Group Limited 2015 Management Bonus Scheme. Incorporated by reference to Exhibit (10)a to the Company’s Quarterly Report on Form 10-Q for the quarter ended July 30, 2011 (File No.1-3083).</w:t>
      </w:r>
    </w:p>
    <w:p>
      <w:pPr>
        <w:spacing w:after="0" w:line="2" w:lineRule="exact"/>
        <w:rPr>
          <w:rFonts w:ascii="Times New Roman" w:cs="Times New Roman" w:eastAsia="Times New Roman" w:hAnsi="Times New Roman"/>
          <w:sz w:val="20"/>
          <w:szCs w:val="20"/>
          <w:color w:val="1E1E1E"/>
        </w:rPr>
      </w:pPr>
    </w:p>
    <w:p>
      <w:pPr>
        <w:ind w:left="1680" w:right="180" w:hanging="528"/>
        <w:spacing w:after="0"/>
        <w:tabs>
          <w:tab w:leader="none" w:pos="1679"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Letter Agreement dated August 30, 2023, by and between the Company and Mario Gallione. Incorporated by reference to Exhibit 10.1 to the current report on Form 8-K filed August 31, 2023. (File No. 1-3083).</w:t>
      </w:r>
    </w:p>
    <w:p>
      <w:pPr>
        <w:spacing w:after="0" w:line="1" w:lineRule="exact"/>
        <w:rPr>
          <w:rFonts w:ascii="Times New Roman" w:cs="Times New Roman" w:eastAsia="Times New Roman" w:hAnsi="Times New Roman"/>
          <w:sz w:val="20"/>
          <w:szCs w:val="20"/>
          <w:color w:val="1E1E1E"/>
        </w:rPr>
      </w:pPr>
    </w:p>
    <w:p>
      <w:pPr>
        <w:ind w:left="1680" w:hanging="528"/>
        <w:spacing w:after="0"/>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Genesco Inc. Restricted Share Award Agreement. Incorporated by reference to Exhibit</w:t>
      </w:r>
    </w:p>
    <w:p>
      <w:pPr>
        <w:ind w:left="1680" w:right="240"/>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(10)cc to the Company's Annual Report on Form 10-K for the fiscal year ended February 3, 2024. (File No. 1-3083).</w:t>
      </w:r>
    </w:p>
    <w:p>
      <w:pPr>
        <w:ind w:left="1680" w:right="40" w:hanging="528"/>
        <w:spacing w:after="0" w:line="250" w:lineRule="auto"/>
        <w:tabs>
          <w:tab w:leader="none" w:pos="1680" w:val="left"/>
        </w:tabs>
        <w:numPr>
          <w:ilvl w:val="0"/>
          <w:numId w:val="3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Basic Form of Exchange Agreement (Restricted Stock). Incorporated by reference to Exhibit 10.1 to the current report on Form 8-K filed April 29, 2009 (File No. 1-3083).</w:t>
      </w:r>
    </w:p>
    <w:p>
      <w:pPr>
        <w:sectPr>
          <w:pgSz w:w="12240" w:h="15840" w:orient="portrait"/>
          <w:cols w:equalWidth="0" w:num="1">
            <w:col w:w="9760"/>
          </w:cols>
          <w:pgMar w:left="1440" w:top="1158" w:right="1040" w:bottom="178"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1E1E1E"/>
        </w:rPr>
        <w:t>90</w:t>
      </w:r>
    </w:p>
    <w:p>
      <w:pPr>
        <w:sectPr>
          <w:pgSz w:w="12240" w:h="15840" w:orient="portrait"/>
          <w:cols w:equalWidth="0" w:num="1">
            <w:col w:w="9760"/>
          </w:cols>
          <w:pgMar w:left="1440" w:top="1158" w:right="1040" w:bottom="178" w:gutter="0" w:footer="0" w:header="0"/>
          <w:type w:val="continuous"/>
        </w:sectPr>
      </w:pPr>
    </w:p>
    <w:bookmarkStart w:id="97" w:name="page98"/>
    <w:bookmarkEnd w:id="97"/>
    <w:p>
      <w:pPr>
        <w:ind w:left="2120" w:right="80" w:hanging="528"/>
        <w:spacing w:after="0" w:line="256" w:lineRule="auto"/>
        <w:tabs>
          <w:tab w:leader="none" w:pos="2120" w:val="left"/>
        </w:tabs>
        <w:numPr>
          <w:ilvl w:val="1"/>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Basic Form of Exchange Agreement (Unrestricted Stock). Incorporated by reference to Exhibit 10.2 to the current report on Form 8-K filed April 29, 2009 (File No. 1-3083).</w:t>
      </w:r>
    </w:p>
    <w:p>
      <w:pPr>
        <w:ind w:left="2120" w:right="220" w:hanging="528"/>
        <w:spacing w:after="0" w:line="237" w:lineRule="auto"/>
        <w:tabs>
          <w:tab w:leader="none" w:pos="2121" w:val="left"/>
        </w:tabs>
        <w:numPr>
          <w:ilvl w:val="1"/>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Conversion Agreement. Incorporated by reference to Exhibit 10.1 to the current report on Form 8-K filed November 2, 2009 (File No. 1-3083).</w:t>
      </w:r>
    </w:p>
    <w:p>
      <w:pPr>
        <w:spacing w:after="0" w:line="1" w:lineRule="exact"/>
        <w:rPr>
          <w:rFonts w:ascii="Times New Roman" w:cs="Times New Roman" w:eastAsia="Times New Roman" w:hAnsi="Times New Roman"/>
          <w:sz w:val="20"/>
          <w:szCs w:val="20"/>
          <w:color w:val="1E1E1E"/>
        </w:rPr>
      </w:pPr>
    </w:p>
    <w:p>
      <w:pPr>
        <w:ind w:left="2120" w:right="220" w:hanging="528"/>
        <w:spacing w:after="0"/>
        <w:tabs>
          <w:tab w:leader="none" w:pos="2120" w:val="left"/>
        </w:tabs>
        <w:numPr>
          <w:ilvl w:val="1"/>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Form of Conversion Agreement. Incorporated by reference to Exhibit 10.1 to the current report on Form 8-K filed November 6, 2009 (File No. 1-3083).</w:t>
      </w:r>
    </w:p>
    <w:p>
      <w:pPr>
        <w:ind w:left="2120" w:right="280" w:hanging="528"/>
        <w:spacing w:after="0"/>
        <w:tabs>
          <w:tab w:leader="none" w:pos="2120" w:val="left"/>
        </w:tabs>
        <w:numPr>
          <w:ilvl w:val="1"/>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Terms and Conditions to Trademark License Agreement dated December 17, 2019, between Levi Strauss &amp; Co. and Genesco Inc.* Incorporated by reference to Exhibit (10)bb to the Company’s Annual Report on Form 10-K for the fiscal year ended February 1, 2020. (File No. 1-3083).</w:t>
      </w:r>
    </w:p>
    <w:p>
      <w:pPr>
        <w:spacing w:after="0" w:line="1" w:lineRule="exact"/>
        <w:rPr>
          <w:rFonts w:ascii="Times New Roman" w:cs="Times New Roman" w:eastAsia="Times New Roman" w:hAnsi="Times New Roman"/>
          <w:sz w:val="20"/>
          <w:szCs w:val="20"/>
          <w:color w:val="1E1E1E"/>
        </w:rPr>
      </w:pPr>
    </w:p>
    <w:p>
      <w:pPr>
        <w:ind w:left="2120" w:right="40" w:hanging="528"/>
        <w:spacing w:after="0" w:line="253" w:lineRule="auto"/>
        <w:tabs>
          <w:tab w:leader="none" w:pos="2120" w:val="left"/>
        </w:tabs>
        <w:numPr>
          <w:ilvl w:val="1"/>
          <w:numId w:val="3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Schedule to Trademark License Agreement (Levi’s® Brand) dated December 17, 2019, between Levi Strauss &amp; Co. and Genesco Inc.* Incorporated by reference to Exhibit (10)cc to the Company’s Annual Report on Form 10-K for the fiscal year ended February 1, 2020. (File No. 1-3083).</w:t>
      </w:r>
    </w:p>
    <w:p>
      <w:pPr>
        <w:ind w:left="2120" w:right="20" w:hanging="528"/>
        <w:spacing w:after="0" w:line="251" w:lineRule="auto"/>
        <w:tabs>
          <w:tab w:leader="none" w:pos="2120" w:val="left"/>
        </w:tabs>
        <w:numPr>
          <w:ilvl w:val="1"/>
          <w:numId w:val="3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Schedule to Trademark License Agreement (Dockers® Brand) dated December 17, 2019, between Levi Strauss &amp; Co. and Genesco Inc.* Incorporated by reference to Exhibit (10)dd to the Company’s Annual Report on Form 10-K for the fiscal year ended February 1, 2020. (File No. 1-3083).</w:t>
      </w:r>
    </w:p>
    <w:p>
      <w:pPr>
        <w:ind w:left="2120" w:right="460" w:hanging="528"/>
        <w:spacing w:after="0" w:line="253" w:lineRule="auto"/>
        <w:tabs>
          <w:tab w:leader="none" w:pos="2120" w:val="left"/>
        </w:tabs>
        <w:numPr>
          <w:ilvl w:val="1"/>
          <w:numId w:val="34"/>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Amendment No. 1 to Trademark License Agreement, dated December 17, 2019, between Levi Strauss &amp; Co. and Genesco Inc.* Incorporated by reference to Exhibit (10)ee to the Company’s Annual Report on Form 10-K for the fiscal year ended February 1, 2020. (File No. 1-3083).</w:t>
      </w:r>
    </w:p>
    <w:p>
      <w:pPr>
        <w:ind w:left="2120" w:right="440" w:hanging="528"/>
        <w:spacing w:after="0"/>
        <w:tabs>
          <w:tab w:leader="none" w:pos="2120" w:val="left"/>
        </w:tabs>
        <w:numPr>
          <w:ilvl w:val="1"/>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Consulting Agreement, dated January 29, 2026, by and between Genesco Inc. and Cassandra E. Harris.</w:t>
      </w:r>
    </w:p>
    <w:p>
      <w:pPr>
        <w:ind w:left="2120" w:hanging="1488"/>
        <w:spacing w:after="0"/>
        <w:tabs>
          <w:tab w:leader="none" w:pos="2120" w:val="left"/>
        </w:tabs>
        <w:numPr>
          <w:ilvl w:val="0"/>
          <w:numId w:val="3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Letter from Ernst &amp; Young to the Securities and Exchange Commission, dated May 6, 2025.</w:t>
      </w:r>
    </w:p>
    <w:p>
      <w:pPr>
        <w:ind w:left="2120" w:right="20"/>
        <w:spacing w:after="0"/>
        <w:rPr>
          <w:sz w:val="20"/>
          <w:szCs w:val="20"/>
          <w:color w:val="auto"/>
        </w:rPr>
      </w:pPr>
      <w:r>
        <w:rPr>
          <w:rFonts w:ascii="Times New Roman" w:cs="Times New Roman" w:eastAsia="Times New Roman" w:hAnsi="Times New Roman"/>
          <w:sz w:val="20"/>
          <w:szCs w:val="20"/>
          <w:color w:val="1E1E1E"/>
        </w:rPr>
        <w:t>Incorporated by reference to Exhibit (16.1) to the Company's Current Report on Form 8-K filed May 6, 2025. (File No. 1-3083).</w:t>
      </w:r>
    </w:p>
    <w:p>
      <w:pPr>
        <w:spacing w:after="0" w:line="1" w:lineRule="exact"/>
        <w:rPr>
          <w:sz w:val="20"/>
          <w:szCs w:val="20"/>
          <w:color w:val="auto"/>
        </w:rPr>
      </w:pPr>
    </w:p>
    <w:p>
      <w:pPr>
        <w:ind w:left="2120" w:right="220" w:hanging="1488"/>
        <w:spacing w:after="0"/>
        <w:tabs>
          <w:tab w:leader="none" w:pos="2120" w:val="left"/>
        </w:tabs>
        <w:numPr>
          <w:ilvl w:val="0"/>
          <w:numId w:val="3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Insider Trading Policy. Incorporated by reference to Exhibit (19) to the Company's Annual Report on Form 10-K for the fiscal year ended February 1, 2025. (File No. 1-3083).</w:t>
      </w:r>
    </w:p>
    <w:p>
      <w:pPr>
        <w:ind w:left="2120" w:hanging="1488"/>
        <w:spacing w:after="0" w:line="236" w:lineRule="auto"/>
        <w:tabs>
          <w:tab w:leader="none" w:pos="2120" w:val="left"/>
        </w:tabs>
        <w:numPr>
          <w:ilvl w:val="0"/>
          <w:numId w:val="3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Subsidiaries of the Company.</w:t>
      </w:r>
    </w:p>
    <w:p>
      <w:pPr>
        <w:ind w:left="2120" w:right="500" w:hanging="1488"/>
        <w:spacing w:after="0"/>
        <w:tabs>
          <w:tab w:leader="none" w:pos="212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Consent of Deloitte &amp; Touche LLP, Independent Register Public Accounting Firm on page 92. Consent of Ernst &amp; Young LLP, Independent Registered Public Accounting Firm on page 93.</w:t>
      </w:r>
    </w:p>
    <w:p>
      <w:pPr>
        <w:ind w:left="2120" w:hanging="1488"/>
        <w:spacing w:after="0"/>
        <w:tabs>
          <w:tab w:leader="none" w:pos="2120" w:val="left"/>
        </w:tabs>
        <w:numPr>
          <w:ilvl w:val="0"/>
          <w:numId w:val="3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Power of Attorney.</w:t>
      </w:r>
    </w:p>
    <w:tbl>
      <w:tblPr>
        <w:tblLayout w:type="fixed"/>
        <w:tblInd w:w="640" w:type="dxa"/>
        <w:tblCellMar>
          <w:top w:w="0" w:type="dxa"/>
          <w:left w:w="0" w:type="dxa"/>
          <w:bottom w:w="0" w:type="dxa"/>
          <w:right w:w="0" w:type="dxa"/>
        </w:tblCellMar>
      </w:tblPr>
      <w:tr>
        <w:trPr>
          <w:trHeight w:val="201"/>
        </w:trPr>
        <w:tc>
          <w:tcPr>
            <w:tcW w:w="980" w:type="dxa"/>
            <w:vAlign w:val="bottom"/>
          </w:tcPr>
          <w:p>
            <w:pPr>
              <w:jc w:val="right"/>
              <w:ind w:right="399"/>
              <w:spacing w:after="0" w:line="201" w:lineRule="exact"/>
              <w:rPr>
                <w:sz w:val="20"/>
                <w:szCs w:val="20"/>
                <w:color w:val="auto"/>
              </w:rPr>
            </w:pPr>
            <w:r>
              <w:rPr>
                <w:rFonts w:ascii="Times New Roman" w:cs="Times New Roman" w:eastAsia="Times New Roman" w:hAnsi="Times New Roman"/>
                <w:sz w:val="20"/>
                <w:szCs w:val="20"/>
                <w:color w:val="1E1E1E"/>
                <w:w w:val="95"/>
              </w:rPr>
              <w:t>(31.1)</w:t>
            </w:r>
          </w:p>
        </w:tc>
        <w:tc>
          <w:tcPr>
            <w:tcW w:w="8500" w:type="dxa"/>
            <w:vAlign w:val="bottom"/>
          </w:tcPr>
          <w:p>
            <w:pPr>
              <w:ind w:left="500"/>
              <w:spacing w:after="0" w:line="201" w:lineRule="exact"/>
              <w:rPr>
                <w:sz w:val="20"/>
                <w:szCs w:val="20"/>
                <w:color w:val="auto"/>
              </w:rPr>
            </w:pPr>
            <w:r>
              <w:rPr>
                <w:rFonts w:ascii="Times New Roman" w:cs="Times New Roman" w:eastAsia="Times New Roman" w:hAnsi="Times New Roman"/>
                <w:sz w:val="20"/>
                <w:szCs w:val="20"/>
                <w:color w:val="1E1E1E"/>
                <w:w w:val="99"/>
              </w:rPr>
              <w:t>Certification of the Chief Executive Officer and Interim Chief Financial Officer Pursuant to Section</w:t>
            </w:r>
          </w:p>
        </w:tc>
      </w:tr>
      <w:tr>
        <w:trPr>
          <w:trHeight w:val="230"/>
        </w:trPr>
        <w:tc>
          <w:tcPr>
            <w:tcW w:w="980" w:type="dxa"/>
            <w:vAlign w:val="bottom"/>
          </w:tcPr>
          <w:p>
            <w:pPr>
              <w:spacing w:after="0"/>
              <w:rPr>
                <w:sz w:val="20"/>
                <w:szCs w:val="20"/>
                <w:color w:val="auto"/>
              </w:rPr>
            </w:pPr>
          </w:p>
        </w:tc>
        <w:tc>
          <w:tcPr>
            <w:tcW w:w="850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302 of the Sarbanes-Oxley Act of 2002.</w:t>
            </w:r>
          </w:p>
        </w:tc>
      </w:tr>
      <w:tr>
        <w:trPr>
          <w:trHeight w:val="230"/>
        </w:trPr>
        <w:tc>
          <w:tcPr>
            <w:tcW w:w="980" w:type="dxa"/>
            <w:vAlign w:val="bottom"/>
          </w:tcPr>
          <w:p>
            <w:pPr>
              <w:jc w:val="right"/>
              <w:ind w:right="399"/>
              <w:spacing w:after="0"/>
              <w:rPr>
                <w:sz w:val="20"/>
                <w:szCs w:val="20"/>
                <w:color w:val="auto"/>
              </w:rPr>
            </w:pPr>
            <w:r>
              <w:rPr>
                <w:rFonts w:ascii="Times New Roman" w:cs="Times New Roman" w:eastAsia="Times New Roman" w:hAnsi="Times New Roman"/>
                <w:sz w:val="20"/>
                <w:szCs w:val="20"/>
                <w:color w:val="1E1E1E"/>
                <w:w w:val="95"/>
              </w:rPr>
              <w:t>(32.1)</w:t>
            </w:r>
          </w:p>
        </w:tc>
        <w:tc>
          <w:tcPr>
            <w:tcW w:w="850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Certification of the Chief Executive Officer and Interim Chief Financial Officer Pursuant to 18</w:t>
            </w:r>
          </w:p>
        </w:tc>
      </w:tr>
      <w:tr>
        <w:trPr>
          <w:trHeight w:val="260"/>
        </w:trPr>
        <w:tc>
          <w:tcPr>
            <w:tcW w:w="980" w:type="dxa"/>
            <w:vAlign w:val="bottom"/>
          </w:tcPr>
          <w:p>
            <w:pPr>
              <w:spacing w:after="0"/>
              <w:rPr>
                <w:sz w:val="22"/>
                <w:szCs w:val="22"/>
                <w:color w:val="auto"/>
              </w:rPr>
            </w:pPr>
          </w:p>
        </w:tc>
        <w:tc>
          <w:tcPr>
            <w:tcW w:w="8500" w:type="dxa"/>
            <w:vAlign w:val="bottom"/>
          </w:tcPr>
          <w:p>
            <w:pPr>
              <w:ind w:left="500"/>
              <w:spacing w:after="0"/>
              <w:rPr>
                <w:sz w:val="20"/>
                <w:szCs w:val="20"/>
                <w:color w:val="auto"/>
              </w:rPr>
            </w:pPr>
            <w:r>
              <w:rPr>
                <w:rFonts w:ascii="Times New Roman" w:cs="Times New Roman" w:eastAsia="Times New Roman" w:hAnsi="Times New Roman"/>
                <w:sz w:val="20"/>
                <w:szCs w:val="20"/>
                <w:color w:val="1E1E1E"/>
              </w:rPr>
              <w:t>U.S.C. Section 1350, as Adopted Pursuant to Section 906 of the Sarbanes-Oxley Act of 2002.</w:t>
            </w:r>
          </w:p>
        </w:tc>
      </w:tr>
    </w:tbl>
    <w:p>
      <w:pPr>
        <w:ind w:left="2120" w:right="140" w:hanging="1488"/>
        <w:spacing w:after="0"/>
        <w:tabs>
          <w:tab w:leader="none" w:pos="2120"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Genesco Inc. Amended and Restated Compensation Recoupment Policy, dated as of October 26, 2023. Incorporated by reference to Exhibit (97) to the Company's Annual Report on Form 10-K for the fiscal year ended February 3, 2024. (File No. 1-3083).</w:t>
      </w:r>
    </w:p>
    <w:p>
      <w:pPr>
        <w:spacing w:after="0" w:line="1" w:lineRule="exact"/>
        <w:rPr>
          <w:sz w:val="20"/>
          <w:szCs w:val="20"/>
          <w:color w:val="auto"/>
        </w:rPr>
      </w:pPr>
    </w:p>
    <w:p>
      <w:pPr>
        <w:jc w:val="both"/>
        <w:ind w:left="2120" w:hanging="1488"/>
        <w:spacing w:after="0" w:line="252" w:lineRule="auto"/>
        <w:tabs>
          <w:tab w:leader="none" w:pos="2120" w:val="left"/>
        </w:tabs>
        <w:numPr>
          <w:ilvl w:val="0"/>
          <w:numId w:val="4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The following materials from Genesco Inc.'s Annual Form on Form 10-K for the year ended January 31, 2026, formatted in Inline XBRL (eXtensible Business Reporting Language): (i) Consolidated Balance Sheets at January 31, 2026 and February 1, 2025, (ii) Consolidated Statements of Operations for each of the three fiscal years ended 2026, 2025 and 2024, (iii) Consolidated Statements of Comprehensive Income (Loss) for each of the three fiscal years ended 2026, 2025 and 2024, (iv) Consolidated Statements of Cash Flows for each of the three fiscal years ended 2026, 2025 and 2024,</w:t>
      </w:r>
    </w:p>
    <w:p>
      <w:pPr>
        <w:spacing w:after="0" w:line="1" w:lineRule="exact"/>
        <w:rPr>
          <w:rFonts w:ascii="Times New Roman" w:cs="Times New Roman" w:eastAsia="Times New Roman" w:hAnsi="Times New Roman"/>
          <w:sz w:val="19"/>
          <w:szCs w:val="19"/>
          <w:color w:val="1E1E1E"/>
        </w:rPr>
      </w:pPr>
    </w:p>
    <w:p>
      <w:pPr>
        <w:ind w:left="2120"/>
        <w:spacing w:after="0"/>
        <w:rPr>
          <w:rFonts w:ascii="Times New Roman" w:cs="Times New Roman" w:eastAsia="Times New Roman" w:hAnsi="Times New Roman"/>
          <w:sz w:val="19"/>
          <w:szCs w:val="19"/>
          <w:color w:val="1E1E1E"/>
        </w:rPr>
      </w:pPr>
      <w:r>
        <w:rPr>
          <w:rFonts w:ascii="Times New Roman" w:cs="Times New Roman" w:eastAsia="Times New Roman" w:hAnsi="Times New Roman"/>
          <w:sz w:val="20"/>
          <w:szCs w:val="20"/>
          <w:color w:val="1E1E1E"/>
        </w:rPr>
        <w:t>(v) Consolidated Statements of Equity for each of the three fiscal years ended 2026, 2025 and 2024,</w:t>
      </w:r>
    </w:p>
    <w:tbl>
      <w:tblPr>
        <w:tblLayout w:type="fixed"/>
        <w:tblInd w:w="640" w:type="dxa"/>
        <w:tblCellMar>
          <w:top w:w="0" w:type="dxa"/>
          <w:left w:w="0" w:type="dxa"/>
          <w:bottom w:w="0" w:type="dxa"/>
          <w:right w:w="0" w:type="dxa"/>
        </w:tblCellMar>
      </w:tblPr>
      <w:tr>
        <w:trPr>
          <w:trHeight w:val="201"/>
        </w:trPr>
        <w:tc>
          <w:tcPr>
            <w:tcW w:w="880" w:type="dxa"/>
            <w:vAlign w:val="bottom"/>
          </w:tcPr>
          <w:p>
            <w:pPr>
              <w:spacing w:after="0"/>
              <w:rPr>
                <w:sz w:val="17"/>
                <w:szCs w:val="17"/>
                <w:color w:val="auto"/>
              </w:rPr>
            </w:pPr>
          </w:p>
        </w:tc>
        <w:tc>
          <w:tcPr>
            <w:tcW w:w="7920" w:type="dxa"/>
            <w:vAlign w:val="bottom"/>
          </w:tcPr>
          <w:p>
            <w:pPr>
              <w:ind w:left="600"/>
              <w:spacing w:after="0" w:line="201" w:lineRule="exact"/>
              <w:rPr>
                <w:sz w:val="20"/>
                <w:szCs w:val="20"/>
                <w:color w:val="auto"/>
              </w:rPr>
            </w:pPr>
            <w:r>
              <w:rPr>
                <w:rFonts w:ascii="Times New Roman" w:cs="Times New Roman" w:eastAsia="Times New Roman" w:hAnsi="Times New Roman"/>
                <w:sz w:val="20"/>
                <w:szCs w:val="20"/>
                <w:color w:val="1E1E1E"/>
              </w:rPr>
              <w:t>and (vi) Notes to Consolidated Financial Statements.</w:t>
            </w:r>
          </w:p>
        </w:tc>
      </w:tr>
      <w:tr>
        <w:trPr>
          <w:trHeight w:val="270"/>
        </w:trPr>
        <w:tc>
          <w:tcPr>
            <w:tcW w:w="880" w:type="dxa"/>
            <w:vAlign w:val="bottom"/>
          </w:tcPr>
          <w:p>
            <w:pPr>
              <w:jc w:val="right"/>
              <w:ind w:right="479"/>
              <w:spacing w:after="0"/>
              <w:rPr>
                <w:sz w:val="20"/>
                <w:szCs w:val="20"/>
                <w:color w:val="auto"/>
              </w:rPr>
            </w:pPr>
            <w:r>
              <w:rPr>
                <w:rFonts w:ascii="Times New Roman" w:cs="Times New Roman" w:eastAsia="Times New Roman" w:hAnsi="Times New Roman"/>
                <w:sz w:val="20"/>
                <w:szCs w:val="20"/>
                <w:color w:val="1E1E1E"/>
                <w:w w:val="93"/>
              </w:rPr>
              <w:t>104</w:t>
            </w:r>
          </w:p>
        </w:tc>
        <w:tc>
          <w:tcPr>
            <w:tcW w:w="7920" w:type="dxa"/>
            <w:vAlign w:val="bottom"/>
          </w:tcPr>
          <w:p>
            <w:pPr>
              <w:ind w:left="600"/>
              <w:spacing w:after="0"/>
              <w:rPr>
                <w:sz w:val="20"/>
                <w:szCs w:val="20"/>
                <w:color w:val="auto"/>
              </w:rPr>
            </w:pPr>
            <w:r>
              <w:rPr>
                <w:rFonts w:ascii="Times New Roman" w:cs="Times New Roman" w:eastAsia="Times New Roman" w:hAnsi="Times New Roman"/>
                <w:sz w:val="20"/>
                <w:szCs w:val="20"/>
                <w:color w:val="1E1E1E"/>
                <w:w w:val="99"/>
              </w:rPr>
              <w:t>Cover Page Interactive Data File (formatted as Inline XBRL and contained in Exhibit 101).</w:t>
            </w:r>
          </w:p>
        </w:tc>
      </w:tr>
    </w:tbl>
    <w:p>
      <w:pPr>
        <w:spacing w:after="0" w:line="191" w:lineRule="exact"/>
        <w:rPr>
          <w:sz w:val="20"/>
          <w:szCs w:val="20"/>
          <w:color w:val="auto"/>
        </w:rPr>
      </w:pPr>
    </w:p>
    <w:p>
      <w:pPr>
        <w:ind w:right="960"/>
        <w:spacing w:after="0" w:line="288" w:lineRule="auto"/>
        <w:rPr>
          <w:sz w:val="20"/>
          <w:szCs w:val="20"/>
          <w:color w:val="auto"/>
        </w:rPr>
      </w:pPr>
      <w:r>
        <w:rPr>
          <w:rFonts w:ascii="Times New Roman" w:cs="Times New Roman" w:eastAsia="Times New Roman" w:hAnsi="Times New Roman"/>
          <w:sz w:val="20"/>
          <w:szCs w:val="20"/>
          <w:color w:val="1E1E1E"/>
        </w:rPr>
        <w:t>Exhibits (10)f through (10)x, (10)aa through (10)ii and (10)ss are Management Contracts or Compensatory Plans or Arrangements required to be filed as Exhibits to this Annual Report on Form 10-K.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E1E1E"/>
        </w:rPr>
        <w:t>* Certain portions of this exhibit have been omitted pursuant to a request for confidential treatment.</w:t>
      </w:r>
    </w:p>
    <w:p>
      <w:pPr>
        <w:spacing w:after="0" w:line="199" w:lineRule="exact"/>
        <w:rPr>
          <w:sz w:val="20"/>
          <w:szCs w:val="20"/>
          <w:color w:val="auto"/>
        </w:rPr>
      </w:pPr>
    </w:p>
    <w:p>
      <w:pPr>
        <w:jc w:val="both"/>
        <w:ind w:right="500"/>
        <w:spacing w:after="0" w:line="308" w:lineRule="auto"/>
        <w:rPr>
          <w:sz w:val="20"/>
          <w:szCs w:val="20"/>
          <w:color w:val="auto"/>
        </w:rPr>
      </w:pPr>
      <w:r>
        <w:rPr>
          <w:rFonts w:ascii="Times New Roman" w:cs="Times New Roman" w:eastAsia="Times New Roman" w:hAnsi="Times New Roman"/>
          <w:sz w:val="20"/>
          <w:szCs w:val="20"/>
          <w:color w:val="1E1E1E"/>
        </w:rPr>
        <w:t>A copy of any of the above described exhibits will be furnished to the shareholders upon written request, addressed to Director, Corporate Relations, Genesco Inc., 535 Marriott Drive, 12th Floor, Nashville, Tennessee 37215, accompanied by a check in the amount of $15.00 payable to Genesco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16. FORM 10-K SUMMARY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ectPr>
          <w:pgSz w:w="12240" w:h="15840" w:orient="portrait"/>
          <w:cols w:equalWidth="0" w:num="1">
            <w:col w:w="10220"/>
          </w:cols>
          <w:pgMar w:left="1000" w:top="1158" w:right="1020" w:bottom="17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91</w:t>
      </w:r>
    </w:p>
    <w:p>
      <w:pPr>
        <w:sectPr>
          <w:pgSz w:w="12240" w:h="15840" w:orient="portrait"/>
          <w:cols w:equalWidth="0" w:num="1">
            <w:col w:w="10220"/>
          </w:cols>
          <w:pgMar w:left="1000" w:top="1158" w:right="1020" w:bottom="178" w:gutter="0" w:footer="0" w:header="0"/>
          <w:type w:val="continuous"/>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Consent of Independent Registered Public Accounting Firm</w:t>
      </w:r>
    </w:p>
    <w:p>
      <w:pPr>
        <w:spacing w:after="0" w:line="247"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1E1E1E"/>
        </w:rPr>
        <w:t>We consent to the incorporation by reference in Registration Statements Nos. 333-08463, 333-104908, 333-40249, 333-128201, 333-160339, 333-180463, 333-218670, 333-248715, 333-274394, 333-282063 and 333-290298 on Form S-8 of our reports dated March 25, 2026 relating to the financial statements of Genesco Inc. and the effectiveness of Genesco Inc.'s internal control over financial reporting, appearing in this Annual Report on Form 10-K of Genesco Inc. for the year ended January 31, 2026.</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1E1E1E"/>
        </w:rPr>
        <w:t>/s/ Deloitte &amp; Touche LLP</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1E1E1E"/>
        </w:rPr>
        <w:t>Nashville, Tennessee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1E1E1E"/>
        </w:rPr>
        <w:t>March 25, 2026</w:t>
      </w:r>
    </w:p>
    <w:p>
      <w:pPr>
        <w:sectPr>
          <w:pgSz w:w="12240" w:h="15840" w:orient="portrait"/>
          <w:cols w:equalWidth="0" w:num="1">
            <w:col w:w="10260"/>
          </w:cols>
          <w:pgMar w:left="100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92</w:t>
      </w:r>
    </w:p>
    <w:p>
      <w:pPr>
        <w:sectPr>
          <w:pgSz w:w="12240" w:h="15840" w:orient="portrait"/>
          <w:cols w:equalWidth="0" w:num="1">
            <w:col w:w="10260"/>
          </w:cols>
          <w:pgMar w:left="1000" w:top="1156" w:right="980" w:bottom="178" w:gutter="0" w:footer="0" w:header="0"/>
          <w:type w:val="continuous"/>
        </w:sectPr>
      </w:pPr>
    </w:p>
    <w:bookmarkStart w:id="99" w:name="page100"/>
    <w:bookmarkEnd w:id="99"/>
    <w:p>
      <w:pPr>
        <w:ind w:left="2566"/>
        <w:spacing w:after="0"/>
        <w:rPr>
          <w:sz w:val="20"/>
          <w:szCs w:val="20"/>
          <w:color w:val="auto"/>
        </w:rPr>
      </w:pPr>
      <w:r>
        <w:rPr>
          <w:rFonts w:ascii="Times New Roman" w:cs="Times New Roman" w:eastAsia="Times New Roman" w:hAnsi="Times New Roman"/>
          <w:sz w:val="20"/>
          <w:szCs w:val="20"/>
          <w:b w:val="1"/>
          <w:bCs w:val="1"/>
          <w:color w:val="1E1E1E"/>
        </w:rPr>
        <w:t>Consent of Independent Registered Public Accounting Firm</w:t>
      </w:r>
    </w:p>
    <w:p>
      <w:pPr>
        <w:spacing w:after="0" w:line="2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1E1E1E"/>
        </w:rPr>
        <w:t>We consent to the incorporation by reference in the following Registration Statements:</w:t>
      </w:r>
    </w:p>
    <w:p>
      <w:pPr>
        <w:spacing w:after="0" w:line="245" w:lineRule="exact"/>
        <w:rPr>
          <w:sz w:val="20"/>
          <w:szCs w:val="20"/>
          <w:color w:val="auto"/>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333-08463) of Genesco Inc.,</w:t>
      </w:r>
    </w:p>
    <w:p>
      <w:pPr>
        <w:spacing w:after="0" w:line="250"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333-104908) of Genesco Inc.,</w:t>
      </w:r>
    </w:p>
    <w:p>
      <w:pPr>
        <w:spacing w:after="0" w:line="245"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333-40249) of Genesco Inc.,</w:t>
      </w:r>
    </w:p>
    <w:p>
      <w:pPr>
        <w:spacing w:after="0" w:line="245"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333-128201) of Genesco Inc.,</w:t>
      </w:r>
    </w:p>
    <w:p>
      <w:pPr>
        <w:spacing w:after="0" w:line="245"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333-160339) of Genesco Inc.,</w:t>
      </w:r>
    </w:p>
    <w:p>
      <w:pPr>
        <w:spacing w:after="0" w:line="245"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333-180463) of Genesco Inc.,</w:t>
      </w:r>
    </w:p>
    <w:p>
      <w:pPr>
        <w:spacing w:after="0" w:line="245"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333-218670) of Genesco Inc.,</w:t>
      </w:r>
    </w:p>
    <w:p>
      <w:pPr>
        <w:spacing w:after="0" w:line="250"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333-248715) of Genesco Inc.,</w:t>
      </w:r>
    </w:p>
    <w:p>
      <w:pPr>
        <w:spacing w:after="0" w:line="245" w:lineRule="exact"/>
        <w:rPr>
          <w:rFonts w:ascii="Times New Roman" w:cs="Times New Roman" w:eastAsia="Times New Roman" w:hAnsi="Times New Roman"/>
          <w:sz w:val="20"/>
          <w:szCs w:val="20"/>
          <w:color w:val="1E1E1E"/>
        </w:rPr>
      </w:pPr>
    </w:p>
    <w:p>
      <w:pPr>
        <w:ind w:left="286" w:hanging="286"/>
        <w:spacing w:after="0"/>
        <w:tabs>
          <w:tab w:leader="none" w:pos="2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333-274394) of Genesco Inc.,</w:t>
      </w:r>
    </w:p>
    <w:p>
      <w:pPr>
        <w:spacing w:after="0" w:line="245" w:lineRule="exact"/>
        <w:rPr>
          <w:rFonts w:ascii="Times New Roman" w:cs="Times New Roman" w:eastAsia="Times New Roman" w:hAnsi="Times New Roman"/>
          <w:sz w:val="20"/>
          <w:szCs w:val="20"/>
          <w:color w:val="1E1E1E"/>
        </w:rPr>
      </w:pPr>
    </w:p>
    <w:p>
      <w:pPr>
        <w:ind w:left="386" w:hanging="386"/>
        <w:spacing w:after="0"/>
        <w:tabs>
          <w:tab w:leader="none" w:pos="3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333-282063) of Genesco Inc., and</w:t>
      </w:r>
    </w:p>
    <w:p>
      <w:pPr>
        <w:spacing w:after="0" w:line="245" w:lineRule="exact"/>
        <w:rPr>
          <w:rFonts w:ascii="Times New Roman" w:cs="Times New Roman" w:eastAsia="Times New Roman" w:hAnsi="Times New Roman"/>
          <w:sz w:val="20"/>
          <w:szCs w:val="20"/>
          <w:color w:val="1E1E1E"/>
        </w:rPr>
      </w:pPr>
    </w:p>
    <w:p>
      <w:pPr>
        <w:ind w:left="386" w:hanging="386"/>
        <w:spacing w:after="0"/>
        <w:tabs>
          <w:tab w:leader="none" w:pos="386" w:val="left"/>
        </w:tabs>
        <w:numPr>
          <w:ilvl w:val="0"/>
          <w:numId w:val="4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Registration statement (Form S-8 No. 333-290298) of Genesco Inc.</w:t>
      </w:r>
    </w:p>
    <w:p>
      <w:pPr>
        <w:spacing w:after="0" w:line="245" w:lineRule="exact"/>
        <w:rPr>
          <w:sz w:val="20"/>
          <w:szCs w:val="20"/>
          <w:color w:val="auto"/>
        </w:rPr>
      </w:pPr>
    </w:p>
    <w:p>
      <w:pPr>
        <w:jc w:val="both"/>
        <w:ind w:left="6" w:right="100"/>
        <w:spacing w:after="0" w:line="308" w:lineRule="auto"/>
        <w:rPr>
          <w:sz w:val="20"/>
          <w:szCs w:val="20"/>
          <w:color w:val="auto"/>
        </w:rPr>
      </w:pPr>
      <w:r>
        <w:rPr>
          <w:rFonts w:ascii="Times New Roman" w:cs="Times New Roman" w:eastAsia="Times New Roman" w:hAnsi="Times New Roman"/>
          <w:sz w:val="20"/>
          <w:szCs w:val="20"/>
          <w:color w:val="1E1E1E"/>
        </w:rPr>
        <w:t>of our report dated March 26, 2025, with respect to the consolidated financial statements of Genesco Inc. and Subsidiaries included in this Annual Report (Form 10-K) of Genesco Inc. for the year ended January 31, 2026, and the financial statement schedule of Genesco Inc. and Subsidiaries included herein.</w:t>
      </w:r>
    </w:p>
    <w:p>
      <w:pPr>
        <w:spacing w:after="0" w:line="214" w:lineRule="exact"/>
        <w:rPr>
          <w:sz w:val="20"/>
          <w:szCs w:val="20"/>
          <w:color w:val="auto"/>
        </w:rPr>
      </w:pPr>
    </w:p>
    <w:p>
      <w:pPr>
        <w:ind w:left="66"/>
        <w:spacing w:after="0"/>
        <w:rPr>
          <w:sz w:val="20"/>
          <w:szCs w:val="20"/>
          <w:color w:val="auto"/>
        </w:rPr>
      </w:pPr>
      <w:r>
        <w:rPr>
          <w:rFonts w:ascii="Times New Roman" w:cs="Times New Roman" w:eastAsia="Times New Roman" w:hAnsi="Times New Roman"/>
          <w:sz w:val="20"/>
          <w:szCs w:val="20"/>
          <w:color w:val="1E1E1E"/>
        </w:rPr>
        <w:t>/s/ Ernst &amp; Young LLP</w:t>
      </w:r>
    </w:p>
    <w:p>
      <w:pPr>
        <w:spacing w:after="0" w:line="82" w:lineRule="exact"/>
        <w:rPr>
          <w:sz w:val="20"/>
          <w:szCs w:val="20"/>
          <w:color w:val="auto"/>
        </w:rPr>
      </w:pPr>
    </w:p>
    <w:p>
      <w:pPr>
        <w:ind w:left="66"/>
        <w:spacing w:after="0"/>
        <w:rPr>
          <w:sz w:val="20"/>
          <w:szCs w:val="20"/>
          <w:color w:val="auto"/>
        </w:rPr>
      </w:pPr>
      <w:r>
        <w:rPr>
          <w:rFonts w:ascii="Times New Roman" w:cs="Times New Roman" w:eastAsia="Times New Roman" w:hAnsi="Times New Roman"/>
          <w:sz w:val="20"/>
          <w:szCs w:val="20"/>
          <w:color w:val="1E1E1E"/>
        </w:rPr>
        <w:t>Nashville, Tennessee</w:t>
      </w:r>
    </w:p>
    <w:p>
      <w:pPr>
        <w:spacing w:after="0" w:line="77" w:lineRule="exact"/>
        <w:rPr>
          <w:sz w:val="20"/>
          <w:szCs w:val="20"/>
          <w:color w:val="auto"/>
        </w:rPr>
      </w:pPr>
    </w:p>
    <w:p>
      <w:pPr>
        <w:ind w:left="66"/>
        <w:spacing w:after="0"/>
        <w:rPr>
          <w:sz w:val="20"/>
          <w:szCs w:val="20"/>
          <w:color w:val="auto"/>
        </w:rPr>
      </w:pPr>
      <w:r>
        <w:rPr>
          <w:rFonts w:ascii="Times New Roman" w:cs="Times New Roman" w:eastAsia="Times New Roman" w:hAnsi="Times New Roman"/>
          <w:sz w:val="20"/>
          <w:szCs w:val="20"/>
          <w:color w:val="1E1E1E"/>
        </w:rPr>
        <w:t>March 25, 2026</w:t>
      </w:r>
    </w:p>
    <w:p>
      <w:pPr>
        <w:sectPr>
          <w:pgSz w:w="12240" w:h="15840" w:orient="portrait"/>
          <w:cols w:equalWidth="0" w:num="1">
            <w:col w:w="9806"/>
          </w:cols>
          <w:pgMar w:left="994" w:top="1156" w:right="144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45"/>
        <w:spacing w:after="0"/>
        <w:rPr>
          <w:sz w:val="20"/>
          <w:szCs w:val="20"/>
          <w:color w:val="auto"/>
        </w:rPr>
      </w:pPr>
      <w:r>
        <w:rPr>
          <w:rFonts w:ascii="Times New Roman" w:cs="Times New Roman" w:eastAsia="Times New Roman" w:hAnsi="Times New Roman"/>
          <w:sz w:val="20"/>
          <w:szCs w:val="20"/>
          <w:color w:val="1E1E1E"/>
        </w:rPr>
        <w:t>93</w:t>
      </w:r>
    </w:p>
    <w:p>
      <w:pPr>
        <w:sectPr>
          <w:pgSz w:w="12240" w:h="15840" w:orient="portrait"/>
          <w:cols w:equalWidth="0" w:num="1">
            <w:col w:w="9806"/>
          </w:cols>
          <w:pgMar w:left="994" w:top="1156" w:right="1440" w:bottom="178" w:gutter="0" w:footer="0" w:header="0"/>
          <w:type w:val="continuous"/>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20"/>
          <w:szCs w:val="20"/>
          <w:color w:val="1E1E1E"/>
        </w:rPr>
        <w:t>SIGNATURES</w:t>
      </w:r>
    </w:p>
    <w:p>
      <w:pPr>
        <w:spacing w:after="0" w:line="226" w:lineRule="exact"/>
        <w:rPr>
          <w:sz w:val="20"/>
          <w:szCs w:val="20"/>
          <w:color w:val="auto"/>
        </w:rPr>
      </w:pPr>
    </w:p>
    <w:p>
      <w:pPr>
        <w:spacing w:after="0" w:line="326"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20"/>
          <w:szCs w:val="20"/>
          <w:color w:val="1E1E1E"/>
        </w:rPr>
        <w:t>GENESCO INC.</w:t>
      </w:r>
    </w:p>
    <w:p>
      <w:pPr>
        <w:spacing w:after="0" w:line="23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1E1E1E"/>
        </w:rPr>
        <w:t>By:</w:t>
      </w:r>
      <w:r>
        <w:rPr>
          <w:sz w:val="20"/>
          <w:szCs w:val="20"/>
          <w:color w:val="auto"/>
        </w:rPr>
        <w:tab/>
      </w:r>
      <w:r>
        <w:rPr>
          <w:rFonts w:ascii="Times New Roman" w:cs="Times New Roman" w:eastAsia="Times New Roman" w:hAnsi="Times New Roman"/>
          <w:sz w:val="20"/>
          <w:szCs w:val="20"/>
          <w:color w:val="1E1E1E"/>
        </w:rPr>
        <w:t>/s/Mimi Eckel Vaughn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386080</wp:posOffset>
                </wp:positionH>
                <wp:positionV relativeFrom="paragraph">
                  <wp:posOffset>17145</wp:posOffset>
                </wp:positionV>
                <wp:extent cx="286512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5120" cy="4763"/>
                        </a:xfrm>
                        <a:prstGeom prst="line">
                          <a:avLst/>
                        </a:prstGeom>
                        <a:solidFill>
                          <a:srgbClr val="FFFFFF"/>
                        </a:solidFill>
                        <a:ln w="6096">
                          <a:solidFill>
                            <a:srgbClr val="1E1E1E"/>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pt,1.35pt" to="256pt,1.35pt" o:allowincell="f" strokecolor="#1E1E1E" strokeweight="0.48pt"/>
            </w:pict>
          </mc:Fallback>
        </mc:AlternateConten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1E1E1E"/>
        </w:rPr>
        <w:t>Mimi Eckel Vaughn</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1E1E1E"/>
        </w:rPr>
        <w:t>Board Chair, President, Chief Executive Officer and</w:t>
      </w:r>
    </w:p>
    <w:p>
      <w:pPr>
        <w:ind w:left="600"/>
        <w:spacing w:after="0"/>
        <w:rPr>
          <w:sz w:val="20"/>
          <w:szCs w:val="20"/>
          <w:color w:val="auto"/>
        </w:rPr>
      </w:pPr>
      <w:r>
        <w:rPr>
          <w:rFonts w:ascii="Times New Roman" w:cs="Times New Roman" w:eastAsia="Times New Roman" w:hAnsi="Times New Roman"/>
          <w:sz w:val="20"/>
          <w:szCs w:val="20"/>
          <w:color w:val="1E1E1E"/>
        </w:rPr>
        <w:t>Interim Chief Financial Officer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Date: March 25, 2026</w:t>
      </w:r>
    </w:p>
    <w:p>
      <w:pPr>
        <w:spacing w:after="0" w:line="250" w:lineRule="exact"/>
        <w:rPr>
          <w:sz w:val="20"/>
          <w:szCs w:val="20"/>
          <w:color w:val="auto"/>
        </w:rPr>
      </w:pPr>
    </w:p>
    <w:p>
      <w:pPr>
        <w:ind w:right="20"/>
        <w:spacing w:after="0" w:line="326"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this report has been signed below by the following persons on behalf of the registrant and in the capacities indicated on the 4th day of February,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/s/Mimi Eckel Vaughn</w:t>
            </w:r>
          </w:p>
        </w:tc>
        <w:tc>
          <w:tcPr>
            <w:tcW w:w="48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Board Chair, President, Chief Executive Officer and</w:t>
            </w:r>
          </w:p>
        </w:tc>
      </w:tr>
      <w:tr>
        <w:trPr>
          <w:trHeight w:val="198"/>
        </w:trPr>
        <w:tc>
          <w:tcPr>
            <w:tcW w:w="512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1E1E1E"/>
              </w:rPr>
              <w:t>Mimi Eckel Vaughn</w:t>
            </w:r>
          </w:p>
        </w:tc>
        <w:tc>
          <w:tcPr>
            <w:tcW w:w="4840" w:type="dxa"/>
            <w:vAlign w:val="bottom"/>
          </w:tcPr>
          <w:p>
            <w:pPr>
              <w:ind w:left="100"/>
              <w:spacing w:after="0" w:line="198" w:lineRule="exact"/>
              <w:rPr>
                <w:sz w:val="20"/>
                <w:szCs w:val="20"/>
                <w:color w:val="auto"/>
              </w:rPr>
            </w:pPr>
            <w:r>
              <w:rPr>
                <w:rFonts w:ascii="Times New Roman" w:cs="Times New Roman" w:eastAsia="Times New Roman" w:hAnsi="Times New Roman"/>
                <w:sz w:val="20"/>
                <w:szCs w:val="20"/>
                <w:color w:val="1E1E1E"/>
              </w:rPr>
              <w:t>Interim Chief Financial Officer</w:t>
            </w:r>
          </w:p>
        </w:tc>
      </w:tr>
      <w:tr>
        <w:trPr>
          <w:trHeight w:val="270"/>
        </w:trPr>
        <w:tc>
          <w:tcPr>
            <w:tcW w:w="60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20"/>
                <w:szCs w:val="20"/>
                <w:color w:val="1E1E1E"/>
                <w:w w:val="99"/>
              </w:rPr>
              <w:t>(Principal Executive Officer &amp; Principal Financial Officer)</w:t>
            </w:r>
          </w:p>
        </w:tc>
      </w:tr>
      <w:tr>
        <w:trPr>
          <w:trHeight w:val="444"/>
        </w:trPr>
        <w:tc>
          <w:tcPr>
            <w:tcW w:w="512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/s/Cassandra E. Harris</w:t>
            </w:r>
          </w:p>
        </w:tc>
        <w:tc>
          <w:tcPr>
            <w:tcW w:w="48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Principal Accounting Officer</w:t>
            </w:r>
          </w:p>
        </w:tc>
      </w:tr>
      <w:tr>
        <w:trPr>
          <w:trHeight w:val="259"/>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Cassandra E. Harris</w:t>
            </w:r>
          </w:p>
        </w:tc>
        <w:tc>
          <w:tcPr>
            <w:tcW w:w="4840" w:type="dxa"/>
            <w:vAlign w:val="bottom"/>
          </w:tcPr>
          <w:p>
            <w:pPr>
              <w:spacing w:after="0"/>
              <w:rPr>
                <w:sz w:val="22"/>
                <w:szCs w:val="22"/>
                <w:color w:val="auto"/>
              </w:rPr>
            </w:pPr>
          </w:p>
        </w:tc>
      </w:tr>
      <w:tr>
        <w:trPr>
          <w:trHeight w:val="625"/>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Directors:</w:t>
            </w:r>
          </w:p>
        </w:tc>
        <w:tc>
          <w:tcPr>
            <w:tcW w:w="4840" w:type="dxa"/>
            <w:vAlign w:val="bottom"/>
          </w:tcPr>
          <w:p>
            <w:pPr>
              <w:spacing w:after="0"/>
              <w:rPr>
                <w:sz w:val="24"/>
                <w:szCs w:val="24"/>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Joanna Barsh*</w:t>
            </w:r>
          </w:p>
        </w:tc>
        <w:tc>
          <w:tcPr>
            <w:tcW w:w="48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Angel R. Martinez *</w:t>
            </w:r>
          </w:p>
        </w:tc>
      </w:tr>
      <w:tr>
        <w:trPr>
          <w:trHeight w:val="461"/>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Matthew Bilunas*</w:t>
            </w:r>
          </w:p>
        </w:tc>
        <w:tc>
          <w:tcPr>
            <w:tcW w:w="48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Mary Meixelsperger*</w:t>
            </w:r>
          </w:p>
        </w:tc>
      </w:tr>
      <w:tr>
        <w:trPr>
          <w:trHeight w:val="461"/>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Carolyn Bojanowski *</w:t>
            </w:r>
          </w:p>
        </w:tc>
        <w:tc>
          <w:tcPr>
            <w:tcW w:w="48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Gregory A. Sandfort*</w:t>
            </w:r>
          </w:p>
        </w:tc>
      </w:tr>
      <w:tr>
        <w:trPr>
          <w:trHeight w:val="461"/>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John F. Lambros.*</w:t>
            </w:r>
          </w:p>
        </w:tc>
        <w:tc>
          <w:tcPr>
            <w:tcW w:w="48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Mimi E. Vaughn*</w:t>
            </w:r>
          </w:p>
        </w:tc>
      </w:tr>
      <w:tr>
        <w:trPr>
          <w:trHeight w:val="461"/>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Thurgood Marshall, Jr.*</w:t>
            </w:r>
          </w:p>
        </w:tc>
        <w:tc>
          <w:tcPr>
            <w:tcW w:w="4840" w:type="dxa"/>
            <w:vAlign w:val="bottom"/>
          </w:tcPr>
          <w:p>
            <w:pPr>
              <w:spacing w:after="0"/>
              <w:rPr>
                <w:sz w:val="24"/>
                <w:szCs w:val="24"/>
                <w:color w:val="auto"/>
              </w:rPr>
            </w:pPr>
          </w:p>
        </w:tc>
      </w:tr>
      <w:tr>
        <w:trPr>
          <w:trHeight w:val="670"/>
        </w:trPr>
        <w:tc>
          <w:tcPr>
            <w:tcW w:w="51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*By   /s/Scott E. Becker</w:t>
            </w:r>
          </w:p>
        </w:tc>
        <w:tc>
          <w:tcPr>
            <w:tcW w:w="4840" w:type="dxa"/>
            <w:vAlign w:val="bottom"/>
          </w:tcPr>
          <w:p>
            <w:pPr>
              <w:spacing w:after="0"/>
              <w:rPr>
                <w:sz w:val="24"/>
                <w:szCs w:val="24"/>
                <w:color w:val="auto"/>
              </w:rPr>
            </w:pPr>
          </w:p>
        </w:tc>
      </w:tr>
      <w:tr>
        <w:trPr>
          <w:trHeight w:val="198"/>
        </w:trPr>
        <w:tc>
          <w:tcPr>
            <w:tcW w:w="600" w:type="dxa"/>
            <w:vAlign w:val="bottom"/>
          </w:tcPr>
          <w:p>
            <w:pPr>
              <w:spacing w:after="0"/>
              <w:rPr>
                <w:sz w:val="17"/>
                <w:szCs w:val="17"/>
                <w:color w:val="auto"/>
              </w:rPr>
            </w:pPr>
          </w:p>
        </w:tc>
        <w:tc>
          <w:tcPr>
            <w:tcW w:w="4520" w:type="dxa"/>
            <w:vAlign w:val="bottom"/>
            <w:tcBorders>
              <w:top w:val="single" w:sz="8" w:color="1E1E1E"/>
            </w:tcBorders>
          </w:tcPr>
          <w:p>
            <w:pPr>
              <w:spacing w:after="0" w:line="198" w:lineRule="exact"/>
              <w:rPr>
                <w:sz w:val="20"/>
                <w:szCs w:val="20"/>
                <w:color w:val="auto"/>
              </w:rPr>
            </w:pPr>
            <w:r>
              <w:rPr>
                <w:rFonts w:ascii="Times New Roman" w:cs="Times New Roman" w:eastAsia="Times New Roman" w:hAnsi="Times New Roman"/>
                <w:sz w:val="20"/>
                <w:szCs w:val="20"/>
                <w:color w:val="1E1E1E"/>
              </w:rPr>
              <w:t>Scott E. Becker</w:t>
            </w:r>
          </w:p>
        </w:tc>
        <w:tc>
          <w:tcPr>
            <w:tcW w:w="4840" w:type="dxa"/>
            <w:vAlign w:val="bottom"/>
          </w:tcPr>
          <w:p>
            <w:pPr>
              <w:spacing w:after="0"/>
              <w:rPr>
                <w:sz w:val="17"/>
                <w:szCs w:val="17"/>
                <w:color w:val="auto"/>
              </w:rPr>
            </w:pPr>
          </w:p>
        </w:tc>
      </w:tr>
      <w:tr>
        <w:trPr>
          <w:trHeight w:val="270"/>
        </w:trPr>
        <w:tc>
          <w:tcPr>
            <w:tcW w:w="60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0"/>
                <w:szCs w:val="20"/>
                <w:color w:val="1E1E1E"/>
              </w:rPr>
              <w:t>Attorney-In-Fact</w:t>
            </w:r>
          </w:p>
        </w:tc>
        <w:tc>
          <w:tcPr>
            <w:tcW w:w="48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260"/>
          </w:cols>
          <w:pgMar w:left="1000" w:top="1158"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94</w:t>
      </w:r>
    </w:p>
    <w:p>
      <w:pPr>
        <w:sectPr>
          <w:pgSz w:w="12240" w:h="15840" w:orient="portrait"/>
          <w:cols w:equalWidth="0" w:num="1">
            <w:col w:w="10260"/>
          </w:cols>
          <w:pgMar w:left="1000" w:top="1158" w:right="980" w:bottom="178"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2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2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1E1E1E"/>
        </w:rPr>
        <w:t>Financial Statement Schedule</w:t>
      </w:r>
    </w:p>
    <w:p>
      <w:pPr>
        <w:spacing w:after="0" w:line="2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1E1E1E"/>
        </w:rPr>
        <w:t>January 31, 2026</w:t>
      </w:r>
    </w:p>
    <w:p>
      <w:pPr>
        <w:sectPr>
          <w:pgSz w:w="12240" w:h="15840" w:orient="portrait"/>
          <w:cols w:equalWidth="0" w:num="1">
            <w:col w:w="9360"/>
          </w:cols>
          <w:pgMar w:left="1440" w:top="1440" w:right="144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95</w:t>
      </w:r>
    </w:p>
    <w:p>
      <w:pPr>
        <w:sectPr>
          <w:pgSz w:w="12240" w:h="15840" w:orient="portrait"/>
          <w:cols w:equalWidth="0" w:num="1">
            <w:col w:w="9360"/>
          </w:cols>
          <w:pgMar w:left="1440" w:top="1440" w:right="1440" w:bottom="178" w:gutter="0" w:footer="0" w:header="0"/>
          <w:type w:val="continuous"/>
        </w:sectPr>
      </w:pPr>
    </w:p>
    <w:bookmarkStart w:id="102" w:name="page103"/>
    <w:bookmarkEnd w:id="102"/>
    <w:p>
      <w:pPr>
        <w:ind w:left="9340"/>
        <w:spacing w:after="0"/>
        <w:rPr>
          <w:sz w:val="20"/>
          <w:szCs w:val="20"/>
          <w:color w:val="auto"/>
        </w:rPr>
      </w:pPr>
      <w:r>
        <w:rPr>
          <w:rFonts w:ascii="Times New Roman" w:cs="Times New Roman" w:eastAsia="Times New Roman" w:hAnsi="Times New Roman"/>
          <w:sz w:val="20"/>
          <w:szCs w:val="20"/>
          <w:b w:val="1"/>
          <w:bCs w:val="1"/>
          <w:color w:val="1E1E1E"/>
        </w:rPr>
        <w:t>Schedule 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Genesco Inc.</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and Subsidiaries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Valuation and Qualifying Accounts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Year Ended January 31, 2026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27"/>
        </w:trPr>
        <w:tc>
          <w:tcPr>
            <w:tcW w:w="20" w:type="dxa"/>
            <w:vAlign w:val="bottom"/>
          </w:tcPr>
          <w:p>
            <w:pPr>
              <w:spacing w:after="0"/>
              <w:rPr>
                <w:sz w:val="24"/>
                <w:szCs w:val="24"/>
                <w:color w:val="auto"/>
              </w:rPr>
            </w:pPr>
          </w:p>
        </w:tc>
        <w:tc>
          <w:tcPr>
            <w:tcW w:w="2540" w:type="dxa"/>
            <w:vAlign w:val="bottom"/>
            <w:tcBorders>
              <w:top w:val="single" w:sz="8" w:color="1E1E1E"/>
            </w:tcBorders>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Charged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Beginning</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to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Ending</w:t>
            </w:r>
          </w:p>
        </w:tc>
      </w:tr>
      <w:tr>
        <w:trPr>
          <w:trHeight w:val="255"/>
        </w:trPr>
        <w:tc>
          <w:tcPr>
            <w:tcW w:w="20" w:type="dxa"/>
            <w:vAlign w:val="bottom"/>
          </w:tcPr>
          <w:p>
            <w:pPr>
              <w:spacing w:after="0"/>
              <w:rPr>
                <w:sz w:val="22"/>
                <w:szCs w:val="22"/>
                <w:color w:val="auto"/>
              </w:rPr>
            </w:pPr>
          </w:p>
        </w:tc>
        <w:tc>
          <w:tcPr>
            <w:tcW w:w="514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20" w:type="dxa"/>
            <w:vAlign w:val="bottom"/>
            <w:tcBorders>
              <w:bottom w:val="single" w:sz="8" w:color="1E1E1E"/>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Balance</w:t>
            </w:r>
          </w:p>
        </w:tc>
        <w:tc>
          <w:tcPr>
            <w:tcW w:w="300" w:type="dxa"/>
            <w:vAlign w:val="bottom"/>
            <w:tcBorders>
              <w:bottom w:val="single" w:sz="8" w:color="1E1E1E"/>
            </w:tcBorders>
          </w:tcPr>
          <w:p>
            <w:pPr>
              <w:spacing w:after="0"/>
              <w:rPr>
                <w:sz w:val="22"/>
                <w:szCs w:val="22"/>
                <w:color w:val="auto"/>
              </w:rPr>
            </w:pPr>
          </w:p>
        </w:tc>
        <w:tc>
          <w:tcPr>
            <w:tcW w:w="98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and Loss</w:t>
            </w:r>
          </w:p>
        </w:tc>
        <w:tc>
          <w:tcPr>
            <w:tcW w:w="22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ind w:left="20"/>
              <w:spacing w:after="0"/>
              <w:rPr>
                <w:sz w:val="20"/>
                <w:szCs w:val="20"/>
                <w:color w:val="auto"/>
              </w:rPr>
            </w:pPr>
            <w:r>
              <w:rPr>
                <w:rFonts w:ascii="Times New Roman" w:cs="Times New Roman" w:eastAsia="Times New Roman" w:hAnsi="Times New Roman"/>
                <w:sz w:val="20"/>
                <w:szCs w:val="20"/>
                <w:b w:val="1"/>
                <w:bCs w:val="1"/>
                <w:color w:val="1E1E1E"/>
              </w:rPr>
              <w:t>Reductions</w:t>
            </w:r>
          </w:p>
        </w:tc>
        <w:tc>
          <w:tcPr>
            <w:tcW w:w="320" w:type="dxa"/>
            <w:vAlign w:val="bottom"/>
            <w:tcBorders>
              <w:bottom w:val="single" w:sz="8" w:color="1E1E1E"/>
            </w:tcBorders>
          </w:tcPr>
          <w:p>
            <w:pPr>
              <w:spacing w:after="0"/>
              <w:rPr>
                <w:sz w:val="22"/>
                <w:szCs w:val="22"/>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Balance</w:t>
            </w:r>
          </w:p>
        </w:tc>
      </w:tr>
      <w:tr>
        <w:trPr>
          <w:trHeight w:val="220"/>
        </w:trPr>
        <w:tc>
          <w:tcPr>
            <w:tcW w:w="20" w:type="dxa"/>
            <w:vAlign w:val="bottom"/>
          </w:tcPr>
          <w:p>
            <w:pPr>
              <w:spacing w:after="0"/>
              <w:rPr>
                <w:sz w:val="19"/>
                <w:szCs w:val="19"/>
                <w:color w:val="auto"/>
              </w:rPr>
            </w:pPr>
          </w:p>
        </w:tc>
        <w:tc>
          <w:tcPr>
            <w:tcW w:w="5140" w:type="dxa"/>
            <w:vAlign w:val="bottom"/>
            <w:gridSpan w:val="2"/>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Allowances deducted from assets in the balance sheet:</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4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b w:val="1"/>
                <w:bCs w:val="1"/>
                <w:color w:val="1E1E1E"/>
              </w:rPr>
              <w:t>Accounts Receivable Allowances</w:t>
            </w:r>
          </w:p>
        </w:tc>
        <w:tc>
          <w:tcPr>
            <w:tcW w:w="26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020" w:type="dxa"/>
            <w:vAlign w:val="bottom"/>
            <w:tcBorders>
              <w:bottom w:val="single" w:sz="8" w:color="1E1E1E"/>
            </w:tcBorders>
          </w:tcPr>
          <w:p>
            <w:pPr>
              <w:jc w:val="right"/>
              <w:ind w:right="19"/>
              <w:spacing w:after="0"/>
              <w:rPr>
                <w:sz w:val="20"/>
                <w:szCs w:val="20"/>
                <w:color w:val="auto"/>
              </w:rPr>
            </w:pPr>
            <w:r>
              <w:rPr>
                <w:rFonts w:ascii="Times New Roman" w:cs="Times New Roman" w:eastAsia="Times New Roman" w:hAnsi="Times New Roman"/>
                <w:sz w:val="20"/>
                <w:szCs w:val="20"/>
                <w:b w:val="1"/>
                <w:bCs w:val="1"/>
                <w:color w:val="1E1E1E"/>
              </w:rPr>
              <w:t>2,522</w:t>
            </w:r>
          </w:p>
        </w:tc>
        <w:tc>
          <w:tcPr>
            <w:tcW w:w="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98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67</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(212)</w:t>
            </w:r>
          </w:p>
        </w:tc>
        <w:tc>
          <w:tcPr>
            <w:tcW w:w="32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b w:val="1"/>
                <w:bCs w:val="1"/>
                <w:color w:val="1E1E1E"/>
              </w:rPr>
              <w:t>$</w:t>
            </w: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2,377</w:t>
            </w:r>
          </w:p>
        </w:tc>
      </w:tr>
      <w:tr>
        <w:trPr>
          <w:trHeight w:val="20"/>
        </w:trPr>
        <w:tc>
          <w:tcPr>
            <w:tcW w:w="20" w:type="dxa"/>
            <w:vAlign w:val="bottom"/>
          </w:tcPr>
          <w:p>
            <w:pPr>
              <w:spacing w:after="0" w:line="20" w:lineRule="exact"/>
              <w:rPr>
                <w:sz w:val="1"/>
                <w:szCs w:val="1"/>
                <w:color w:val="auto"/>
              </w:rPr>
            </w:pPr>
          </w:p>
        </w:tc>
        <w:tc>
          <w:tcPr>
            <w:tcW w:w="2540" w:type="dxa"/>
            <w:vAlign w:val="bottom"/>
            <w:tcBorders>
              <w:bottom w:val="single" w:sz="8" w:color="1E1E1E"/>
            </w:tcBorders>
          </w:tcPr>
          <w:p>
            <w:pPr>
              <w:spacing w:after="0" w:line="20" w:lineRule="exact"/>
              <w:rPr>
                <w:sz w:val="1"/>
                <w:szCs w:val="1"/>
                <w:color w:val="auto"/>
              </w:rPr>
            </w:pPr>
          </w:p>
        </w:tc>
        <w:tc>
          <w:tcPr>
            <w:tcW w:w="26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r>
      <w:tr>
        <w:trPr>
          <w:trHeight w:val="214"/>
        </w:trPr>
        <w:tc>
          <w:tcPr>
            <w:tcW w:w="20" w:type="dxa"/>
            <w:vAlign w:val="bottom"/>
            <w:tcBorders>
              <w:bottom w:val="single" w:sz="8" w:color="1E1E1E"/>
            </w:tcBorders>
          </w:tcPr>
          <w:p>
            <w:pPr>
              <w:spacing w:after="0"/>
              <w:rPr>
                <w:sz w:val="18"/>
                <w:szCs w:val="18"/>
                <w:color w:val="auto"/>
              </w:rPr>
            </w:pPr>
          </w:p>
        </w:tc>
        <w:tc>
          <w:tcPr>
            <w:tcW w:w="5140" w:type="dxa"/>
            <w:vAlign w:val="bottom"/>
            <w:tcBorders>
              <w:bottom w:val="single" w:sz="8" w:color="1E1E1E"/>
            </w:tcBorders>
            <w:gridSpan w:val="2"/>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 xml:space="preserve">Markdown Allowance </w:t>
            </w:r>
            <w:r>
              <w:rPr>
                <w:rFonts w:ascii="Times New Roman" w:cs="Times New Roman" w:eastAsia="Times New Roman" w:hAnsi="Times New Roman"/>
                <w:sz w:val="24"/>
                <w:szCs w:val="24"/>
                <w:b w:val="1"/>
                <w:bCs w:val="1"/>
                <w:color w:val="1E1E1E"/>
                <w:vertAlign w:val="superscript"/>
              </w:rPr>
              <w:t>(1)</w:t>
            </w:r>
          </w:p>
        </w:tc>
        <w:tc>
          <w:tcPr>
            <w:tcW w:w="260" w:type="dxa"/>
            <w:vAlign w:val="bottom"/>
            <w:tcBorders>
              <w:bottom w:val="single" w:sz="8" w:color="1E1E1E"/>
            </w:tcBorders>
            <w:gridSpan w:val="2"/>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1E1E1E"/>
              </w:rPr>
              <w:t>$</w:t>
            </w:r>
          </w:p>
        </w:tc>
        <w:tc>
          <w:tcPr>
            <w:tcW w:w="1020" w:type="dxa"/>
            <w:vAlign w:val="bottom"/>
            <w:tcBorders>
              <w:bottom w:val="single" w:sz="8" w:color="1E1E1E"/>
            </w:tcBorders>
            <w:shd w:val="clear" w:color="auto" w:fill="E4E4E4"/>
          </w:tcPr>
          <w:p>
            <w:pPr>
              <w:jc w:val="right"/>
              <w:ind w:right="19"/>
              <w:spacing w:after="0" w:line="213" w:lineRule="exact"/>
              <w:rPr>
                <w:sz w:val="20"/>
                <w:szCs w:val="20"/>
                <w:color w:val="auto"/>
              </w:rPr>
            </w:pPr>
            <w:r>
              <w:rPr>
                <w:rFonts w:ascii="Times New Roman" w:cs="Times New Roman" w:eastAsia="Times New Roman" w:hAnsi="Times New Roman"/>
                <w:sz w:val="20"/>
                <w:szCs w:val="20"/>
                <w:b w:val="1"/>
                <w:bCs w:val="1"/>
                <w:color w:val="1E1E1E"/>
              </w:rPr>
              <w:t>7,678</w:t>
            </w:r>
          </w:p>
        </w:tc>
        <w:tc>
          <w:tcPr>
            <w:tcW w:w="3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1E1E1E"/>
              </w:rPr>
              <w:t>$</w:t>
            </w:r>
          </w:p>
        </w:tc>
        <w:tc>
          <w:tcPr>
            <w:tcW w:w="980" w:type="dxa"/>
            <w:vAlign w:val="bottom"/>
            <w:tcBorders>
              <w:bottom w:val="single" w:sz="8" w:color="1E1E1E"/>
            </w:tcBorders>
            <w:shd w:val="clear" w:color="auto" w:fill="E4E4E4"/>
          </w:tcPr>
          <w:p>
            <w:pPr>
              <w:jc w:val="right"/>
              <w:ind w:right="39"/>
              <w:spacing w:after="0" w:line="213" w:lineRule="exact"/>
              <w:rPr>
                <w:sz w:val="20"/>
                <w:szCs w:val="20"/>
                <w:color w:val="auto"/>
              </w:rPr>
            </w:pPr>
            <w:r>
              <w:rPr>
                <w:rFonts w:ascii="Times New Roman" w:cs="Times New Roman" w:eastAsia="Times New Roman" w:hAnsi="Times New Roman"/>
                <w:sz w:val="20"/>
                <w:szCs w:val="20"/>
                <w:b w:val="1"/>
                <w:bCs w:val="1"/>
                <w:color w:val="1E1E1E"/>
              </w:rPr>
              <w:t>1,500</w:t>
            </w:r>
          </w:p>
        </w:tc>
        <w:tc>
          <w:tcPr>
            <w:tcW w:w="22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1E1E1E"/>
              </w:rPr>
              <w:t>$</w:t>
            </w:r>
          </w:p>
        </w:tc>
        <w:tc>
          <w:tcPr>
            <w:tcW w:w="11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1E1E1E"/>
              </w:rPr>
              <w:t>(1,428)</w:t>
            </w:r>
          </w:p>
        </w:tc>
        <w:tc>
          <w:tcPr>
            <w:tcW w:w="320" w:type="dxa"/>
            <w:vAlign w:val="bottom"/>
            <w:tcBorders>
              <w:bottom w:val="single" w:sz="8" w:color="1E1E1E"/>
            </w:tcBorders>
            <w:shd w:val="clear" w:color="auto" w:fill="E4E4E4"/>
          </w:tcPr>
          <w:p>
            <w:pPr>
              <w:jc w:val="right"/>
              <w:ind w:right="39"/>
              <w:spacing w:after="0" w:line="213" w:lineRule="exact"/>
              <w:rPr>
                <w:sz w:val="20"/>
                <w:szCs w:val="20"/>
                <w:color w:val="auto"/>
              </w:rPr>
            </w:pPr>
            <w:r>
              <w:rPr>
                <w:rFonts w:ascii="Times New Roman" w:cs="Times New Roman" w:eastAsia="Times New Roman" w:hAnsi="Times New Roman"/>
                <w:sz w:val="20"/>
                <w:szCs w:val="20"/>
                <w:b w:val="1"/>
                <w:bCs w:val="1"/>
                <w:color w:val="1E1E1E"/>
              </w:rPr>
              <w:t>$</w:t>
            </w:r>
          </w:p>
        </w:tc>
        <w:tc>
          <w:tcPr>
            <w:tcW w:w="9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b w:val="1"/>
                <w:bCs w:val="1"/>
                <w:color w:val="1E1E1E"/>
              </w:rPr>
              <w:t>7,750</w:t>
            </w: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2540" w:type="dxa"/>
            <w:vAlign w:val="bottom"/>
            <w:tcBorders>
              <w:bottom w:val="single" w:sz="8" w:color="1E1E1E"/>
            </w:tcBorders>
          </w:tcPr>
          <w:p>
            <w:pPr>
              <w:spacing w:after="0" w:line="20" w:lineRule="exact"/>
              <w:rPr>
                <w:sz w:val="1"/>
                <w:szCs w:val="1"/>
                <w:color w:val="auto"/>
              </w:rPr>
            </w:pPr>
          </w:p>
        </w:tc>
        <w:tc>
          <w:tcPr>
            <w:tcW w:w="26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Year Ended February 1, 2025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2540" w:type="dxa"/>
            <w:vAlign w:val="bottom"/>
            <w:tcBorders>
              <w:top w:val="single" w:sz="8" w:color="1E1E1E"/>
            </w:tcBorders>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Charged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Beginning</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to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Ending</w:t>
            </w:r>
          </w:p>
        </w:tc>
      </w:tr>
      <w:tr>
        <w:trPr>
          <w:trHeight w:val="255"/>
        </w:trPr>
        <w:tc>
          <w:tcPr>
            <w:tcW w:w="20" w:type="dxa"/>
            <w:vAlign w:val="bottom"/>
          </w:tcPr>
          <w:p>
            <w:pPr>
              <w:spacing w:after="0"/>
              <w:rPr>
                <w:sz w:val="22"/>
                <w:szCs w:val="22"/>
                <w:color w:val="auto"/>
              </w:rPr>
            </w:pPr>
          </w:p>
        </w:tc>
        <w:tc>
          <w:tcPr>
            <w:tcW w:w="514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20" w:type="dxa"/>
            <w:vAlign w:val="bottom"/>
            <w:tcBorders>
              <w:bottom w:val="single" w:sz="8" w:color="1E1E1E"/>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Balance</w:t>
            </w:r>
          </w:p>
        </w:tc>
        <w:tc>
          <w:tcPr>
            <w:tcW w:w="300" w:type="dxa"/>
            <w:vAlign w:val="bottom"/>
            <w:tcBorders>
              <w:bottom w:val="single" w:sz="8" w:color="1E1E1E"/>
            </w:tcBorders>
          </w:tcPr>
          <w:p>
            <w:pPr>
              <w:spacing w:after="0"/>
              <w:rPr>
                <w:sz w:val="22"/>
                <w:szCs w:val="22"/>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and Loss</w:t>
            </w:r>
          </w:p>
        </w:tc>
        <w:tc>
          <w:tcPr>
            <w:tcW w:w="1320" w:type="dxa"/>
            <w:vAlign w:val="bottom"/>
            <w:tcBorders>
              <w:bottom w:val="single" w:sz="8" w:color="1E1E1E"/>
            </w:tcBorders>
            <w:gridSpan w:val="2"/>
          </w:tcPr>
          <w:p>
            <w:pPr>
              <w:ind w:left="220"/>
              <w:spacing w:after="0"/>
              <w:rPr>
                <w:sz w:val="20"/>
                <w:szCs w:val="20"/>
                <w:color w:val="auto"/>
              </w:rPr>
            </w:pPr>
            <w:r>
              <w:rPr>
                <w:rFonts w:ascii="Times New Roman" w:cs="Times New Roman" w:eastAsia="Times New Roman" w:hAnsi="Times New Roman"/>
                <w:sz w:val="20"/>
                <w:szCs w:val="20"/>
                <w:b w:val="1"/>
                <w:bCs w:val="1"/>
                <w:color w:val="1E1E1E"/>
              </w:rPr>
              <w:t>Reductions</w:t>
            </w:r>
          </w:p>
        </w:tc>
        <w:tc>
          <w:tcPr>
            <w:tcW w:w="320" w:type="dxa"/>
            <w:vAlign w:val="bottom"/>
            <w:tcBorders>
              <w:bottom w:val="single" w:sz="8" w:color="1E1E1E"/>
            </w:tcBorders>
          </w:tcPr>
          <w:p>
            <w:pPr>
              <w:spacing w:after="0"/>
              <w:rPr>
                <w:sz w:val="22"/>
                <w:szCs w:val="22"/>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Balance</w:t>
            </w:r>
          </w:p>
        </w:tc>
      </w:tr>
      <w:tr>
        <w:trPr>
          <w:trHeight w:val="220"/>
        </w:trPr>
        <w:tc>
          <w:tcPr>
            <w:tcW w:w="20" w:type="dxa"/>
            <w:vAlign w:val="bottom"/>
          </w:tcPr>
          <w:p>
            <w:pPr>
              <w:spacing w:after="0"/>
              <w:rPr>
                <w:sz w:val="19"/>
                <w:szCs w:val="19"/>
                <w:color w:val="auto"/>
              </w:rPr>
            </w:pPr>
          </w:p>
        </w:tc>
        <w:tc>
          <w:tcPr>
            <w:tcW w:w="5140" w:type="dxa"/>
            <w:vAlign w:val="bottom"/>
            <w:gridSpan w:val="2"/>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Allowances deducted from assets in the balance sheet:</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4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Accounts Receivable Allowances</w:t>
            </w:r>
          </w:p>
        </w:tc>
        <w:tc>
          <w:tcPr>
            <w:tcW w:w="20" w:type="dxa"/>
            <w:vAlign w:val="bottom"/>
            <w:tcBorders>
              <w:bottom w:val="single" w:sz="8" w:color="1E1E1E"/>
            </w:tcBorders>
          </w:tcPr>
          <w:p>
            <w:pPr>
              <w:spacing w:after="0"/>
              <w:rPr>
                <w:sz w:val="20"/>
                <w:szCs w:val="20"/>
                <w:color w:val="auto"/>
              </w:rPr>
            </w:pP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4,266</w:t>
            </w:r>
          </w:p>
        </w:tc>
        <w:tc>
          <w:tcPr>
            <w:tcW w:w="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124</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(1,868)</w:t>
            </w:r>
          </w:p>
        </w:tc>
        <w:tc>
          <w:tcPr>
            <w:tcW w:w="32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2,522</w:t>
            </w:r>
          </w:p>
        </w:tc>
      </w:tr>
      <w:tr>
        <w:trPr>
          <w:trHeight w:val="20"/>
        </w:trPr>
        <w:tc>
          <w:tcPr>
            <w:tcW w:w="20" w:type="dxa"/>
            <w:vAlign w:val="bottom"/>
          </w:tcPr>
          <w:p>
            <w:pPr>
              <w:spacing w:after="0" w:line="20" w:lineRule="exact"/>
              <w:rPr>
                <w:sz w:val="1"/>
                <w:szCs w:val="1"/>
                <w:color w:val="auto"/>
              </w:rPr>
            </w:pPr>
          </w:p>
        </w:tc>
        <w:tc>
          <w:tcPr>
            <w:tcW w:w="2540" w:type="dxa"/>
            <w:vAlign w:val="bottom"/>
            <w:tcBorders>
              <w:bottom w:val="single" w:sz="8" w:color="1E1E1E"/>
            </w:tcBorders>
          </w:tcPr>
          <w:p>
            <w:pPr>
              <w:spacing w:after="0" w:line="20" w:lineRule="exact"/>
              <w:rPr>
                <w:sz w:val="1"/>
                <w:szCs w:val="1"/>
                <w:color w:val="auto"/>
              </w:rPr>
            </w:pPr>
          </w:p>
        </w:tc>
        <w:tc>
          <w:tcPr>
            <w:tcW w:w="26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r>
      <w:tr>
        <w:trPr>
          <w:trHeight w:val="214"/>
        </w:trPr>
        <w:tc>
          <w:tcPr>
            <w:tcW w:w="20" w:type="dxa"/>
            <w:vAlign w:val="bottom"/>
            <w:tcBorders>
              <w:bottom w:val="single" w:sz="8" w:color="1E1E1E"/>
            </w:tcBorders>
          </w:tcPr>
          <w:p>
            <w:pPr>
              <w:spacing w:after="0"/>
              <w:rPr>
                <w:sz w:val="18"/>
                <w:szCs w:val="18"/>
                <w:color w:val="auto"/>
              </w:rPr>
            </w:pPr>
          </w:p>
        </w:tc>
        <w:tc>
          <w:tcPr>
            <w:tcW w:w="5140" w:type="dxa"/>
            <w:vAlign w:val="bottom"/>
            <w:tcBorders>
              <w:bottom w:val="single" w:sz="8" w:color="1E1E1E"/>
            </w:tcBorders>
            <w:gridSpan w:val="2"/>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 xml:space="preserve">Markdown Allowance </w:t>
            </w:r>
            <w:r>
              <w:rPr>
                <w:rFonts w:ascii="Times New Roman" w:cs="Times New Roman" w:eastAsia="Times New Roman" w:hAnsi="Times New Roman"/>
                <w:sz w:val="24"/>
                <w:szCs w:val="24"/>
                <w:color w:val="1E1E1E"/>
                <w:vertAlign w:val="superscript"/>
              </w:rPr>
              <w:t>(1)</w:t>
            </w:r>
          </w:p>
        </w:tc>
        <w:tc>
          <w:tcPr>
            <w:tcW w:w="20" w:type="dxa"/>
            <w:vAlign w:val="bottom"/>
            <w:tcBorders>
              <w:bottom w:val="single" w:sz="8" w:color="1E1E1E"/>
            </w:tcBorders>
            <w:shd w:val="clear" w:color="auto" w:fill="E4E4E4"/>
          </w:tcPr>
          <w:p>
            <w:pPr>
              <w:spacing w:after="0"/>
              <w:rPr>
                <w:sz w:val="18"/>
                <w:szCs w:val="18"/>
                <w:color w:val="auto"/>
              </w:rPr>
            </w:pPr>
          </w:p>
        </w:tc>
        <w:tc>
          <w:tcPr>
            <w:tcW w:w="24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color w:val="1E1E1E"/>
              </w:rPr>
              <w:t>6,229</w:t>
            </w:r>
          </w:p>
        </w:tc>
        <w:tc>
          <w:tcPr>
            <w:tcW w:w="3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color w:val="1E1E1E"/>
              </w:rPr>
              <w:t>$</w:t>
            </w:r>
          </w:p>
        </w:tc>
        <w:tc>
          <w:tcPr>
            <w:tcW w:w="98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color w:val="1E1E1E"/>
              </w:rPr>
              <w:t>2,945</w:t>
            </w:r>
          </w:p>
        </w:tc>
        <w:tc>
          <w:tcPr>
            <w:tcW w:w="22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color w:val="1E1E1E"/>
              </w:rPr>
              <w:t>(1,496)</w:t>
            </w:r>
          </w:p>
        </w:tc>
        <w:tc>
          <w:tcPr>
            <w:tcW w:w="320" w:type="dxa"/>
            <w:vAlign w:val="bottom"/>
            <w:tcBorders>
              <w:bottom w:val="single" w:sz="8" w:color="1E1E1E"/>
            </w:tcBorders>
            <w:shd w:val="clear" w:color="auto" w:fill="E4E4E4"/>
          </w:tcPr>
          <w:p>
            <w:pPr>
              <w:jc w:val="right"/>
              <w:ind w:right="39"/>
              <w:spacing w:after="0" w:line="213" w:lineRule="exact"/>
              <w:rPr>
                <w:sz w:val="20"/>
                <w:szCs w:val="20"/>
                <w:color w:val="auto"/>
              </w:rPr>
            </w:pPr>
            <w:r>
              <w:rPr>
                <w:rFonts w:ascii="Times New Roman" w:cs="Times New Roman" w:eastAsia="Times New Roman" w:hAnsi="Times New Roman"/>
                <w:sz w:val="20"/>
                <w:szCs w:val="20"/>
                <w:color w:val="1E1E1E"/>
              </w:rPr>
              <w:t>$</w:t>
            </w:r>
          </w:p>
        </w:tc>
        <w:tc>
          <w:tcPr>
            <w:tcW w:w="9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20"/>
                <w:szCs w:val="20"/>
                <w:color w:val="1E1E1E"/>
              </w:rPr>
              <w:t>7,678</w:t>
            </w: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2540" w:type="dxa"/>
            <w:vAlign w:val="bottom"/>
            <w:tcBorders>
              <w:bottom w:val="single" w:sz="8" w:color="1E1E1E"/>
            </w:tcBorders>
          </w:tcPr>
          <w:p>
            <w:pPr>
              <w:spacing w:after="0" w:line="20" w:lineRule="exact"/>
              <w:rPr>
                <w:sz w:val="1"/>
                <w:szCs w:val="1"/>
                <w:color w:val="auto"/>
              </w:rPr>
            </w:pPr>
          </w:p>
        </w:tc>
        <w:tc>
          <w:tcPr>
            <w:tcW w:w="26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Year Ended February 3,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2540" w:type="dxa"/>
            <w:vAlign w:val="bottom"/>
            <w:tcBorders>
              <w:top w:val="single" w:sz="8" w:color="1E1E1E"/>
            </w:tcBorders>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Charged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1E1E1E"/>
              </w:rPr>
              <w:t>Beginning</w:t>
            </w:r>
          </w:p>
        </w:tc>
        <w:tc>
          <w:tcPr>
            <w:tcW w:w="300" w:type="dxa"/>
            <w:vAlign w:val="bottom"/>
          </w:tcPr>
          <w:p>
            <w:pPr>
              <w:spacing w:after="0"/>
              <w:rPr>
                <w:sz w:val="19"/>
                <w:szCs w:val="19"/>
                <w:color w:val="auto"/>
              </w:rPr>
            </w:pPr>
          </w:p>
        </w:tc>
        <w:tc>
          <w:tcPr>
            <w:tcW w:w="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1E1E1E"/>
              </w:rPr>
              <w:t>to Profit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1E1E1E"/>
              </w:rPr>
              <w:t>Ending</w:t>
            </w:r>
          </w:p>
        </w:tc>
      </w:tr>
      <w:tr>
        <w:trPr>
          <w:trHeight w:val="255"/>
        </w:trPr>
        <w:tc>
          <w:tcPr>
            <w:tcW w:w="20" w:type="dxa"/>
            <w:vAlign w:val="bottom"/>
          </w:tcPr>
          <w:p>
            <w:pPr>
              <w:spacing w:after="0"/>
              <w:rPr>
                <w:sz w:val="22"/>
                <w:szCs w:val="22"/>
                <w:color w:val="auto"/>
              </w:rPr>
            </w:pPr>
          </w:p>
        </w:tc>
        <w:tc>
          <w:tcPr>
            <w:tcW w:w="514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(In thousands)</w:t>
            </w:r>
          </w:p>
        </w:tc>
        <w:tc>
          <w:tcPr>
            <w:tcW w:w="20" w:type="dxa"/>
            <w:vAlign w:val="bottom"/>
            <w:tcBorders>
              <w:bottom w:val="single" w:sz="8" w:color="1E1E1E"/>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Balance</w:t>
            </w:r>
          </w:p>
        </w:tc>
        <w:tc>
          <w:tcPr>
            <w:tcW w:w="300" w:type="dxa"/>
            <w:vAlign w:val="bottom"/>
            <w:tcBorders>
              <w:bottom w:val="single" w:sz="8" w:color="1E1E1E"/>
            </w:tcBorders>
          </w:tcPr>
          <w:p>
            <w:pPr>
              <w:spacing w:after="0"/>
              <w:rPr>
                <w:sz w:val="22"/>
                <w:szCs w:val="22"/>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and Loss</w:t>
            </w:r>
          </w:p>
        </w:tc>
        <w:tc>
          <w:tcPr>
            <w:tcW w:w="1320" w:type="dxa"/>
            <w:vAlign w:val="bottom"/>
            <w:tcBorders>
              <w:bottom w:val="single" w:sz="8" w:color="1E1E1E"/>
            </w:tcBorders>
            <w:gridSpan w:val="2"/>
          </w:tcPr>
          <w:p>
            <w:pPr>
              <w:ind w:left="220"/>
              <w:spacing w:after="0"/>
              <w:rPr>
                <w:sz w:val="20"/>
                <w:szCs w:val="20"/>
                <w:color w:val="auto"/>
              </w:rPr>
            </w:pPr>
            <w:r>
              <w:rPr>
                <w:rFonts w:ascii="Times New Roman" w:cs="Times New Roman" w:eastAsia="Times New Roman" w:hAnsi="Times New Roman"/>
                <w:sz w:val="20"/>
                <w:szCs w:val="20"/>
                <w:b w:val="1"/>
                <w:bCs w:val="1"/>
                <w:color w:val="1E1E1E"/>
              </w:rPr>
              <w:t>Reductions</w:t>
            </w:r>
          </w:p>
        </w:tc>
        <w:tc>
          <w:tcPr>
            <w:tcW w:w="320" w:type="dxa"/>
            <w:vAlign w:val="bottom"/>
            <w:tcBorders>
              <w:bottom w:val="single" w:sz="8" w:color="1E1E1E"/>
            </w:tcBorders>
          </w:tcPr>
          <w:p>
            <w:pPr>
              <w:spacing w:after="0"/>
              <w:rPr>
                <w:sz w:val="22"/>
                <w:szCs w:val="22"/>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Balance</w:t>
            </w:r>
          </w:p>
        </w:tc>
      </w:tr>
      <w:tr>
        <w:trPr>
          <w:trHeight w:val="220"/>
        </w:trPr>
        <w:tc>
          <w:tcPr>
            <w:tcW w:w="20" w:type="dxa"/>
            <w:vAlign w:val="bottom"/>
          </w:tcPr>
          <w:p>
            <w:pPr>
              <w:spacing w:after="0"/>
              <w:rPr>
                <w:sz w:val="19"/>
                <w:szCs w:val="19"/>
                <w:color w:val="auto"/>
              </w:rPr>
            </w:pPr>
          </w:p>
        </w:tc>
        <w:tc>
          <w:tcPr>
            <w:tcW w:w="5140" w:type="dxa"/>
            <w:vAlign w:val="bottom"/>
            <w:gridSpan w:val="2"/>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Allowances deducted from assets in the balance sheet:</w:t>
            </w: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4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Accounts Receivable Allowances</w:t>
            </w:r>
          </w:p>
        </w:tc>
        <w:tc>
          <w:tcPr>
            <w:tcW w:w="20" w:type="dxa"/>
            <w:vAlign w:val="bottom"/>
            <w:tcBorders>
              <w:bottom w:val="single" w:sz="8" w:color="1E1E1E"/>
            </w:tcBorders>
          </w:tcPr>
          <w:p>
            <w:pPr>
              <w:spacing w:after="0"/>
              <w:rPr>
                <w:sz w:val="20"/>
                <w:szCs w:val="20"/>
                <w:color w:val="auto"/>
              </w:rPr>
            </w:pP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3,710</w:t>
            </w:r>
          </w:p>
        </w:tc>
        <w:tc>
          <w:tcPr>
            <w:tcW w:w="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662</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(106)</w:t>
            </w:r>
          </w:p>
        </w:tc>
        <w:tc>
          <w:tcPr>
            <w:tcW w:w="320" w:type="dxa"/>
            <w:vAlign w:val="bottom"/>
            <w:tcBorders>
              <w:bottom w:val="single" w:sz="8" w:color="1E1E1E"/>
            </w:tcBorders>
          </w:tcPr>
          <w:p>
            <w:pPr>
              <w:jc w:val="right"/>
              <w:ind w:right="39"/>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4,266</w:t>
            </w:r>
          </w:p>
        </w:tc>
      </w:tr>
      <w:tr>
        <w:trPr>
          <w:trHeight w:val="20"/>
        </w:trPr>
        <w:tc>
          <w:tcPr>
            <w:tcW w:w="20" w:type="dxa"/>
            <w:vAlign w:val="bottom"/>
          </w:tcPr>
          <w:p>
            <w:pPr>
              <w:spacing w:after="0" w:line="20" w:lineRule="exact"/>
              <w:rPr>
                <w:sz w:val="1"/>
                <w:szCs w:val="1"/>
                <w:color w:val="auto"/>
              </w:rPr>
            </w:pPr>
          </w:p>
        </w:tc>
        <w:tc>
          <w:tcPr>
            <w:tcW w:w="2540" w:type="dxa"/>
            <w:vAlign w:val="bottom"/>
            <w:tcBorders>
              <w:bottom w:val="single" w:sz="8" w:color="1E1E1E"/>
            </w:tcBorders>
          </w:tcPr>
          <w:p>
            <w:pPr>
              <w:spacing w:after="0" w:line="20" w:lineRule="exact"/>
              <w:rPr>
                <w:sz w:val="1"/>
                <w:szCs w:val="1"/>
                <w:color w:val="auto"/>
              </w:rPr>
            </w:pPr>
          </w:p>
        </w:tc>
        <w:tc>
          <w:tcPr>
            <w:tcW w:w="26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r>
      <w:tr>
        <w:trPr>
          <w:trHeight w:val="218"/>
        </w:trPr>
        <w:tc>
          <w:tcPr>
            <w:tcW w:w="20" w:type="dxa"/>
            <w:vAlign w:val="bottom"/>
            <w:tcBorders>
              <w:bottom w:val="single" w:sz="8" w:color="1E1E1E"/>
            </w:tcBorders>
          </w:tcPr>
          <w:p>
            <w:pPr>
              <w:spacing w:after="0"/>
              <w:rPr>
                <w:sz w:val="18"/>
                <w:szCs w:val="18"/>
                <w:color w:val="auto"/>
              </w:rPr>
            </w:pPr>
          </w:p>
        </w:tc>
        <w:tc>
          <w:tcPr>
            <w:tcW w:w="5140" w:type="dxa"/>
            <w:vAlign w:val="bottom"/>
            <w:tcBorders>
              <w:bottom w:val="single" w:sz="8" w:color="1E1E1E"/>
            </w:tcBorders>
            <w:gridSpan w:val="2"/>
            <w:shd w:val="clear" w:color="auto" w:fill="E4E4E4"/>
          </w:tcPr>
          <w:p>
            <w:pPr>
              <w:spacing w:after="0" w:line="219" w:lineRule="exact"/>
              <w:rPr>
                <w:sz w:val="20"/>
                <w:szCs w:val="20"/>
                <w:color w:val="auto"/>
              </w:rPr>
            </w:pPr>
            <w:r>
              <w:rPr>
                <w:rFonts w:ascii="Times New Roman" w:cs="Times New Roman" w:eastAsia="Times New Roman" w:hAnsi="Times New Roman"/>
                <w:sz w:val="20"/>
                <w:szCs w:val="20"/>
                <w:color w:val="1E1E1E"/>
              </w:rPr>
              <w:t xml:space="preserve">Markdown Allowance </w:t>
            </w:r>
            <w:r>
              <w:rPr>
                <w:rFonts w:ascii="Times New Roman" w:cs="Times New Roman" w:eastAsia="Times New Roman" w:hAnsi="Times New Roman"/>
                <w:sz w:val="25"/>
                <w:szCs w:val="25"/>
                <w:color w:val="1E1E1E"/>
                <w:vertAlign w:val="superscript"/>
              </w:rPr>
              <w:t>(1)</w:t>
            </w:r>
          </w:p>
        </w:tc>
        <w:tc>
          <w:tcPr>
            <w:tcW w:w="20" w:type="dxa"/>
            <w:vAlign w:val="bottom"/>
            <w:tcBorders>
              <w:bottom w:val="single" w:sz="8" w:color="1E1E1E"/>
            </w:tcBorders>
            <w:shd w:val="clear" w:color="auto" w:fill="E4E4E4"/>
          </w:tcPr>
          <w:p>
            <w:pPr>
              <w:spacing w:after="0"/>
              <w:rPr>
                <w:sz w:val="18"/>
                <w:szCs w:val="18"/>
                <w:color w:val="auto"/>
              </w:rPr>
            </w:pPr>
          </w:p>
        </w:tc>
        <w:tc>
          <w:tcPr>
            <w:tcW w:w="240" w:type="dxa"/>
            <w:vAlign w:val="bottom"/>
            <w:tcBorders>
              <w:bottom w:val="single" w:sz="8" w:color="1E1E1E"/>
            </w:tcBorders>
            <w:shd w:val="clear" w:color="auto" w:fill="E4E4E4"/>
          </w:tcPr>
          <w:p>
            <w:pPr>
              <w:jc w:val="right"/>
              <w:spacing w:after="0" w:line="218" w:lineRule="exact"/>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shd w:val="clear" w:color="auto" w:fill="E4E4E4"/>
          </w:tcPr>
          <w:p>
            <w:pPr>
              <w:jc w:val="right"/>
              <w:spacing w:after="0" w:line="218" w:lineRule="exact"/>
              <w:rPr>
                <w:sz w:val="20"/>
                <w:szCs w:val="20"/>
                <w:color w:val="auto"/>
              </w:rPr>
            </w:pPr>
            <w:r>
              <w:rPr>
                <w:rFonts w:ascii="Times New Roman" w:cs="Times New Roman" w:eastAsia="Times New Roman" w:hAnsi="Times New Roman"/>
                <w:sz w:val="20"/>
                <w:szCs w:val="20"/>
                <w:color w:val="1E1E1E"/>
              </w:rPr>
              <w:t>6,018</w:t>
            </w:r>
          </w:p>
        </w:tc>
        <w:tc>
          <w:tcPr>
            <w:tcW w:w="300" w:type="dxa"/>
            <w:vAlign w:val="bottom"/>
            <w:tcBorders>
              <w:bottom w:val="single" w:sz="8" w:color="1E1E1E"/>
            </w:tcBorders>
            <w:shd w:val="clear" w:color="auto" w:fill="E4E4E4"/>
          </w:tcPr>
          <w:p>
            <w:pPr>
              <w:jc w:val="right"/>
              <w:spacing w:after="0" w:line="218" w:lineRule="exact"/>
              <w:rPr>
                <w:sz w:val="20"/>
                <w:szCs w:val="20"/>
                <w:color w:val="auto"/>
              </w:rPr>
            </w:pPr>
            <w:r>
              <w:rPr>
                <w:rFonts w:ascii="Times New Roman" w:cs="Times New Roman" w:eastAsia="Times New Roman" w:hAnsi="Times New Roman"/>
                <w:sz w:val="20"/>
                <w:szCs w:val="20"/>
                <w:color w:val="1E1E1E"/>
              </w:rPr>
              <w:t>$</w:t>
            </w:r>
          </w:p>
        </w:tc>
        <w:tc>
          <w:tcPr>
            <w:tcW w:w="980" w:type="dxa"/>
            <w:vAlign w:val="bottom"/>
            <w:tcBorders>
              <w:bottom w:val="single" w:sz="8" w:color="1E1E1E"/>
            </w:tcBorders>
            <w:shd w:val="clear" w:color="auto" w:fill="E4E4E4"/>
          </w:tcPr>
          <w:p>
            <w:pPr>
              <w:jc w:val="right"/>
              <w:spacing w:after="0" w:line="218" w:lineRule="exact"/>
              <w:rPr>
                <w:sz w:val="20"/>
                <w:szCs w:val="20"/>
                <w:color w:val="auto"/>
              </w:rPr>
            </w:pPr>
            <w:r>
              <w:rPr>
                <w:rFonts w:ascii="Times New Roman" w:cs="Times New Roman" w:eastAsia="Times New Roman" w:hAnsi="Times New Roman"/>
                <w:sz w:val="20"/>
                <w:szCs w:val="20"/>
                <w:color w:val="1E1E1E"/>
              </w:rPr>
              <w:t>3,818</w:t>
            </w:r>
          </w:p>
        </w:tc>
        <w:tc>
          <w:tcPr>
            <w:tcW w:w="220" w:type="dxa"/>
            <w:vAlign w:val="bottom"/>
            <w:tcBorders>
              <w:bottom w:val="single" w:sz="8" w:color="1E1E1E"/>
            </w:tcBorders>
            <w:shd w:val="clear" w:color="auto" w:fill="E4E4E4"/>
          </w:tcPr>
          <w:p>
            <w:pPr>
              <w:jc w:val="right"/>
              <w:spacing w:after="0" w:line="218" w:lineRule="exact"/>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shd w:val="clear" w:color="auto" w:fill="E4E4E4"/>
          </w:tcPr>
          <w:p>
            <w:pPr>
              <w:jc w:val="right"/>
              <w:spacing w:after="0" w:line="218" w:lineRule="exact"/>
              <w:rPr>
                <w:sz w:val="20"/>
                <w:szCs w:val="20"/>
                <w:color w:val="auto"/>
              </w:rPr>
            </w:pPr>
            <w:r>
              <w:rPr>
                <w:rFonts w:ascii="Times New Roman" w:cs="Times New Roman" w:eastAsia="Times New Roman" w:hAnsi="Times New Roman"/>
                <w:sz w:val="20"/>
                <w:szCs w:val="20"/>
                <w:color w:val="1E1E1E"/>
              </w:rPr>
              <w:t>(3,607)</w:t>
            </w:r>
          </w:p>
        </w:tc>
        <w:tc>
          <w:tcPr>
            <w:tcW w:w="320" w:type="dxa"/>
            <w:vAlign w:val="bottom"/>
            <w:tcBorders>
              <w:bottom w:val="single" w:sz="8" w:color="1E1E1E"/>
            </w:tcBorders>
            <w:shd w:val="clear" w:color="auto" w:fill="E4E4E4"/>
          </w:tcPr>
          <w:p>
            <w:pPr>
              <w:jc w:val="right"/>
              <w:ind w:right="39"/>
              <w:spacing w:after="0" w:line="218" w:lineRule="exact"/>
              <w:rPr>
                <w:sz w:val="20"/>
                <w:szCs w:val="20"/>
                <w:color w:val="auto"/>
              </w:rPr>
            </w:pPr>
            <w:r>
              <w:rPr>
                <w:rFonts w:ascii="Times New Roman" w:cs="Times New Roman" w:eastAsia="Times New Roman" w:hAnsi="Times New Roman"/>
                <w:sz w:val="20"/>
                <w:szCs w:val="20"/>
                <w:color w:val="1E1E1E"/>
              </w:rPr>
              <w:t>$</w:t>
            </w:r>
          </w:p>
        </w:tc>
        <w:tc>
          <w:tcPr>
            <w:tcW w:w="900" w:type="dxa"/>
            <w:vAlign w:val="bottom"/>
            <w:tcBorders>
              <w:bottom w:val="single" w:sz="8" w:color="1E1E1E"/>
            </w:tcBorders>
            <w:shd w:val="clear" w:color="auto" w:fill="E4E4E4"/>
          </w:tcPr>
          <w:p>
            <w:pPr>
              <w:jc w:val="right"/>
              <w:spacing w:after="0" w:line="218" w:lineRule="exact"/>
              <w:rPr>
                <w:sz w:val="20"/>
                <w:szCs w:val="20"/>
                <w:color w:val="auto"/>
              </w:rPr>
            </w:pPr>
            <w:r>
              <w:rPr>
                <w:rFonts w:ascii="Times New Roman" w:cs="Times New Roman" w:eastAsia="Times New Roman" w:hAnsi="Times New Roman"/>
                <w:sz w:val="20"/>
                <w:szCs w:val="20"/>
                <w:color w:val="1E1E1E"/>
              </w:rPr>
              <w:t>6,229</w:t>
            </w:r>
          </w:p>
        </w:tc>
      </w:tr>
      <w:tr>
        <w:trPr>
          <w:trHeight w:val="20"/>
        </w:trPr>
        <w:tc>
          <w:tcPr>
            <w:tcW w:w="20" w:type="dxa"/>
            <w:vAlign w:val="bottom"/>
            <w:tcBorders>
              <w:bottom w:val="single" w:sz="8" w:color="1E1E1E"/>
            </w:tcBorders>
          </w:tcPr>
          <w:p>
            <w:pPr>
              <w:spacing w:after="0" w:line="20" w:lineRule="exact"/>
              <w:rPr>
                <w:sz w:val="1"/>
                <w:szCs w:val="1"/>
                <w:color w:val="auto"/>
              </w:rPr>
            </w:pPr>
          </w:p>
        </w:tc>
        <w:tc>
          <w:tcPr>
            <w:tcW w:w="2540" w:type="dxa"/>
            <w:vAlign w:val="bottom"/>
            <w:tcBorders>
              <w:bottom w:val="single" w:sz="8" w:color="1E1E1E"/>
            </w:tcBorders>
          </w:tcPr>
          <w:p>
            <w:pPr>
              <w:spacing w:after="0" w:line="20" w:lineRule="exact"/>
              <w:rPr>
                <w:sz w:val="1"/>
                <w:szCs w:val="1"/>
                <w:color w:val="auto"/>
              </w:rPr>
            </w:pPr>
          </w:p>
        </w:tc>
        <w:tc>
          <w:tcPr>
            <w:tcW w:w="26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r>
    </w:tbl>
    <w:p>
      <w:pPr>
        <w:spacing w:after="0" w:line="256" w:lineRule="exact"/>
        <w:rPr>
          <w:sz w:val="20"/>
          <w:szCs w:val="20"/>
          <w:color w:val="auto"/>
        </w:rPr>
      </w:pPr>
    </w:p>
    <w:p>
      <w:pPr>
        <w:jc w:val="both"/>
        <w:ind w:left="380" w:hanging="366"/>
        <w:spacing w:after="0" w:line="268" w:lineRule="auto"/>
        <w:tabs>
          <w:tab w:leader="none" w:pos="380" w:val="left"/>
        </w:tabs>
        <w:numPr>
          <w:ilvl w:val="0"/>
          <w:numId w:val="42"/>
        </w:numPr>
        <w:rPr>
          <w:rFonts w:ascii="Times New Roman" w:cs="Times New Roman" w:eastAsia="Times New Roman" w:hAnsi="Times New Roman"/>
          <w:sz w:val="26"/>
          <w:szCs w:val="26"/>
          <w:color w:val="1E1E1E"/>
          <w:vertAlign w:val="superscript"/>
        </w:rPr>
      </w:pPr>
      <w:r>
        <w:rPr>
          <w:rFonts w:ascii="Times New Roman" w:cs="Times New Roman" w:eastAsia="Times New Roman" w:hAnsi="Times New Roman"/>
          <w:sz w:val="20"/>
          <w:szCs w:val="20"/>
          <w:color w:val="1E1E1E"/>
        </w:rPr>
        <w:t>Reflects adjustment of merchandise inventories to realizable value. Charged to Profit and Loss column represents increases to the allowance and the Reductions column represents decreases to the allowance based on quarterly assessments of the allowance.</w:t>
      </w:r>
    </w:p>
    <w:p>
      <w:pPr>
        <w:sectPr>
          <w:pgSz w:w="12240" w:h="15840" w:orient="portrait"/>
          <w:cols w:equalWidth="0" w:num="1">
            <w:col w:w="10280"/>
          </w:cols>
          <w:pgMar w:left="980" w:top="1156" w:right="980" w:bottom="1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96</w:t>
      </w:r>
    </w:p>
    <w:p>
      <w:pPr>
        <w:sectPr>
          <w:pgSz w:w="12240" w:h="15840" w:orient="portrait"/>
          <w:cols w:equalWidth="0" w:num="1">
            <w:col w:w="10280"/>
          </w:cols>
          <w:pgMar w:left="980" w:top="1156" w:right="980" w:bottom="178"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1E1E1E"/>
        </w:rPr>
        <w:t>[THIS PAGE INTENTIONALLY LEFT BLANK]</w:t>
      </w:r>
    </w:p>
    <w:p>
      <w:pPr>
        <w:sectPr>
          <w:pgSz w:w="12240" w:h="15840" w:orient="portrait"/>
          <w:cols w:equalWidth="0" w:num="1">
            <w:col w:w="9360"/>
          </w:cols>
          <w:pgMar w:left="1440" w:top="1440" w:right="144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107950</wp:posOffset>
            </wp:positionV>
            <wp:extent cx="7561580" cy="98361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
                      <a:extLst>
                        <a:ext uri="{28A0092B-C50C-407E-A947-70E740481C1C}"/>
                      </a:extLst>
                    </a:blip>
                    <a:srcRect/>
                    <a:stretch>
                      <a:fillRect/>
                    </a:stretch>
                  </pic:blipFill>
                  <pic:spPr bwMode="auto">
                    <a:xfrm>
                      <a:off x="0" y="0"/>
                      <a:ext cx="7561580" cy="983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200"/>
        <w:spacing w:after="0"/>
        <w:rPr>
          <w:sz w:val="20"/>
          <w:szCs w:val="20"/>
          <w:color w:val="auto"/>
        </w:rPr>
      </w:pPr>
      <w:r>
        <w:rPr>
          <w:rFonts w:ascii="PMingLiU" w:cs="PMingLiU" w:eastAsia="PMingLiU" w:hAnsi="PMingLiU"/>
          <w:sz w:val="23"/>
          <w:szCs w:val="23"/>
          <w:b w:val="1"/>
          <w:bCs w:val="1"/>
          <w:color w:val="000020"/>
        </w:rPr>
        <w:t>JHQHVFRFRP</w:t>
      </w:r>
    </w:p>
    <w:p>
      <w:pPr>
        <w:spacing w:after="0" w:line="180" w:lineRule="exact"/>
        <w:rPr>
          <w:sz w:val="20"/>
          <w:szCs w:val="20"/>
          <w:color w:val="auto"/>
        </w:rPr>
      </w:pPr>
    </w:p>
    <w:p>
      <w:pPr>
        <w:jc w:val="center"/>
        <w:ind w:right="5200"/>
        <w:spacing w:after="0"/>
        <w:tabs>
          <w:tab w:leader="none" w:pos="160" w:val="left"/>
          <w:tab w:leader="none" w:pos="160" w:val="left"/>
        </w:tabs>
        <w:rPr>
          <w:sz w:val="20"/>
          <w:szCs w:val="20"/>
          <w:color w:val="auto"/>
        </w:rPr>
      </w:pPr>
      <w:r>
        <w:rPr>
          <w:rFonts w:ascii="PMingLiU" w:cs="PMingLiU" w:eastAsia="PMingLiU" w:hAnsi="PMingLiU"/>
          <w:sz w:val="18"/>
          <w:szCs w:val="18"/>
          <w:b w:val="1"/>
          <w:bCs w:val="1"/>
          <w:color w:val="000020"/>
        </w:rPr>
        <w:t>*(1(6&amp;2 ,1&amp;</w:t>
      </w:r>
      <w:r>
        <w:rPr>
          <w:sz w:val="20"/>
          <w:szCs w:val="20"/>
          <w:color w:val="auto"/>
        </w:rPr>
        <w:tab/>
      </w:r>
      <w:r>
        <w:rPr>
          <w:rFonts w:ascii="Arial" w:cs="Arial" w:eastAsia="Arial" w:hAnsi="Arial"/>
          <w:sz w:val="25"/>
          <w:szCs w:val="25"/>
          <w:color w:val="409BC8"/>
        </w:rPr>
        <w:t>,</w:t>
      </w:r>
      <w:r>
        <w:rPr>
          <w:sz w:val="20"/>
          <w:szCs w:val="20"/>
          <w:color w:val="auto"/>
        </w:rPr>
        <w:tab/>
      </w:r>
      <w:r>
        <w:rPr>
          <w:rFonts w:ascii="PMingLiU" w:cs="PMingLiU" w:eastAsia="PMingLiU" w:hAnsi="PMingLiU"/>
          <w:sz w:val="18"/>
          <w:szCs w:val="18"/>
          <w:b w:val="1"/>
          <w:bCs w:val="1"/>
          <w:color w:val="000020"/>
        </w:rPr>
        <w:t> 0$55,277 '5,9(</w:t>
      </w:r>
    </w:p>
    <w:p>
      <w:pPr>
        <w:spacing w:after="0" w:line="34" w:lineRule="exact"/>
        <w:rPr>
          <w:sz w:val="20"/>
          <w:szCs w:val="20"/>
          <w:color w:val="auto"/>
        </w:rPr>
      </w:pPr>
    </w:p>
    <w:p>
      <w:pPr>
        <w:jc w:val="center"/>
        <w:ind w:right="5200"/>
        <w:spacing w:after="0"/>
        <w:tabs>
          <w:tab w:leader="none" w:pos="160" w:val="left"/>
          <w:tab w:leader="none" w:pos="160" w:val="left"/>
        </w:tabs>
        <w:rPr>
          <w:sz w:val="20"/>
          <w:szCs w:val="20"/>
          <w:color w:val="auto"/>
        </w:rPr>
      </w:pPr>
      <w:r>
        <w:rPr>
          <w:rFonts w:ascii="PMingLiU" w:cs="PMingLiU" w:eastAsia="PMingLiU" w:hAnsi="PMingLiU"/>
          <w:sz w:val="18"/>
          <w:szCs w:val="18"/>
          <w:b w:val="1"/>
          <w:bCs w:val="1"/>
          <w:color w:val="000020"/>
        </w:rPr>
        <w:t> 7+ )/225</w:t>
      </w:r>
      <w:r>
        <w:rPr>
          <w:sz w:val="20"/>
          <w:szCs w:val="20"/>
          <w:color w:val="auto"/>
        </w:rPr>
        <w:tab/>
      </w:r>
      <w:r>
        <w:rPr>
          <w:rFonts w:ascii="Arial" w:cs="Arial" w:eastAsia="Arial" w:hAnsi="Arial"/>
          <w:sz w:val="25"/>
          <w:szCs w:val="25"/>
          <w:color w:val="409BC8"/>
        </w:rPr>
        <w:t>,</w:t>
      </w:r>
      <w:r>
        <w:rPr>
          <w:sz w:val="20"/>
          <w:szCs w:val="20"/>
          <w:color w:val="auto"/>
        </w:rPr>
        <w:tab/>
      </w:r>
      <w:r>
        <w:rPr>
          <w:rFonts w:ascii="PMingLiU" w:cs="PMingLiU" w:eastAsia="PMingLiU" w:hAnsi="PMingLiU"/>
          <w:sz w:val="18"/>
          <w:szCs w:val="18"/>
          <w:b w:val="1"/>
          <w:bCs w:val="1"/>
          <w:color w:val="000020"/>
        </w:rPr>
        <w:t>1$6+9,//( 71 </w:t>
      </w:r>
    </w:p>
    <w:sectPr>
      <w:pgSz w:w="12240" w:h="15840" w:orient="portrait"/>
      <w:cols w:equalWidth="0" w:num="1">
        <w:col w:w="9360"/>
      </w:cols>
      <w:pgMar w:left="1440" w:top="1440" w:right="1440" w:bottom="21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Arial Black">
    <w:panose1 w:val="020B0A04020102020204"/>
    <w:charset w:val="00"/>
    <w:family w:val="swiss"/>
    <w:pitch w:val="variable"/>
    <w:sig w:usb0="A00002AF" w:usb1="400078FB" w:usb2="00000000" w:usb3="00000000" w:csb0="6000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250"/>
    </w:lvl>
  </w:abstractNum>
  <w:abstractNum w:abstractNumId="1">
    <w:nsid w:val="721DA317"/>
    <w:multiLevelType w:val="hybridMultilevel"/>
    <w:lvl w:ilvl="0">
      <w:lvlJc w:val="left"/>
      <w:lvlText w:val="%1"/>
      <w:numFmt w:val="decimal"/>
      <w:start w:val="200"/>
    </w:lvl>
  </w:abstractNum>
  <w:abstractNum w:abstractNumId="2">
    <w:nsid w:val="2443A858"/>
    <w:multiLevelType w:val="hybridMultilevel"/>
    <w:lvl w:ilvl="0">
      <w:lvlJc w:val="left"/>
      <w:lvlText w:val="%3"/>
      <w:numFmt w:val="bullet"/>
      <w:start w:val="1"/>
    </w:lvl>
  </w:abstractNum>
  <w:abstractNum w:abstractNumId="3">
    <w:nsid w:val="2D1D5AE9"/>
    <w:multiLevelType w:val="hybridMultilevel"/>
    <w:lvl w:ilvl="0">
      <w:lvlJc w:val="left"/>
      <w:lvlText w:val="%2"/>
      <w:numFmt w:val="bullet"/>
      <w:start w:val="1"/>
    </w:lvl>
  </w:abstractNum>
  <w:abstractNum w:abstractNumId="4">
    <w:nsid w:val="6763845E"/>
    <w:multiLevelType w:val="hybridMultilevel"/>
    <w:lvl w:ilvl="0">
      <w:lvlJc w:val="left"/>
      <w:lvlText w:val="(%1)"/>
      <w:numFmt w:val="lowerRoman"/>
      <w:start w:val="3"/>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lowerRoman"/>
      <w:start w:val="1"/>
    </w:lvl>
  </w:abstractNum>
  <w:abstractNum w:abstractNumId="7">
    <w:nsid w:val="79838CB2"/>
    <w:multiLevelType w:val="hybridMultilevel"/>
    <w:lvl w:ilvl="0">
      <w:lvlJc w:val="left"/>
      <w:lvlText w:val="(%1)"/>
      <w:numFmt w:val="lowerRoman"/>
      <w:start w:val="1"/>
    </w:lvl>
  </w:abstractNum>
  <w:abstractNum w:abstractNumId="8">
    <w:nsid w:val="4353D0CD"/>
    <w:multiLevelType w:val="hybridMultilevel"/>
    <w:lvl w:ilvl="0">
      <w:lvlJc w:val="left"/>
      <w:lvlText w:val="(%1)"/>
      <w:numFmt w:val="lowerRoman"/>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Roman"/>
      <w:start w:val="1"/>
    </w:lvl>
  </w:abstractNum>
  <w:abstractNum w:abstractNumId="12">
    <w:nsid w:val="71F32454"/>
    <w:multiLevelType w:val="hybridMultilevel"/>
    <w:lvl w:ilvl="0">
      <w:lvlJc w:val="left"/>
      <w:lvlText w:val="(%1)"/>
      <w:numFmt w:val="lowerRoman"/>
      <w:start w:val="4"/>
    </w:lvl>
  </w:abstractNum>
  <w:abstractNum w:abstractNumId="13">
    <w:nsid w:val="2CA88611"/>
    <w:multiLevelType w:val="hybridMultilevel"/>
    <w:lvl w:ilvl="0">
      <w:lvlJc w:val="left"/>
      <w:lvlText w:val="•"/>
      <w:numFmt w:val="bullet"/>
      <w:start w:val="1"/>
    </w:lvl>
    <w:lvl w:ilvl="1">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lvl w:ilvl="1">
      <w:lvlJc w:val="left"/>
      <w:lvlText w:val="%2."/>
      <w:numFmt w:val="lowerLetter"/>
      <w:start w:val="2"/>
    </w:lvl>
  </w:abstractNum>
  <w:abstractNum w:abstractNumId="30">
    <w:nsid w:val="3804823E"/>
    <w:multiLevelType w:val="hybridMultilevel"/>
    <w:lvl w:ilvl="0">
      <w:lvlJc w:val="left"/>
      <w:lvlText w:val="(%1)"/>
      <w:numFmt w:val="decimal"/>
      <w:start w:val="10"/>
    </w:lvl>
    <w:lvl w:ilvl="1">
      <w:lvlJc w:val="left"/>
      <w:lvlText w:val="%2."/>
      <w:numFmt w:val="lowerLetter"/>
      <w:start w:val="2"/>
    </w:lvl>
  </w:abstractNum>
  <w:abstractNum w:abstractNumId="31">
    <w:nsid w:val="77465F01"/>
    <w:multiLevelType w:val="hybridMultilevel"/>
    <w:lvl w:ilvl="0">
      <w:lvlJc w:val="left"/>
      <w:lvlText w:val="%1."/>
      <w:numFmt w:val="lowerLetter"/>
      <w:start w:val="18"/>
    </w:lvl>
  </w:abstractNum>
  <w:abstractNum w:abstractNumId="32">
    <w:nsid w:val="7724C67E"/>
    <w:multiLevelType w:val="hybridMultilevel"/>
    <w:lvl w:ilvl="0">
      <w:lvlJc w:val="left"/>
      <w:lvlText w:val="%1."/>
      <w:numFmt w:val="lowerLetter"/>
      <w:start w:val="27"/>
    </w:lvl>
  </w:abstractNum>
  <w:abstractNum w:abstractNumId="33">
    <w:nsid w:val="5C482A97"/>
    <w:multiLevelType w:val="hybridMultilevel"/>
    <w:lvl w:ilvl="0">
      <w:lvlJc w:val="left"/>
      <w:lvlText w:val="%1"/>
      <w:numFmt w:val="decimal"/>
      <w:start w:val="1"/>
    </w:lvl>
    <w:lvl w:ilvl="1">
      <w:lvlJc w:val="left"/>
      <w:lvlText w:val="%2."/>
      <w:numFmt w:val="lowerLetter"/>
      <w:start w:val="38"/>
    </w:lvl>
  </w:abstractNum>
  <w:abstractNum w:abstractNumId="34">
    <w:nsid w:val="2463B9EA"/>
    <w:multiLevelType w:val="hybridMultilevel"/>
    <w:lvl w:ilvl="0">
      <w:lvlJc w:val="left"/>
      <w:lvlText w:val="(%1)"/>
      <w:numFmt w:val="decimal"/>
      <w:start w:val="16"/>
    </w:lvl>
    <w:lvl w:ilvl="1">
      <w:lvlJc w:val="left"/>
      <w:lvlText w:val="%2"/>
      <w:numFmt w:val="lowerLetter"/>
      <w:start w:val="1"/>
    </w:lvl>
  </w:abstractNum>
  <w:abstractNum w:abstractNumId="35">
    <w:nsid w:val="5E884ADC"/>
    <w:multiLevelType w:val="hybridMultilevel"/>
    <w:lvl w:ilvl="0">
      <w:lvlJc w:val="left"/>
      <w:lvlText w:val="(%1)"/>
      <w:numFmt w:val="decimal"/>
      <w:start w:val="19"/>
    </w:lvl>
  </w:abstractNum>
  <w:abstractNum w:abstractNumId="36">
    <w:nsid w:val="51EAD36B"/>
    <w:multiLevelType w:val="hybridMultilevel"/>
    <w:lvl w:ilvl="0">
      <w:lvlJc w:val="left"/>
      <w:lvlText w:val="(%1)"/>
      <w:numFmt w:val="decimal"/>
      <w:start w:val="21"/>
    </w:lvl>
  </w:abstractNum>
  <w:abstractNum w:abstractNumId="37">
    <w:nsid w:val="2D517796"/>
    <w:multiLevelType w:val="hybridMultilevel"/>
    <w:lvl w:ilvl="0">
      <w:lvlJc w:val="left"/>
      <w:lvlText w:val="(%1)"/>
      <w:numFmt w:val="decimal"/>
      <w:start w:val="23"/>
    </w:lvl>
  </w:abstractNum>
  <w:abstractNum w:abstractNumId="38">
    <w:nsid w:val="580BD78F"/>
    <w:multiLevelType w:val="hybridMultilevel"/>
    <w:lvl w:ilvl="0">
      <w:lvlJc w:val="left"/>
      <w:lvlText w:val="(%1)"/>
      <w:numFmt w:val="decimal"/>
      <w:start w:val="97"/>
    </w:lvl>
  </w:abstractNum>
  <w:abstractNum w:abstractNumId="39">
    <w:nsid w:val="153EA438"/>
    <w:multiLevelType w:val="hybridMultilevel"/>
    <w:lvl w:ilvl="0">
      <w:lvlJc w:val="left"/>
      <w:lvlText w:val="%1"/>
      <w:numFmt w:val="decimal"/>
      <w:start w:val="10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2026-06-15T16:30:32Z</dcterms:created>
  <dcterms:modified xsi:type="dcterms:W3CDTF">2026-06-15T16:30:32Z</dcterms:modified>
</cp:coreProperties>
</file>