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Genesco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1-3083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62-0211340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535 Marriott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37214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615 367-7000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GCO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June 29, 2026, Genesco Inc. (the “Company”) announced the appointment of Jonathan Collins as Senior Vice President, Finance and Chief Financial Officer. Mr. Collins will begin his employment as Senior Vice President, Finance and Chief Financial Officer on August 3, 2026 (the “Effective Date”). In connection with his appointment, Mr. Collins will also serve as the Company’s principal financial officer as of the Effective Date. As previously announced, Mimi E. Vaughn, the Company’s Board Chair, President and Chief Executive Officer was appointed by the Company’s board of directors to serve as the Company’s Interim Chief Financial Officer and principal financial officer until a successor was named by the Company. As such, as of the Effective Date, Ms. Vaughn will no longer serve as the Company’s Interim Chief Financial Officer and principal financial officer.</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Prior to joining the Company, Mr. Collins, age 54, served as Chief Financial Officer of America’s Car-Mart, Inc. (NASDAQ: CRMT) since May 2025. Previously, Mr. Collins served in various leadership roles at Walmart Inc. (NASDAQ: WMT) (“Walmart”) from 2012 to 2025, including as Vice President, Chief Financial Officer of Walmart Africa from 2023 to 2025, Vice President, Controllership from 2018 to 2023, Senior Director, International FP&amp;A from 2014 to 2018 and Senior Director, Internal Audit from 2012 to 2014. Prior to joining Walmart, Mr. Collins served at KPMG LLP from 2000 to 2012, rising from Manager through multiple promotions to Partner. Mr. Collins holds a Master of Business Administration and a Master of Science in Accounting from the University of Illinois, a Bachelor of Science in Accounting from Western Governors University and a Bachelor of Science in Computer Science from Kennesaw State University. Mr. Collins is a Certified Public Accountant.</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Mr. Collins will receive an annual base salary of $550,000. Mr. Collins will be eligible under the Company’s Short-Term Incentive Compensation Plan (as such plan may be amended, modified, or terminated from time to time) to receive a target incentive award for the fiscal year beginning February 1, 2026 (“Fiscal 2027”), equal to $412,500, or 75% of Mr. Collins’ annual base salary for Fiscal 2027. Mr. Collins’ Fiscal 2027 Short-Term Incentive Plan award will be prorated based on his period of service during Fiscal 2027. Subject to the approval of the Compensation Committee of the Company’s Board of Directors, for Fiscal 2027, Mr. Collins will be eligible to participate in the Company’s Long-Term Incentive Compensation Program, with Mr. Collins’ target for Fiscal 2027 being equal to $825,000, which is equal to 150% of Mr. Collins’ annual base salary for Fiscal 2027. The long-term incentive award will be composed of (i) 50% performance share units that cliff-vest after three years and (ii) 50% time-based restricted stock awards. The first one-third tranche of the restricted stock award will vest one year from the grant date. The second and third tranches of the restricted stock award will vest on April 4, 2028 and April 4, 2029, respectively, to align with the Company’s customary vesting schedule. Mr. Collins’ initial total direct compensation at target will be $1,787,500. In addition, Mr. Collins will receive a relocation stipend of $25,000 per quarter, payable for three quarters. Mr. Collins will also become a participant in the Company’s Executive Severance Plan, and the Company and Mr. Collins will enter into the Company’s form Employment Protection Agreement providing for certain benefits in the event of a change of control.</w:t>
      </w:r>
    </w:p>
    <w:p>
      <w:pPr>
        <w:spacing w:after="0" w:line="190"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Collins and any director or executive officer of the Company, and the Company is not aware of any transactions with Mr. Collins that are reportable pursuant to Item 404(a) of Regulation S-K. There are no legal proceedings required to be disclosed pursuant to Item 401(d)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press release issued by the Company announcing Mr. Collins’ appointment is furnished as Exhibit 99.1 to this Current Report on Form 8-K.</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8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9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80" w:type="dxa"/>
            <w:vAlign w:val="bottom"/>
          </w:tcPr>
          <w:p>
            <w:pPr>
              <w:spacing w:after="0"/>
              <w:rPr>
                <w:sz w:val="17"/>
                <w:szCs w:val="17"/>
                <w:color w:val="auto"/>
              </w:rPr>
            </w:pPr>
          </w:p>
        </w:tc>
        <w:tc>
          <w:tcPr>
            <w:tcW w:w="9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June 29, 2026</w:t>
            </w:r>
            <w:r>
              <w:rPr>
                <w:rFonts w:ascii="Times New Roman" w:cs="Times New Roman" w:eastAsia="Times New Roman" w:hAnsi="Times New Roman"/>
                <w:sz w:val="18"/>
                <w:szCs w:val="18"/>
                <w:color w:val="000000"/>
              </w:rPr>
              <w:t>.</w:t>
            </w:r>
          </w:p>
        </w:tc>
      </w:tr>
      <w:tr>
        <w:trPr>
          <w:trHeight w:val="20"/>
        </w:trPr>
        <w:tc>
          <w:tcPr>
            <w:tcW w:w="960" w:type="dxa"/>
            <w:vAlign w:val="bottom"/>
            <w:gridSpan w:val="2"/>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3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Genesco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29, 2026</w:t>
      </w:r>
      <w:r>
        <w:rPr>
          <w:sz w:val="20"/>
          <w:szCs w:val="20"/>
          <w:color w:val="auto"/>
        </w:rPr>
        <w:tab/>
      </w:r>
      <w:r>
        <w:rPr>
          <w:rFonts w:ascii="Times New Roman" w:cs="Times New Roman" w:eastAsia="Times New Roman" w:hAnsi="Times New Roman"/>
          <w:sz w:val="18"/>
          <w:szCs w:val="18"/>
          <w:color w:val="auto"/>
        </w:rPr>
        <w:t>By:</w:t>
        <w:tab/>
        <w:t>/s/Scott E.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E. Becker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Corporate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294005</wp:posOffset>
            </wp:positionV>
            <wp:extent cx="120015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GENESCO NAMES JONATHAN COLLINS CHIEF FINANCIAL OFFICER</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--Proven Global Retail Finance Executive Brings</w:t>
      </w:r>
    </w:p>
    <w:p>
      <w:pPr>
        <w:ind w:left="3360" w:right="2840" w:hanging="575"/>
        <w:spacing w:after="0" w:line="263" w:lineRule="auto"/>
        <w:rPr>
          <w:sz w:val="20"/>
          <w:szCs w:val="20"/>
          <w:color w:val="auto"/>
        </w:rPr>
      </w:pPr>
      <w:r>
        <w:rPr>
          <w:rFonts w:ascii="Arial" w:cs="Arial" w:eastAsia="Arial" w:hAnsi="Arial"/>
          <w:sz w:val="21"/>
          <w:szCs w:val="21"/>
          <w:i w:val="1"/>
          <w:iCs w:val="1"/>
          <w:color w:val="auto"/>
        </w:rPr>
        <w:t>Deep Financial, Operational and Capital Markets Expertise to Support Genesco’s Footwear First Strategy--</w:t>
      </w:r>
    </w:p>
    <w:p>
      <w:pPr>
        <w:spacing w:after="0" w:line="180" w:lineRule="exact"/>
        <w:rPr>
          <w:sz w:val="20"/>
          <w:szCs w:val="20"/>
          <w:color w:val="auto"/>
        </w:rPr>
      </w:pPr>
    </w:p>
    <w:p>
      <w:pPr>
        <w:ind w:right="360"/>
        <w:spacing w:after="0" w:line="235" w:lineRule="auto"/>
        <w:rPr>
          <w:sz w:val="20"/>
          <w:szCs w:val="20"/>
          <w:color w:val="auto"/>
        </w:rPr>
      </w:pPr>
      <w:r>
        <w:rPr>
          <w:rFonts w:ascii="Arial" w:cs="Arial" w:eastAsia="Arial" w:hAnsi="Arial"/>
          <w:sz w:val="22"/>
          <w:szCs w:val="22"/>
          <w:color w:val="auto"/>
        </w:rPr>
        <w:t>NASHVILLE, Tenn., June 29, 2026– Genesco Inc. (NYSE: GCO) today announced the appointment of Jonathan Collins as Senior Vice President, Finance and Chief Financial Officer, effective August 3, 2026, following a comprehensive search process. Collins will report directly to Genesco Board Chair, President and Chief Executive Officer Mimi E. Vaughn, who has served as Interim Chief Financial Officer since March 2026.</w:t>
      </w:r>
    </w:p>
    <w:p>
      <w:pPr>
        <w:spacing w:after="0" w:line="1" w:lineRule="exact"/>
        <w:rPr>
          <w:sz w:val="20"/>
          <w:szCs w:val="20"/>
          <w:color w:val="auto"/>
        </w:rPr>
      </w:pPr>
    </w:p>
    <w:p>
      <w:pPr>
        <w:ind w:right="180" w:firstLine="480"/>
        <w:spacing w:after="0" w:line="230" w:lineRule="auto"/>
        <w:rPr>
          <w:sz w:val="20"/>
          <w:szCs w:val="20"/>
          <w:color w:val="auto"/>
        </w:rPr>
      </w:pPr>
      <w:r>
        <w:rPr>
          <w:rFonts w:ascii="Arial" w:cs="Arial" w:eastAsia="Arial" w:hAnsi="Arial"/>
          <w:sz w:val="22"/>
          <w:szCs w:val="22"/>
          <w:color w:val="auto"/>
        </w:rPr>
        <w:t>“Jonathan is an accomplished finance executive with an exceptional combination of public company leadership and multi-channel global retail expertise,” said Vaughn. “Throughout his career, he has demonstrated the ability to strengthen financial organizations, drive operational discipline and support profitable growth. His broad experience across consumer-facing, large-scale, retail and e-commerce businesses, combined with his strategic financial acumen, makes him an outstanding addition to our leadership team, as we continue executing our Footwear First strategy and creating shareholder value.”</w:t>
      </w:r>
    </w:p>
    <w:p>
      <w:pPr>
        <w:spacing w:after="0" w:line="3" w:lineRule="exact"/>
        <w:rPr>
          <w:sz w:val="20"/>
          <w:szCs w:val="20"/>
          <w:color w:val="auto"/>
        </w:rPr>
      </w:pPr>
    </w:p>
    <w:p>
      <w:pPr>
        <w:ind w:right="80" w:firstLine="749"/>
        <w:spacing w:after="0" w:line="230" w:lineRule="auto"/>
        <w:rPr>
          <w:sz w:val="20"/>
          <w:szCs w:val="20"/>
          <w:color w:val="auto"/>
        </w:rPr>
      </w:pPr>
      <w:r>
        <w:rPr>
          <w:rFonts w:ascii="Arial" w:cs="Arial" w:eastAsia="Arial" w:hAnsi="Arial"/>
          <w:sz w:val="22"/>
          <w:szCs w:val="22"/>
          <w:color w:val="auto"/>
        </w:rPr>
        <w:t>Collins brings an impressive record of more than 30 years of senior financial experience. He spent more than a decade with Walmart (from 2012 to 2025) in a series of successive executive leadership roles, including Chief Financial Officer of Walmart Africa, Chief Accounting Officer of Flipkart Group, and Chief Accounting Officer of Walmart Canada. Across these positions, he was instrumental in helping drive growth, operational improvements, capital allocation strategies and business transformation.</w:t>
      </w:r>
    </w:p>
    <w:p>
      <w:pPr>
        <w:spacing w:after="0" w:line="3" w:lineRule="exact"/>
        <w:rPr>
          <w:sz w:val="20"/>
          <w:szCs w:val="20"/>
          <w:color w:val="auto"/>
        </w:rPr>
      </w:pPr>
    </w:p>
    <w:p>
      <w:pPr>
        <w:ind w:right="200" w:firstLine="749"/>
        <w:spacing w:after="0" w:line="230" w:lineRule="auto"/>
        <w:rPr>
          <w:sz w:val="20"/>
          <w:szCs w:val="20"/>
          <w:color w:val="auto"/>
        </w:rPr>
      </w:pPr>
      <w:r>
        <w:rPr>
          <w:rFonts w:ascii="Arial" w:cs="Arial" w:eastAsia="Arial" w:hAnsi="Arial"/>
          <w:sz w:val="22"/>
          <w:szCs w:val="22"/>
          <w:color w:val="auto"/>
        </w:rPr>
        <w:t>Most recently, he served as Chief Financial Officer of America’s Car-Mart, Inc., where he led significant improvement initiatives, including strengthening the company’s capital structure, enhancing financial operations and implementing long-range planning and performance management processes.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INC. – Page 2</w:t>
      </w:r>
    </w:p>
    <w:p>
      <w:pPr>
        <w:spacing w:after="0" w:line="235" w:lineRule="exact"/>
        <w:rPr>
          <w:sz w:val="20"/>
          <w:szCs w:val="20"/>
          <w:color w:val="auto"/>
        </w:rPr>
      </w:pPr>
    </w:p>
    <w:p>
      <w:pPr>
        <w:ind w:right="160" w:firstLine="749"/>
        <w:spacing w:after="0" w:line="255" w:lineRule="auto"/>
        <w:rPr>
          <w:sz w:val="20"/>
          <w:szCs w:val="20"/>
          <w:color w:val="auto"/>
        </w:rPr>
      </w:pPr>
      <w:r>
        <w:rPr>
          <w:rFonts w:ascii="Arial" w:cs="Arial" w:eastAsia="Arial" w:hAnsi="Arial"/>
          <w:sz w:val="21"/>
          <w:szCs w:val="21"/>
          <w:color w:val="auto"/>
        </w:rPr>
        <w:t>“I am honored and humbled to join Genesco at such an exciting time in the Company’s growth journey,” said Collins. “Genesco’s portfolio of powerful footwear brands and impactful Footwear First strategy create a compelling foundation for future growth with clear momentum underway. I look forward to partnering with Mimi, the Board and the leadership team to help advance the Company’s strategic priorities and create value for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Jonathan Collins</w:t>
      </w:r>
    </w:p>
    <w:p>
      <w:pPr>
        <w:spacing w:after="0" w:line="12" w:lineRule="exact"/>
        <w:rPr>
          <w:sz w:val="20"/>
          <w:szCs w:val="20"/>
          <w:color w:val="auto"/>
        </w:rPr>
      </w:pPr>
    </w:p>
    <w:p>
      <w:pPr>
        <w:ind w:right="40"/>
        <w:spacing w:after="0" w:line="241" w:lineRule="auto"/>
        <w:rPr>
          <w:sz w:val="20"/>
          <w:szCs w:val="20"/>
          <w:color w:val="auto"/>
        </w:rPr>
      </w:pPr>
      <w:r>
        <w:rPr>
          <w:rFonts w:ascii="Arial" w:cs="Arial" w:eastAsia="Arial" w:hAnsi="Arial"/>
          <w:sz w:val="21"/>
          <w:szCs w:val="21"/>
          <w:color w:val="auto"/>
        </w:rPr>
        <w:t>Collins brings more than three decades of financial leadership experience ranging from large-scale global retail operations to leading e-commerce platforms across North America, Africa and Asia. He joins Genesco after serving as Chief Financial Officer of America’s Car-Mart, Inc. (2025 to 2026) where he led efforts to recapitalize the company and strengthen financial operations. Previously, Collins spent 13 years with Walmart in senior leadership roles, including Chief Financial Officer of Walmart Africa, where he led the finance function for the $5 billion retail subsidiary operating across eight African countries, improving overall costs and profitability, and as Chief Accounting Officer of Flipkart Group, comprising Flipkart, India’s largest e-commerce platform with $15 billion in revenue, and PhonePe, India’s largest fintech platform with $1 billion in revenue and $1.5 trillion in payment transactions value. As Chief Accounting Officer of Walmart Canada, a $25 billion Walmart subsidiary, he led a comprehensive transformation in controllership empowering teams for more strategic, value adding work. Earlier in his career, Collins was a partner with KPMG, where he led global strategic advisory engagements across the U.S., China and Australia.</w:t>
      </w:r>
    </w:p>
    <w:p>
      <w:pPr>
        <w:spacing w:after="0" w:line="6" w:lineRule="exact"/>
        <w:rPr>
          <w:sz w:val="20"/>
          <w:szCs w:val="20"/>
          <w:color w:val="auto"/>
        </w:rPr>
      </w:pPr>
    </w:p>
    <w:p>
      <w:pPr>
        <w:ind w:right="280" w:firstLine="749"/>
        <w:spacing w:after="0" w:line="237" w:lineRule="auto"/>
        <w:rPr>
          <w:sz w:val="20"/>
          <w:szCs w:val="20"/>
          <w:color w:val="auto"/>
        </w:rPr>
      </w:pPr>
      <w:r>
        <w:rPr>
          <w:rFonts w:ascii="Arial" w:cs="Arial" w:eastAsia="Arial" w:hAnsi="Arial"/>
          <w:sz w:val="22"/>
          <w:szCs w:val="22"/>
          <w:color w:val="auto"/>
        </w:rPr>
        <w:t>He holds a Master of Business Administration and a Master of Science in Accounting from the University of Illinois, a Bachelor of Science in Accounting from Western Governors University and a Bachelor of Science in Computer Science from Kennesaw State University. Collins is a Certified Public Accountant.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 Page 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54" w:lineRule="exact"/>
        <w:rPr>
          <w:sz w:val="20"/>
          <w:szCs w:val="20"/>
          <w:color w:val="auto"/>
        </w:rPr>
      </w:pPr>
    </w:p>
    <w:p>
      <w:pPr>
        <w:jc w:val="both"/>
        <w:ind w:right="40"/>
        <w:spacing w:after="0" w:line="248" w:lineRule="auto"/>
        <w:rPr>
          <w:sz w:val="20"/>
          <w:szCs w:val="20"/>
          <w:color w:val="auto"/>
        </w:rPr>
      </w:pPr>
      <w:r>
        <w:rPr>
          <w:rFonts w:ascii="Arial" w:cs="Arial" w:eastAsia="Arial" w:hAnsi="Arial"/>
          <w:sz w:val="21"/>
          <w:szCs w:val="21"/>
          <w:color w:val="auto"/>
        </w:rPr>
        <w:t>This release contains forward-looking statements, including those regarding future sales, earnings, operating income, gross margins, expenses, tariff refunds, capital expenditures, depreciation and amortization, tax rates, store openings and closures, cost reductions, and all other statements not addressing solely historical facts or present conditions.</w:t>
      </w:r>
    </w:p>
    <w:p>
      <w:pPr>
        <w:ind w:right="180"/>
        <w:spacing w:after="0" w:line="242" w:lineRule="auto"/>
        <w:rPr>
          <w:sz w:val="20"/>
          <w:szCs w:val="20"/>
          <w:color w:val="auto"/>
        </w:rPr>
      </w:pPr>
      <w:r>
        <w:rPr>
          <w:rFonts w:ascii="Arial" w:cs="Arial" w:eastAsia="Arial" w:hAnsi="Arial"/>
          <w:sz w:val="21"/>
          <w:szCs w:val="21"/>
          <w:color w:val="auto"/>
        </w:rPr>
        <w:t>Forward-looking statements are usually identified by or are associated with such words as “intend,” “expect,” “feel,” “should,” “believe,” “anticipate,” “optimistic,” “confident” and similar terminology. Actual results could vary materially from the expectations reflected in these statements. A number of factors could cause differences. These include adjustments to projections reflected in forward-looking statements, including those resulting from weakness in store, e-commerce and shopping mall traffic, the imposition of tariffs (including the timing and amount thereof) on products imported by the Company or its vendors as well as the ability and costs to move production of products in response to tariffs; the amount and timing of any tariff refunds; our ability to pass on price increases to our customers; restrictions on operations imposed by government entities and/or landlords, changes in public safety and health requirements, and limitations on the Company’s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the Company’s ability to obtain from suppliers products that are in-demand on a timely basis and effectively manage disruptions in product supply or distribution, including disruptions as a result of pandemics or geopolitical events, including shipping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 Page 4</w:t>
      </w:r>
    </w:p>
    <w:p>
      <w:pPr>
        <w:spacing w:after="0" w:line="235"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the products we sell; store closures and effects on the business as a result of civil disturbances; our ability to renew our license agreements; impacts of the ongoing geopolitical conflicts around the world including, without limitation, the conflict with Iran; and other sources of market weakness in the locations in which we operate; the effectiveness of the Company's omnichannel initiatives; costs associated with shareholder 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the Company's markets, including trends with respect to the popularity of casual and dress footwear; any failure to increase sales at our existing stores, given our high fixed expense cost structure, and in our e -commerce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the Company’s ability to realize anticipated cost savings, including rent savings and savings in connection with the restructuring of the Company’s information technology functions; the amount and timing of share repurchases; our ability to make our occupancy costs more variable; the Company’s ability to achieve expected digital gains and gain market share; deterioration in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 Page 5</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performance of individual businesses or of the Company's market value relative to its</w:t>
      </w:r>
    </w:p>
    <w:p>
      <w:pPr>
        <w:spacing w:after="0" w:line="10"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color w:val="auto"/>
        </w:rPr>
        <w:t>book value, resulting in impairments of fixed assets, operating lease right of use assets or intangible assets or other adverse financial consequences and the timing and amount of such impairments or other consequences; unexpected changes to the market for the Company's shares or for the retail sector in general; costs and reputational harm as a result of disruptions in the Company’s business or information technology systems either by security breaches and incidents or by potential problems associated with</w:t>
      </w:r>
    </w:p>
    <w:p>
      <w:pPr>
        <w:spacing w:after="0" w:line="3"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implementation of new or upgraded systems or as the result of the restructuring of the Company’s information technology functions; changes in tax laws and tax rates and the Company’s ability to realize any anticipated tax benefits in both the amount and timeframe anticipated; and the cost and outcome of litigation, investigations, environmental matters and other disputes involving the Company. Additional factors are cited in the "Risk Factors," "Legal Proceedings" and "Management's Discussion and Analysis of Financial Condition and Results of Operations" sections of, and elsewhere in, the Company’s SEC filings, copies of which may be obtained from the SEC website, www.sec.gov, or by contacting the investor relations department of Genesco via the Company’s website, www.genesco.com. Many of the factors that will determine the outcome of the subject matter of this release are beyond Genesco's ability to control or predict. Genesco undertakes no obligation to release publicly the results of any revisions to these forward-looking statements that may be made to reflect events or circumstances after the date hereof or to reflect the occurrence of unanticipated events. Forward-looking statements reflect the expectations of the Company at the time they are made. The Company disclaims any obligation to update such statements.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Genesco Inc.</w:t>
      </w:r>
    </w:p>
    <w:p>
      <w:pPr>
        <w:spacing w:after="0" w:line="12" w:lineRule="exact"/>
        <w:rPr>
          <w:sz w:val="20"/>
          <w:szCs w:val="20"/>
          <w:color w:val="auto"/>
        </w:rPr>
      </w:pPr>
    </w:p>
    <w:p>
      <w:pPr>
        <w:jc w:val="both"/>
        <w:ind w:right="400"/>
        <w:spacing w:after="0" w:line="237" w:lineRule="auto"/>
        <w:rPr>
          <w:sz w:val="20"/>
          <w:szCs w:val="20"/>
          <w:color w:val="auto"/>
        </w:rPr>
      </w:pPr>
      <w:r>
        <w:rPr>
          <w:rFonts w:ascii="Arial" w:cs="Arial" w:eastAsia="Arial" w:hAnsi="Arial"/>
          <w:sz w:val="22"/>
          <w:szCs w:val="22"/>
          <w:color w:val="auto"/>
        </w:rPr>
        <w:t>Genesco Inc. (NYSE: GCO) is a footwear first company with distinctively positioned retail and lifestyle brands and proven omnichannel capabilities offering customers the footwear they desire in engaging shopping environments, including more than 1,200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 Page 6</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retail stores and branded e-commerce websites. Its Journeys, Little Burgundy and</w:t>
      </w:r>
    </w:p>
    <w:p>
      <w:pPr>
        <w:spacing w:after="0" w:line="10"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Schuh brands serve teens, kids and young adults with on-trend fashion footwear that inspires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www.genesco.com.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Claire S. McCall, Director, Corporate Relations</w:t>
      </w:r>
    </w:p>
    <w:p>
      <w:pPr>
        <w:spacing w:after="0"/>
        <w:rPr>
          <w:sz w:val="20"/>
          <w:szCs w:val="20"/>
          <w:color w:val="auto"/>
        </w:rPr>
      </w:pPr>
      <w:r>
        <w:rPr>
          <w:rFonts w:ascii="Arial" w:cs="Arial" w:eastAsia="Arial" w:hAnsi="Arial"/>
          <w:sz w:val="22"/>
          <w:szCs w:val="22"/>
          <w:color w:val="auto"/>
        </w:rPr>
        <w:t xml:space="preserve">(615) 308-2483 / </w:t>
      </w:r>
      <w:r>
        <w:rPr>
          <w:rFonts w:ascii="Arial" w:cs="Arial" w:eastAsia="Arial" w:hAnsi="Arial"/>
          <w:sz w:val="22"/>
          <w:szCs w:val="22"/>
          <w:color w:val="156082"/>
        </w:rPr>
        <w:t>cmccall@genesco.com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Genesco Financial Contact</w:t>
      </w:r>
    </w:p>
    <w:p>
      <w:pPr>
        <w:spacing w:after="0" w:line="12" w:lineRule="exact"/>
        <w:rPr>
          <w:sz w:val="20"/>
          <w:szCs w:val="20"/>
          <w:color w:val="auto"/>
        </w:rPr>
      </w:pPr>
    </w:p>
    <w:p>
      <w:pPr>
        <w:ind w:right="5240"/>
        <w:spacing w:after="0"/>
        <w:rPr>
          <w:sz w:val="20"/>
          <w:szCs w:val="20"/>
          <w:color w:val="auto"/>
        </w:rPr>
      </w:pPr>
      <w:r>
        <w:rPr>
          <w:rFonts w:ascii="Arial" w:cs="Arial" w:eastAsia="Arial" w:hAnsi="Arial"/>
          <w:sz w:val="22"/>
          <w:szCs w:val="22"/>
          <w:color w:val="auto"/>
        </w:rPr>
        <w:t xml:space="preserve">Darryl MacQuarrie, Senior Director, FP&amp;A &amp; Investor Relations (615) 308-5629 / </w:t>
      </w:r>
      <w:r>
        <w:rPr>
          <w:rFonts w:ascii="Arial" w:cs="Arial" w:eastAsia="Arial" w:hAnsi="Arial"/>
          <w:sz w:val="22"/>
          <w:szCs w:val="22"/>
          <w:color w:val="156082"/>
        </w:rPr>
        <w:t>dmacquarrie@genesco.com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2026-06-29T05:53:42Z</dcterms:created>
  <dcterms:modified xsi:type="dcterms:W3CDTF">2026-06-29T05:53:42Z</dcterms:modified>
</cp:coreProperties>
</file>