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1040130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1057275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00"/>
        <w:spacing w:after="0"/>
        <w:rPr>
          <w:sz w:val="20"/>
          <w:szCs w:val="20"/>
          <w:color w:val="auto"/>
        </w:rPr>
      </w:pPr>
      <w:r>
        <w:rPr>
          <w:rFonts w:ascii="Arial" w:cs="Arial" w:eastAsia="Arial" w:hAnsi="Arial"/>
          <w:sz w:val="19"/>
          <w:szCs w:val="19"/>
          <w:color w:val="FF0000"/>
        </w:rPr>
        <w:t>PRELIMINARY COPY - SUBJECT TO COMPLETION - DATED JUNE 11, 2026</w:t>
      </w:r>
    </w:p>
    <w:p>
      <w:pPr>
        <w:spacing w:after="0" w:line="23"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UNITED STATES</w:t>
      </w:r>
    </w:p>
    <w:p>
      <w:pPr>
        <w:spacing w:after="0" w:line="10"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143510</wp:posOffset>
            </wp:positionV>
            <wp:extent cx="1988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447"/>
        </w:trPr>
        <w:tc>
          <w:tcPr>
            <w:tcW w:w="2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40" w:type="dxa"/>
            <w:vAlign w:val="bottom"/>
            <w:gridSpan w:val="2"/>
          </w:tcPr>
          <w:p>
            <w:pPr>
              <w:jc w:val="center"/>
              <w:ind w:right="1200"/>
              <w:spacing w:after="0"/>
              <w:rPr>
                <w:sz w:val="20"/>
                <w:szCs w:val="20"/>
                <w:color w:val="auto"/>
              </w:rPr>
            </w:pPr>
            <w:r>
              <w:rPr>
                <w:rFonts w:ascii="Arial" w:cs="Arial" w:eastAsia="Arial" w:hAnsi="Arial"/>
                <w:sz w:val="32"/>
                <w:szCs w:val="32"/>
                <w:b w:val="1"/>
                <w:bCs w:val="1"/>
                <w:color w:val="auto"/>
              </w:rPr>
              <w:t>SCHEDULE 14A</w:t>
            </w:r>
          </w:p>
        </w:tc>
      </w:tr>
      <w:tr>
        <w:trPr>
          <w:trHeight w:val="351"/>
        </w:trPr>
        <w:tc>
          <w:tcPr>
            <w:tcW w:w="2560" w:type="dxa"/>
            <w:vAlign w:val="bottom"/>
          </w:tcPr>
          <w:p>
            <w:pPr>
              <w:spacing w:after="0"/>
              <w:rPr>
                <w:sz w:val="24"/>
                <w:szCs w:val="24"/>
                <w:color w:val="auto"/>
              </w:rPr>
            </w:pPr>
          </w:p>
        </w:tc>
        <w:tc>
          <w:tcPr>
            <w:tcW w:w="5740" w:type="dxa"/>
            <w:vAlign w:val="bottom"/>
            <w:gridSpan w:val="3"/>
          </w:tcPr>
          <w:p>
            <w:pPr>
              <w:jc w:val="center"/>
              <w:ind w:left="218"/>
              <w:spacing w:after="0"/>
              <w:rPr>
                <w:sz w:val="20"/>
                <w:szCs w:val="20"/>
                <w:color w:val="auto"/>
              </w:rPr>
            </w:pPr>
            <w:r>
              <w:rPr>
                <w:rFonts w:ascii="Arial" w:cs="Arial" w:eastAsia="Arial" w:hAnsi="Arial"/>
                <w:sz w:val="22"/>
                <w:szCs w:val="22"/>
                <w:b w:val="1"/>
                <w:bCs w:val="1"/>
                <w:color w:val="auto"/>
                <w:w w:val="98"/>
              </w:rPr>
              <w:t>Proxy Statement Pursuant to Section 14(a) of the</w:t>
            </w:r>
          </w:p>
        </w:tc>
      </w:tr>
      <w:tr>
        <w:trPr>
          <w:trHeight w:val="297"/>
        </w:trPr>
        <w:tc>
          <w:tcPr>
            <w:tcW w:w="2560" w:type="dxa"/>
            <w:vAlign w:val="bottom"/>
          </w:tcPr>
          <w:p>
            <w:pPr>
              <w:spacing w:after="0"/>
              <w:rPr>
                <w:sz w:val="24"/>
                <w:szCs w:val="24"/>
                <w:color w:val="auto"/>
              </w:rPr>
            </w:pPr>
          </w:p>
        </w:tc>
        <w:tc>
          <w:tcPr>
            <w:tcW w:w="5740" w:type="dxa"/>
            <w:vAlign w:val="bottom"/>
            <w:gridSpan w:val="3"/>
          </w:tcPr>
          <w:p>
            <w:pPr>
              <w:jc w:val="center"/>
              <w:ind w:left="278"/>
              <w:spacing w:after="0"/>
              <w:rPr>
                <w:sz w:val="20"/>
                <w:szCs w:val="20"/>
                <w:color w:val="auto"/>
              </w:rPr>
            </w:pPr>
            <w:r>
              <w:rPr>
                <w:rFonts w:ascii="Arial" w:cs="Arial" w:eastAsia="Arial" w:hAnsi="Arial"/>
                <w:sz w:val="22"/>
                <w:szCs w:val="22"/>
                <w:b w:val="1"/>
                <w:bCs w:val="1"/>
                <w:color w:val="auto"/>
                <w:w w:val="98"/>
              </w:rPr>
              <w:t>Securities Exchange Act of 1934 (Amendment No. 1)</w:t>
            </w:r>
          </w:p>
        </w:tc>
      </w:tr>
      <w:tr>
        <w:trPr>
          <w:trHeight w:val="190"/>
        </w:trPr>
        <w:tc>
          <w:tcPr>
            <w:tcW w:w="2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440"/>
        </w:trPr>
        <w:tc>
          <w:tcPr>
            <w:tcW w:w="256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740" w:type="dxa"/>
            <w:vAlign w:val="bottom"/>
            <w:gridSpan w:val="3"/>
          </w:tcPr>
          <w:p>
            <w:pPr>
              <w:ind w:left="10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68"/>
        </w:trPr>
        <w:tc>
          <w:tcPr>
            <w:tcW w:w="256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6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98"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98"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18" w:lineRule="exact"/>
        <w:rPr>
          <w:sz w:val="24"/>
          <w:szCs w:val="24"/>
          <w:color w:val="auto"/>
        </w:rPr>
      </w:pPr>
    </w:p>
    <w:p>
      <w:pPr>
        <w:jc w:val="center"/>
        <w:ind w:right="-980"/>
        <w:spacing w:after="0"/>
        <w:rPr>
          <w:sz w:val="20"/>
          <w:szCs w:val="20"/>
          <w:color w:val="auto"/>
        </w:rPr>
      </w:pPr>
      <w:r>
        <w:rPr>
          <w:rFonts w:ascii="Arial" w:cs="Arial" w:eastAsia="Arial" w:hAnsi="Arial"/>
          <w:sz w:val="40"/>
          <w:szCs w:val="40"/>
          <w:b w:val="1"/>
          <w:bCs w:val="1"/>
          <w:color w:val="auto"/>
        </w:rPr>
        <w:t>Genesco Inc.</w:t>
      </w:r>
    </w:p>
    <w:p>
      <w:pPr>
        <w:spacing w:after="0" w:line="32"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1"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1325245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FF0000"/>
        </w:rPr>
        <w:t>PRELIMINARY COPY - SUBJECT TO COMPLETION - DATED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14650" cy="77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16"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The 2026 annual meeting of shareholders (the “Annual Meeting”) of Genesco Inc. (the “Company”) will be held in virtual format, on [ ], 2026, at [ ] a.m. Central Time. The Annual Meeting will be held online via a live webcast at [ ], where you will be able to vote electronically and submit questions during the Annual Meeting. To participate in the Annual Meeting, you must pre-register by [ ] p.m. Central Time on [ ], 2026.</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agenda will include the following items:</w:t>
      </w:r>
    </w:p>
    <w:p>
      <w:pPr>
        <w:spacing w:after="0" w:line="171" w:lineRule="exact"/>
        <w:rPr>
          <w:sz w:val="20"/>
          <w:szCs w:val="20"/>
          <w:color w:val="auto"/>
        </w:rPr>
      </w:pPr>
    </w:p>
    <w:p>
      <w:pPr>
        <w:ind w:left="1140" w:hanging="383"/>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elect nine directors;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non-binding, advisory vote on the Company’s named executive officers’ compensation;</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approve the Genesco Inc. Fourth Amended and Restated 2020 Equity Incentive Plan;</w:t>
      </w:r>
    </w:p>
    <w:p>
      <w:pPr>
        <w:spacing w:after="0" w:line="171" w:lineRule="exact"/>
        <w:rPr>
          <w:rFonts w:ascii="Arial" w:cs="Arial" w:eastAsia="Arial" w:hAnsi="Arial"/>
          <w:sz w:val="18"/>
          <w:szCs w:val="18"/>
          <w:color w:val="auto"/>
        </w:rPr>
      </w:pPr>
    </w:p>
    <w:p>
      <w:pPr>
        <w:ind w:left="1140" w:right="780" w:hanging="383"/>
        <w:spacing w:after="0" w:line="271"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ratify the appointment of Deloitte &amp; Touche LLP as independent registered public accounting firm to the Company for the current fiscal year; and</w:t>
      </w:r>
    </w:p>
    <w:p>
      <w:pPr>
        <w:spacing w:after="0" w:line="126" w:lineRule="exact"/>
        <w:rPr>
          <w:rFonts w:ascii="Arial" w:cs="Arial" w:eastAsia="Arial" w:hAnsi="Arial"/>
          <w:sz w:val="18"/>
          <w:szCs w:val="18"/>
          <w:color w:val="auto"/>
        </w:rPr>
      </w:pPr>
    </w:p>
    <w:p>
      <w:pPr>
        <w:ind w:left="1140" w:hanging="383"/>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business that properly comes before the meeting or any adjournment or postponement thereof.</w:t>
      </w:r>
    </w:p>
    <w:p>
      <w:pPr>
        <w:spacing w:after="0" w:line="171" w:lineRule="exact"/>
        <w:rPr>
          <w:sz w:val="20"/>
          <w:szCs w:val="20"/>
          <w:color w:val="auto"/>
        </w:rPr>
      </w:pPr>
    </w:p>
    <w:p>
      <w:pPr>
        <w:ind w:right="700" w:firstLine="382"/>
        <w:spacing w:after="0" w:line="271" w:lineRule="auto"/>
        <w:rPr>
          <w:sz w:val="20"/>
          <w:szCs w:val="20"/>
          <w:color w:val="auto"/>
        </w:rPr>
      </w:pPr>
      <w:r>
        <w:rPr>
          <w:rFonts w:ascii="Arial" w:cs="Arial" w:eastAsia="Arial" w:hAnsi="Arial"/>
          <w:sz w:val="18"/>
          <w:szCs w:val="18"/>
          <w:color w:val="auto"/>
        </w:rPr>
        <w:t>Shareholders of record at the close of business on [ ], 2026, are entitled to receive this notice and vote at the meeting and any adjournment or postponement thereof.</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86360</wp:posOffset>
            </wp:positionV>
            <wp:extent cx="129413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41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E. Becker</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2447925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1040130</wp:posOffset>
            </wp:positionV>
            <wp:extent cx="7132320" cy="2623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17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b w:val="1"/>
          <w:bCs w:val="1"/>
          <w:color w:val="auto"/>
        </w:rPr>
        <w:t>It is important that your shares be represented at the Annual Meeting whether or not you are personally able to attend. Even if you do plan to attend the Annual Meeting, we urge you to promptly vote by using the enclosed WHITE proxy card to vote by telephone or the Internet. You may also sign, date and return the WHITE proxy card in the postage-paid envelope provided. If your shares are held by a broker, bank or other nominee, you must follow the instructions provided by your broker, bank or other nominee to vote your shares and you may not vote your shares in person at the meeting unless you obtain a “legal proxy” from the broker, bank or other nominee that holds your shares giving you the right to vote the shares at the Annual Meeting.</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you have any questions or need help voting your shares, please call the firm assisting us with the proxy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right="3120" w:hanging="448"/>
        <w:spacing w:after="0" w:line="245" w:lineRule="auto"/>
        <w:tabs>
          <w:tab w:leader="none" w:pos="372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750-2689 (toll-free from the U.S. and Canada) +1 (412) 232-3651 (from other countries)</w:t>
      </w:r>
    </w:p>
    <w:p>
      <w:pPr>
        <w:jc w:val="center"/>
        <w:ind w:right="-139"/>
        <w:spacing w:after="0"/>
        <w:rPr>
          <w:sz w:val="20"/>
          <w:szCs w:val="20"/>
          <w:color w:val="auto"/>
        </w:rPr>
      </w:pPr>
      <w:r>
        <w:rPr>
          <w:rFonts w:ascii="Arial" w:cs="Arial" w:eastAsia="Arial" w:hAnsi="Arial"/>
          <w:sz w:val="18"/>
          <w:szCs w:val="18"/>
          <w:b w:val="1"/>
          <w:bCs w:val="1"/>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1416685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209"/>
        </w:trPr>
        <w:tc>
          <w:tcPr>
            <w:tcW w:w="5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auto"/>
                <w:w w:val="97"/>
              </w:rPr>
              <w:t>Notice</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63"/>
        </w:trPr>
        <w:tc>
          <w:tcPr>
            <w:tcW w:w="35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auto"/>
                <w:w w:val="99"/>
              </w:rPr>
              <w:t>Corporate Governance and Board Highlights</w:t>
            </w:r>
          </w:p>
        </w:tc>
        <w:tc>
          <w:tcPr>
            <w:tcW w:w="7020" w:type="dxa"/>
            <w:vAlign w:val="bottom"/>
            <w:gridSpan w:val="16"/>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6020" w:type="dxa"/>
            <w:vAlign w:val="bottom"/>
            <w:tcBorders>
              <w:bottom w:val="single" w:sz="8" w:color="0000EE"/>
            </w:tcBorders>
            <w:gridSpan w:val="35"/>
          </w:tcPr>
          <w:p>
            <w:pPr>
              <w:spacing w:after="0"/>
              <w:rPr>
                <w:sz w:val="20"/>
                <w:szCs w:val="20"/>
                <w:color w:val="auto"/>
              </w:rPr>
            </w:pPr>
            <w:r>
              <w:rPr>
                <w:rFonts w:ascii="Arial" w:cs="Arial" w:eastAsia="Arial" w:hAnsi="Arial"/>
                <w:sz w:val="18"/>
                <w:szCs w:val="18"/>
                <w:color w:val="auto"/>
              </w:rPr>
              <w:t>Questions and Answers About the Proxy Materials and the Annual Meeting</w:t>
            </w:r>
          </w:p>
        </w:tc>
        <w:tc>
          <w:tcPr>
            <w:tcW w:w="4560" w:type="dxa"/>
            <w:vAlign w:val="bottom"/>
            <w:gridSpan w:val="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10580" w:type="dxa"/>
            <w:vAlign w:val="bottom"/>
            <w:gridSpan w:val="37"/>
          </w:tcPr>
          <w:p>
            <w:pPr>
              <w:spacing w:after="0"/>
              <w:rPr>
                <w:sz w:val="20"/>
                <w:szCs w:val="20"/>
                <w:color w:val="auto"/>
              </w:rPr>
            </w:pPr>
            <w:r>
              <w:rPr>
                <w:rFonts w:ascii="Arial" w:cs="Arial" w:eastAsia="Arial" w:hAnsi="Arial"/>
                <w:sz w:val="18"/>
                <w:szCs w:val="18"/>
                <w:color w:val="auto"/>
              </w:rPr>
              <w:t>Background to the Solicitation</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5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9"/>
              </w:rPr>
              <w:t>Proposal 1: Election of Directors</w:t>
            </w:r>
          </w:p>
        </w:tc>
        <w:tc>
          <w:tcPr>
            <w:tcW w:w="8000" w:type="dxa"/>
            <w:vAlign w:val="bottom"/>
            <w:gridSpan w:val="26"/>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18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9"/>
              </w:rPr>
              <w:t>Corporate Governance</w:t>
            </w:r>
          </w:p>
        </w:tc>
        <w:tc>
          <w:tcPr>
            <w:tcW w:w="8740" w:type="dxa"/>
            <w:vAlign w:val="bottom"/>
            <w:gridSpan w:val="3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360" w:type="dxa"/>
            <w:vAlign w:val="bottom"/>
          </w:tcPr>
          <w:p>
            <w:pPr>
              <w:spacing w:after="0"/>
              <w:rPr>
                <w:sz w:val="21"/>
                <w:szCs w:val="21"/>
                <w:color w:val="auto"/>
              </w:rPr>
            </w:pPr>
          </w:p>
        </w:tc>
        <w:tc>
          <w:tcPr>
            <w:tcW w:w="342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auto"/>
              </w:rPr>
              <w:t>• Nominating and Governance Committee</w:t>
            </w:r>
          </w:p>
        </w:tc>
        <w:tc>
          <w:tcPr>
            <w:tcW w:w="6800" w:type="dxa"/>
            <w:vAlign w:val="bottom"/>
            <w:gridSpan w:val="13"/>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w w:val="99"/>
              </w:rPr>
              <w:t>Board Leadership Structure</w:t>
            </w:r>
          </w:p>
        </w:tc>
        <w:tc>
          <w:tcPr>
            <w:tcW w:w="7860" w:type="dxa"/>
            <w:vAlign w:val="bottom"/>
            <w:gridSpan w:val="25"/>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28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auto"/>
                <w:w w:val="99"/>
              </w:rPr>
              <w:t>The Board’s Role in Risk Oversight</w:t>
            </w:r>
          </w:p>
        </w:tc>
        <w:tc>
          <w:tcPr>
            <w:tcW w:w="7260" w:type="dxa"/>
            <w:vAlign w:val="bottom"/>
            <w:gridSpan w:val="19"/>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auto"/>
                <w:w w:val="98"/>
              </w:rPr>
              <w:t>Cybersecurity</w:t>
            </w:r>
          </w:p>
        </w:tc>
        <w:tc>
          <w:tcPr>
            <w:tcW w:w="8960" w:type="dxa"/>
            <w:vAlign w:val="bottom"/>
            <w:gridSpan w:val="33"/>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3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35"/>
          </w:tcPr>
          <w:p>
            <w:pPr>
              <w:spacing w:after="0"/>
              <w:rPr>
                <w:sz w:val="20"/>
                <w:szCs w:val="20"/>
                <w:color w:val="auto"/>
              </w:rPr>
            </w:pPr>
            <w:r>
              <w:rPr>
                <w:rFonts w:ascii="Arial" w:cs="Arial" w:eastAsia="Arial" w:hAnsi="Arial"/>
                <w:sz w:val="18"/>
                <w:szCs w:val="18"/>
                <w:color w:val="auto"/>
              </w:rPr>
              <w:t>The Board’s Role in Corporate Strategy</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360" w:type="dxa"/>
            <w:vAlign w:val="bottom"/>
          </w:tcPr>
          <w:p>
            <w:pPr>
              <w:spacing w:after="0"/>
              <w:rPr>
                <w:sz w:val="21"/>
                <w:szCs w:val="21"/>
                <w:color w:val="auto"/>
              </w:rPr>
            </w:pPr>
          </w:p>
        </w:tc>
        <w:tc>
          <w:tcPr>
            <w:tcW w:w="1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auto"/>
              </w:rPr>
              <w:t>•</w:t>
            </w:r>
          </w:p>
        </w:tc>
        <w:tc>
          <w:tcPr>
            <w:tcW w:w="284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auto"/>
              </w:rPr>
              <w:t>Corporate Responsibility Highlights</w:t>
            </w:r>
          </w:p>
        </w:tc>
        <w:tc>
          <w:tcPr>
            <w:tcW w:w="300" w:type="dxa"/>
            <w:vAlign w:val="bottom"/>
            <w:tcBorders>
              <w:top w:val="single" w:sz="8" w:color="0000EE"/>
            </w:tcBorders>
            <w:gridSpan w:val="4"/>
          </w:tcPr>
          <w:p>
            <w:pPr>
              <w:spacing w:after="0"/>
              <w:rPr>
                <w:sz w:val="21"/>
                <w:szCs w:val="21"/>
                <w:color w:val="auto"/>
              </w:rPr>
            </w:pPr>
          </w:p>
        </w:tc>
        <w:tc>
          <w:tcPr>
            <w:tcW w:w="6920" w:type="dxa"/>
            <w:vAlign w:val="bottom"/>
            <w:gridSpan w:val="14"/>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rPr>
              <w:t>Board Self-Evaluation Process</w:t>
            </w:r>
          </w:p>
        </w:tc>
        <w:tc>
          <w:tcPr>
            <w:tcW w:w="7580" w:type="dxa"/>
            <w:vAlign w:val="bottom"/>
            <w:gridSpan w:val="24"/>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7140" w:type="dxa"/>
            <w:vAlign w:val="bottom"/>
            <w:tcBorders>
              <w:bottom w:val="single" w:sz="8" w:color="0000EE"/>
            </w:tcBorders>
            <w:gridSpan w:val="34"/>
          </w:tcPr>
          <w:p>
            <w:pPr>
              <w:spacing w:after="0"/>
              <w:rPr>
                <w:sz w:val="20"/>
                <w:szCs w:val="20"/>
                <w:color w:val="auto"/>
              </w:rPr>
            </w:pPr>
            <w:r>
              <w:rPr>
                <w:rFonts w:ascii="Arial" w:cs="Arial" w:eastAsia="Arial" w:hAnsi="Arial"/>
                <w:sz w:val="18"/>
                <w:szCs w:val="18"/>
                <w:color w:val="auto"/>
                <w:w w:val="99"/>
              </w:rPr>
              <w:t>Communications with Directors by Shareholders, Employees and Other Interested Parties</w:t>
            </w:r>
          </w:p>
        </w:tc>
        <w:tc>
          <w:tcPr>
            <w:tcW w:w="29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auto"/>
                <w:w w:val="99"/>
              </w:rPr>
              <w:t>Directors’ Annual Meeting Attendance</w:t>
            </w:r>
          </w:p>
        </w:tc>
        <w:tc>
          <w:tcPr>
            <w:tcW w:w="7040" w:type="dxa"/>
            <w:vAlign w:val="bottom"/>
            <w:gridSpan w:val="17"/>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8"/>
              </w:rPr>
              <w:t>Directors’ Age Limit</w:t>
            </w:r>
          </w:p>
        </w:tc>
        <w:tc>
          <w:tcPr>
            <w:tcW w:w="8500" w:type="dxa"/>
            <w:vAlign w:val="bottom"/>
            <w:gridSpan w:val="29"/>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9"/>
              </w:rPr>
              <w:t>Legal Proceedings</w:t>
            </w:r>
          </w:p>
        </w:tc>
        <w:tc>
          <w:tcPr>
            <w:tcW w:w="8560" w:type="dxa"/>
            <w:vAlign w:val="bottom"/>
            <w:gridSpan w:val="30"/>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auto"/>
              </w:rPr>
              <w:t>Corporate Governance Guidelines</w:t>
            </w:r>
          </w:p>
        </w:tc>
        <w:tc>
          <w:tcPr>
            <w:tcW w:w="7280" w:type="dxa"/>
            <w:vAlign w:val="bottom"/>
            <w:gridSpan w:val="20"/>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5340" w:type="dxa"/>
            <w:vAlign w:val="bottom"/>
            <w:tcBorders>
              <w:bottom w:val="single" w:sz="8" w:color="0000EE"/>
            </w:tcBorders>
            <w:gridSpan w:val="32"/>
          </w:tcPr>
          <w:p>
            <w:pPr>
              <w:spacing w:after="0"/>
              <w:rPr>
                <w:sz w:val="20"/>
                <w:szCs w:val="20"/>
                <w:color w:val="auto"/>
              </w:rPr>
            </w:pPr>
            <w:r>
              <w:rPr>
                <w:rFonts w:ascii="Arial" w:cs="Arial" w:eastAsia="Arial" w:hAnsi="Arial"/>
                <w:sz w:val="18"/>
                <w:szCs w:val="18"/>
                <w:color w:val="auto"/>
                <w:w w:val="99"/>
              </w:rPr>
              <w:t>Code of Business Conduct and Ethics for Employees and Directors</w:t>
            </w:r>
          </w:p>
        </w:tc>
        <w:tc>
          <w:tcPr>
            <w:tcW w:w="4720" w:type="dxa"/>
            <w:vAlign w:val="bottom"/>
            <w:gridSpan w:val="3"/>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360" w:type="dxa"/>
            <w:vAlign w:val="bottom"/>
          </w:tcPr>
          <w:p>
            <w:pPr>
              <w:spacing w:after="0"/>
              <w:rPr>
                <w:sz w:val="21"/>
                <w:szCs w:val="21"/>
                <w:color w:val="auto"/>
              </w:rPr>
            </w:pPr>
          </w:p>
        </w:tc>
        <w:tc>
          <w:tcPr>
            <w:tcW w:w="10220" w:type="dxa"/>
            <w:vAlign w:val="bottom"/>
            <w:gridSpan w:val="36"/>
          </w:tcPr>
          <w:p>
            <w:pPr>
              <w:spacing w:after="0"/>
              <w:rPr>
                <w:sz w:val="20"/>
                <w:szCs w:val="20"/>
                <w:color w:val="auto"/>
              </w:rPr>
            </w:pPr>
            <w:r>
              <w:rPr>
                <w:rFonts w:ascii="Arial" w:cs="Arial" w:eastAsia="Arial" w:hAnsi="Arial"/>
                <w:sz w:val="18"/>
                <w:szCs w:val="18"/>
                <w:color w:val="auto"/>
              </w:rPr>
              <w:t>• Website</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10580" w:type="dxa"/>
            <w:vAlign w:val="bottom"/>
            <w:gridSpan w:val="37"/>
          </w:tcPr>
          <w:p>
            <w:pPr>
              <w:spacing w:after="0"/>
              <w:rPr>
                <w:sz w:val="20"/>
                <w:szCs w:val="20"/>
                <w:color w:val="auto"/>
              </w:rPr>
            </w:pPr>
            <w:r>
              <w:rPr>
                <w:rFonts w:ascii="Arial" w:cs="Arial" w:eastAsia="Arial" w:hAnsi="Arial"/>
                <w:sz w:val="18"/>
                <w:szCs w:val="18"/>
                <w:color w:val="auto"/>
              </w:rPr>
              <w:t>Security Ownership of Officers, Directors and Principal Shareholders</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3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w:t>
            </w:r>
          </w:p>
        </w:tc>
        <w:tc>
          <w:tcPr>
            <w:tcW w:w="4940" w:type="dxa"/>
            <w:vAlign w:val="bottom"/>
            <w:tcBorders>
              <w:top w:val="single" w:sz="8" w:color="0000EE"/>
            </w:tcBorders>
            <w:gridSpan w:val="31"/>
          </w:tcPr>
          <w:p>
            <w:pPr>
              <w:spacing w:after="0"/>
              <w:rPr>
                <w:sz w:val="20"/>
                <w:szCs w:val="20"/>
                <w:color w:val="auto"/>
              </w:rPr>
            </w:pPr>
            <w:r>
              <w:rPr>
                <w:rFonts w:ascii="Arial" w:cs="Arial" w:eastAsia="Arial" w:hAnsi="Arial"/>
                <w:sz w:val="18"/>
                <w:szCs w:val="18"/>
                <w:color w:val="auto"/>
              </w:rPr>
              <w:t>Principal Shareholders</w:t>
            </w:r>
          </w:p>
        </w:tc>
        <w:tc>
          <w:tcPr>
            <w:tcW w:w="5120" w:type="dxa"/>
            <w:vAlign w:val="bottom"/>
            <w:gridSpan w:val="4"/>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auto"/>
              </w:rPr>
              <w:t>• Ownership of Directors and Management</w:t>
            </w:r>
          </w:p>
        </w:tc>
        <w:tc>
          <w:tcPr>
            <w:tcW w:w="6740" w:type="dxa"/>
            <w:vAlign w:val="bottom"/>
            <w:gridSpan w:val="1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420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auto"/>
                <w:w w:val="99"/>
              </w:rPr>
              <w:t>Director and Executive Officer Ownership Guidelines</w:t>
            </w:r>
          </w:p>
        </w:tc>
        <w:tc>
          <w:tcPr>
            <w:tcW w:w="5860" w:type="dxa"/>
            <w:vAlign w:val="bottom"/>
            <w:gridSpan w:val="7"/>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362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auto"/>
                <w:w w:val="99"/>
              </w:rPr>
              <w:t>Anti-Hedging Policy for Directors and Officers</w:t>
            </w:r>
          </w:p>
        </w:tc>
        <w:tc>
          <w:tcPr>
            <w:tcW w:w="6440" w:type="dxa"/>
            <w:vAlign w:val="bottom"/>
            <w:gridSpan w:val="10"/>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3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35"/>
          </w:tcPr>
          <w:p>
            <w:pPr>
              <w:spacing w:after="0"/>
              <w:rPr>
                <w:sz w:val="20"/>
                <w:szCs w:val="20"/>
                <w:color w:val="auto"/>
              </w:rPr>
            </w:pPr>
            <w:r>
              <w:rPr>
                <w:rFonts w:ascii="Arial" w:cs="Arial" w:eastAsia="Arial" w:hAnsi="Arial"/>
                <w:sz w:val="18"/>
                <w:szCs w:val="18"/>
                <w:color w:val="auto"/>
              </w:rPr>
              <w:t>Insider Trading Policy</w:t>
            </w: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auto"/>
                <w:w w:val="99"/>
              </w:rPr>
              <w:t>Delinquent Section 16(a) Reports</w:t>
            </w:r>
          </w:p>
        </w:tc>
        <w:tc>
          <w:tcPr>
            <w:tcW w:w="7400" w:type="dxa"/>
            <w:vAlign w:val="bottom"/>
            <w:gridSpan w:val="2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20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9"/>
              </w:rPr>
              <w:t>Executive Compensation</w:t>
            </w:r>
          </w:p>
        </w:tc>
        <w:tc>
          <w:tcPr>
            <w:tcW w:w="8580" w:type="dxa"/>
            <w:vAlign w:val="bottom"/>
            <w:gridSpan w:val="31"/>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0"/>
        </w:trPr>
        <w:tc>
          <w:tcPr>
            <w:tcW w:w="3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35"/>
          </w:tcPr>
          <w:p>
            <w:pPr>
              <w:spacing w:after="0"/>
              <w:rPr>
                <w:sz w:val="20"/>
                <w:szCs w:val="20"/>
                <w:color w:val="auto"/>
              </w:rPr>
            </w:pPr>
            <w:r>
              <w:rPr>
                <w:rFonts w:ascii="Arial" w:cs="Arial" w:eastAsia="Arial" w:hAnsi="Arial"/>
                <w:sz w:val="18"/>
                <w:szCs w:val="18"/>
                <w:color w:val="auto"/>
              </w:rPr>
              <w:t>Compensation Discussion and Analysis</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360" w:type="dxa"/>
            <w:vAlign w:val="bottom"/>
          </w:tcPr>
          <w:p>
            <w:pPr>
              <w:spacing w:after="0"/>
              <w:rPr>
                <w:sz w:val="20"/>
                <w:szCs w:val="20"/>
                <w:color w:val="auto"/>
              </w:rPr>
            </w:pPr>
          </w:p>
        </w:tc>
        <w:tc>
          <w:tcPr>
            <w:tcW w:w="288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auto"/>
              </w:rPr>
              <w:t>• Compensation Committee Report</w:t>
            </w:r>
          </w:p>
        </w:tc>
        <w:tc>
          <w:tcPr>
            <w:tcW w:w="420" w:type="dxa"/>
            <w:vAlign w:val="bottom"/>
            <w:tcBorders>
              <w:top w:val="single" w:sz="8" w:color="0000EE"/>
            </w:tcBorders>
            <w:gridSpan w:val="7"/>
          </w:tcPr>
          <w:p>
            <w:pPr>
              <w:spacing w:after="0"/>
              <w:rPr>
                <w:sz w:val="20"/>
                <w:szCs w:val="20"/>
                <w:color w:val="auto"/>
              </w:rPr>
            </w:pPr>
          </w:p>
        </w:tc>
        <w:tc>
          <w:tcPr>
            <w:tcW w:w="6920" w:type="dxa"/>
            <w:vAlign w:val="bottom"/>
            <w:gridSpan w:val="14"/>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6"/>
        </w:trPr>
        <w:tc>
          <w:tcPr>
            <w:tcW w:w="360" w:type="dxa"/>
            <w:vAlign w:val="bottom"/>
          </w:tcPr>
          <w:p>
            <w:pPr>
              <w:spacing w:after="0"/>
              <w:rPr>
                <w:sz w:val="20"/>
                <w:szCs w:val="20"/>
                <w:color w:val="auto"/>
              </w:rPr>
            </w:pPr>
          </w:p>
        </w:tc>
        <w:tc>
          <w:tcPr>
            <w:tcW w:w="506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auto"/>
                <w:w w:val="99"/>
              </w:rPr>
              <w:t>•   Compensation Committee Interlocks and Insider Participation</w:t>
            </w:r>
          </w:p>
        </w:tc>
        <w:tc>
          <w:tcPr>
            <w:tcW w:w="5160" w:type="dxa"/>
            <w:vAlign w:val="bottom"/>
            <w:gridSpan w:val="5"/>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360" w:type="dxa"/>
            <w:vAlign w:val="bottom"/>
          </w:tcPr>
          <w:p>
            <w:pPr>
              <w:spacing w:after="0"/>
              <w:rPr>
                <w:sz w:val="20"/>
                <w:szCs w:val="20"/>
                <w:color w:val="auto"/>
              </w:rPr>
            </w:pPr>
          </w:p>
        </w:tc>
        <w:tc>
          <w:tcPr>
            <w:tcW w:w="2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auto"/>
              </w:rPr>
              <w:t>• Summary Compensation Table</w:t>
            </w:r>
          </w:p>
        </w:tc>
        <w:tc>
          <w:tcPr>
            <w:tcW w:w="7540" w:type="dxa"/>
            <w:vAlign w:val="bottom"/>
            <w:gridSpan w:val="23"/>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360" w:type="dxa"/>
            <w:vAlign w:val="bottom"/>
          </w:tcPr>
          <w:p>
            <w:pPr>
              <w:spacing w:after="0"/>
              <w:rPr>
                <w:sz w:val="20"/>
                <w:szCs w:val="20"/>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360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auto"/>
                <w:w w:val="99"/>
              </w:rPr>
              <w:t>Grants of Plan-Based Awards for Fiscal 2026</w:t>
            </w:r>
          </w:p>
        </w:tc>
        <w:tc>
          <w:tcPr>
            <w:tcW w:w="6460" w:type="dxa"/>
            <w:vAlign w:val="bottom"/>
            <w:gridSpan w:val="11"/>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6"/>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35"/>
          </w:tcPr>
          <w:p>
            <w:pPr>
              <w:spacing w:after="0"/>
              <w:rPr>
                <w:sz w:val="20"/>
                <w:szCs w:val="20"/>
                <w:color w:val="auto"/>
              </w:rPr>
            </w:pPr>
            <w:r>
              <w:rPr>
                <w:rFonts w:ascii="Arial" w:cs="Arial" w:eastAsia="Arial" w:hAnsi="Arial"/>
                <w:sz w:val="18"/>
                <w:szCs w:val="18"/>
                <w:color w:val="auto"/>
              </w:rPr>
              <w:t>Outstanding Equity Awards at Fiscal 2026 Year-End</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6"/>
        </w:trPr>
        <w:tc>
          <w:tcPr>
            <w:tcW w:w="360" w:type="dxa"/>
            <w:vAlign w:val="bottom"/>
          </w:tcPr>
          <w:p>
            <w:pPr>
              <w:spacing w:after="0"/>
              <w:rPr>
                <w:sz w:val="20"/>
                <w:szCs w:val="20"/>
                <w:color w:val="auto"/>
              </w:rPr>
            </w:pPr>
          </w:p>
        </w:tc>
        <w:tc>
          <w:tcPr>
            <w:tcW w:w="1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auto"/>
              </w:rPr>
              <w:t>•</w:t>
            </w:r>
          </w:p>
        </w:tc>
        <w:tc>
          <w:tcPr>
            <w:tcW w:w="3980" w:type="dxa"/>
            <w:vAlign w:val="bottom"/>
            <w:tcBorders>
              <w:top w:val="single" w:sz="8" w:color="0000EE"/>
              <w:bottom w:val="single" w:sz="8" w:color="0000EE"/>
            </w:tcBorders>
            <w:gridSpan w:val="26"/>
          </w:tcPr>
          <w:p>
            <w:pPr>
              <w:spacing w:after="0"/>
              <w:rPr>
                <w:sz w:val="20"/>
                <w:szCs w:val="20"/>
                <w:color w:val="auto"/>
              </w:rPr>
            </w:pPr>
            <w:r>
              <w:rPr>
                <w:rFonts w:ascii="Arial" w:cs="Arial" w:eastAsia="Arial" w:hAnsi="Arial"/>
                <w:sz w:val="18"/>
                <w:szCs w:val="18"/>
                <w:color w:val="auto"/>
                <w:w w:val="99"/>
              </w:rPr>
              <w:t>Option Exercises and Stock Vested in Fiscal 2026</w:t>
            </w:r>
          </w:p>
        </w:tc>
        <w:tc>
          <w:tcPr>
            <w:tcW w:w="160" w:type="dxa"/>
            <w:vAlign w:val="bottom"/>
            <w:tcBorders>
              <w:top w:val="single" w:sz="8" w:color="0000EE"/>
            </w:tcBorders>
          </w:tcPr>
          <w:p>
            <w:pPr>
              <w:spacing w:after="0"/>
              <w:rPr>
                <w:sz w:val="20"/>
                <w:szCs w:val="20"/>
                <w:color w:val="auto"/>
              </w:rPr>
            </w:pPr>
          </w:p>
        </w:tc>
        <w:tc>
          <w:tcPr>
            <w:tcW w:w="5920" w:type="dxa"/>
            <w:vAlign w:val="bottom"/>
            <w:gridSpan w:val="8"/>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6"/>
        </w:trPr>
        <w:tc>
          <w:tcPr>
            <w:tcW w:w="360" w:type="dxa"/>
            <w:vAlign w:val="bottom"/>
          </w:tcPr>
          <w:p>
            <w:pPr>
              <w:spacing w:after="0"/>
              <w:rPr>
                <w:sz w:val="20"/>
                <w:szCs w:val="20"/>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30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auto"/>
                <w:w w:val="99"/>
              </w:rPr>
              <w:t>Non-Qualified Deferred Compensation</w:t>
            </w:r>
          </w:p>
        </w:tc>
        <w:tc>
          <w:tcPr>
            <w:tcW w:w="7000" w:type="dxa"/>
            <w:vAlign w:val="bottom"/>
            <w:gridSpan w:val="15"/>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6"/>
        </w:trPr>
        <w:tc>
          <w:tcPr>
            <w:tcW w:w="360" w:type="dxa"/>
            <w:vAlign w:val="bottom"/>
          </w:tcPr>
          <w:p>
            <w:pPr>
              <w:spacing w:after="0"/>
              <w:rPr>
                <w:sz w:val="20"/>
                <w:szCs w:val="20"/>
                <w:color w:val="auto"/>
              </w:rPr>
            </w:pPr>
          </w:p>
        </w:tc>
        <w:tc>
          <w:tcPr>
            <w:tcW w:w="10220" w:type="dxa"/>
            <w:vAlign w:val="bottom"/>
            <w:gridSpan w:val="36"/>
          </w:tcPr>
          <w:p>
            <w:pPr>
              <w:spacing w:after="0"/>
              <w:rPr>
                <w:sz w:val="20"/>
                <w:szCs w:val="20"/>
                <w:color w:val="auto"/>
              </w:rPr>
            </w:pPr>
            <w:r>
              <w:rPr>
                <w:rFonts w:ascii="Arial" w:cs="Arial" w:eastAsia="Arial" w:hAnsi="Arial"/>
                <w:sz w:val="18"/>
                <w:szCs w:val="18"/>
                <w:color w:val="auto"/>
              </w:rPr>
              <w:t>• Change of Control Arrangements and Severance Plans</w:t>
            </w: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850"/>
        </w:trPr>
        <w:tc>
          <w:tcPr>
            <w:tcW w:w="360" w:type="dxa"/>
            <w:vAlign w:val="bottom"/>
            <w:tcBorders>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250"/>
        </w:trPr>
        <w:tc>
          <w:tcPr>
            <w:tcW w:w="360" w:type="dxa"/>
            <w:vAlign w:val="bottom"/>
          </w:tcPr>
          <w:p>
            <w:pPr>
              <w:spacing w:after="0"/>
              <w:rPr>
                <w:sz w:val="21"/>
                <w:szCs w:val="21"/>
                <w:color w:val="auto"/>
              </w:rPr>
            </w:pPr>
          </w:p>
        </w:tc>
        <w:tc>
          <w:tcPr>
            <w:tcW w:w="13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auto"/>
              </w:rPr>
              <w:t>• CEO Pay Ratio</w:t>
            </w:r>
          </w:p>
        </w:tc>
        <w:tc>
          <w:tcPr>
            <w:tcW w:w="8840" w:type="dxa"/>
            <w:vAlign w:val="bottom"/>
            <w:gridSpan w:val="11"/>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6"/>
        </w:trPr>
        <w:tc>
          <w:tcPr>
            <w:tcW w:w="360" w:type="dxa"/>
            <w:vAlign w:val="bottom"/>
          </w:tcPr>
          <w:p>
            <w:pPr>
              <w:spacing w:after="0"/>
              <w:rPr>
                <w:sz w:val="20"/>
                <w:szCs w:val="20"/>
                <w:color w:val="auto"/>
              </w:rPr>
            </w:pPr>
          </w:p>
        </w:tc>
        <w:tc>
          <w:tcPr>
            <w:tcW w:w="27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rPr>
              <w:t>• Equity Award Timing Disclosure</w:t>
            </w:r>
          </w:p>
        </w:tc>
        <w:tc>
          <w:tcPr>
            <w:tcW w:w="7520" w:type="dxa"/>
            <w:vAlign w:val="bottom"/>
            <w:gridSpan w:val="7"/>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360" w:type="dxa"/>
            <w:vAlign w:val="bottom"/>
          </w:tcPr>
          <w:p>
            <w:pPr>
              <w:spacing w:after="0"/>
              <w:rPr>
                <w:sz w:val="21"/>
                <w:szCs w:val="21"/>
                <w:color w:val="auto"/>
              </w:rPr>
            </w:pPr>
          </w:p>
        </w:tc>
        <w:tc>
          <w:tcPr>
            <w:tcW w:w="26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rPr>
              <w:t>• Pay Versus Performance Table</w:t>
            </w:r>
          </w:p>
        </w:tc>
        <w:tc>
          <w:tcPr>
            <w:tcW w:w="7560" w:type="dxa"/>
            <w:vAlign w:val="bottom"/>
            <w:gridSpan w:val="8"/>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7"/>
        </w:trPr>
        <w:tc>
          <w:tcPr>
            <w:tcW w:w="10580" w:type="dxa"/>
            <w:vAlign w:val="bottom"/>
            <w:gridSpan w:val="15"/>
          </w:tcPr>
          <w:p>
            <w:pPr>
              <w:spacing w:after="0"/>
              <w:rPr>
                <w:sz w:val="20"/>
                <w:szCs w:val="20"/>
                <w:color w:val="auto"/>
              </w:rPr>
            </w:pPr>
            <w:r>
              <w:rPr>
                <w:rFonts w:ascii="Arial" w:cs="Arial" w:eastAsia="Arial" w:hAnsi="Arial"/>
                <w:sz w:val="18"/>
                <w:szCs w:val="18"/>
                <w:color w:val="auto"/>
              </w:rPr>
              <w:t>Director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10580" w:type="dxa"/>
            <w:vAlign w:val="bottom"/>
            <w:gridSpan w:val="15"/>
          </w:tcPr>
          <w:p>
            <w:pPr>
              <w:spacing w:after="0"/>
              <w:rPr>
                <w:sz w:val="20"/>
                <w:szCs w:val="20"/>
                <w:color w:val="auto"/>
              </w:rPr>
            </w:pPr>
            <w:r>
              <w:rPr>
                <w:rFonts w:ascii="Arial" w:cs="Arial" w:eastAsia="Arial" w:hAnsi="Arial"/>
                <w:sz w:val="18"/>
                <w:szCs w:val="18"/>
                <w:color w:val="auto"/>
              </w:rPr>
              <w:t>Proposal 2: Advisory Vote on Compensation of Named Executive Officers</w:t>
            </w: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79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auto"/>
                <w:w w:val="99"/>
              </w:rPr>
              <w:t>Proposal 3: Approval of the Genesco Inc. Fourth Amended and Restated 2020 Equity Incentive Plan</w:t>
            </w:r>
          </w:p>
        </w:tc>
        <w:tc>
          <w:tcPr>
            <w:tcW w:w="2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10580" w:type="dxa"/>
            <w:vAlign w:val="bottom"/>
            <w:gridSpan w:val="15"/>
          </w:tcPr>
          <w:p>
            <w:pPr>
              <w:spacing w:after="0"/>
              <w:rPr>
                <w:sz w:val="20"/>
                <w:szCs w:val="20"/>
                <w:color w:val="auto"/>
              </w:rPr>
            </w:pPr>
            <w:r>
              <w:rPr>
                <w:rFonts w:ascii="Arial" w:cs="Arial" w:eastAsia="Arial" w:hAnsi="Arial"/>
                <w:sz w:val="18"/>
                <w:szCs w:val="18"/>
                <w:color w:val="auto"/>
              </w:rPr>
              <w:t>Audit Matters</w:t>
            </w: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59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9"/>
              </w:rPr>
              <w:t>Proposal 4: Ratification of Independent Registered Public Accounting Firm</w:t>
            </w:r>
          </w:p>
        </w:tc>
        <w:tc>
          <w:tcPr>
            <w:tcW w:w="4660" w:type="dxa"/>
            <w:vAlign w:val="bottom"/>
            <w:gridSpan w:val="4"/>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31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auto"/>
                <w:w w:val="99"/>
              </w:rPr>
              <w:t>Proposals for the 2027 Annual Meeting</w:t>
            </w:r>
          </w:p>
        </w:tc>
        <w:tc>
          <w:tcPr>
            <w:tcW w:w="7460" w:type="dxa"/>
            <w:vAlign w:val="bottom"/>
            <w:gridSpan w:val="6"/>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50"/>
        </w:trPr>
        <w:tc>
          <w:tcPr>
            <w:tcW w:w="10580" w:type="dxa"/>
            <w:vAlign w:val="bottom"/>
            <w:gridSpan w:val="15"/>
          </w:tcPr>
          <w:p>
            <w:pPr>
              <w:spacing w:after="0"/>
              <w:rPr>
                <w:sz w:val="20"/>
                <w:szCs w:val="20"/>
                <w:color w:val="auto"/>
              </w:rPr>
            </w:pPr>
            <w:r>
              <w:rPr>
                <w:rFonts w:ascii="Arial" w:cs="Arial" w:eastAsia="Arial" w:hAnsi="Arial"/>
                <w:sz w:val="18"/>
                <w:szCs w:val="18"/>
                <w:color w:val="auto"/>
              </w:rPr>
              <w:t>Financial Statements Available</w:t>
            </w: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50"/>
        </w:trPr>
        <w:tc>
          <w:tcPr>
            <w:tcW w:w="15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auto"/>
                <w:w w:val="99"/>
              </w:rPr>
              <w:t>Cost of Solicitation</w:t>
            </w:r>
          </w:p>
        </w:tc>
        <w:tc>
          <w:tcPr>
            <w:tcW w:w="960" w:type="dxa"/>
            <w:vAlign w:val="bottom"/>
            <w:tcBorders>
              <w:top w:val="single" w:sz="8" w:color="0000EE"/>
            </w:tcBorders>
            <w:gridSpan w:val="3"/>
          </w:tcPr>
          <w:p>
            <w:pPr>
              <w:spacing w:after="0"/>
              <w:rPr>
                <w:sz w:val="21"/>
                <w:szCs w:val="21"/>
                <w:color w:val="auto"/>
              </w:rPr>
            </w:pPr>
          </w:p>
        </w:tc>
        <w:tc>
          <w:tcPr>
            <w:tcW w:w="8120" w:type="dxa"/>
            <w:vAlign w:val="bottom"/>
            <w:gridSpan w:val="9"/>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0"/>
        </w:trPr>
        <w:tc>
          <w:tcPr>
            <w:tcW w:w="69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auto"/>
                <w:w w:val="99"/>
              </w:rPr>
              <w:t>Appendix A --- Genesco Inc. Fourth Amended and Restated 2020 Equity Incentive Plan</w:t>
            </w:r>
          </w:p>
        </w:tc>
        <w:tc>
          <w:tcPr>
            <w:tcW w:w="3620" w:type="dxa"/>
            <w:vAlign w:val="bottom"/>
            <w:gridSpan w:val="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50"/>
        </w:trPr>
        <w:tc>
          <w:tcPr>
            <w:tcW w:w="10580" w:type="dxa"/>
            <w:vAlign w:val="bottom"/>
            <w:gridSpan w:val="15"/>
          </w:tcPr>
          <w:p>
            <w:pPr>
              <w:spacing w:after="0"/>
              <w:rPr>
                <w:sz w:val="20"/>
                <w:szCs w:val="20"/>
                <w:color w:val="auto"/>
              </w:rPr>
            </w:pPr>
            <w:r>
              <w:rPr>
                <w:rFonts w:ascii="Arial" w:cs="Arial" w:eastAsia="Arial" w:hAnsi="Arial"/>
                <w:sz w:val="18"/>
                <w:szCs w:val="18"/>
                <w:color w:val="auto"/>
              </w:rPr>
              <w:t>Appendix B --- Certain Information Regarding Participants in the Solicitation</w:t>
            </w:r>
          </w:p>
        </w:tc>
        <w:tc>
          <w:tcPr>
            <w:tcW w:w="6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1863"/>
        </w:trPr>
        <w:tc>
          <w:tcPr>
            <w:tcW w:w="360" w:type="dxa"/>
            <w:vAlign w:val="bottom"/>
            <w:tcBorders>
              <w:top w:val="single" w:sz="8" w:color="0000EE"/>
              <w:bottom w:val="single" w:sz="8" w:color="9A9A9A"/>
            </w:tcBorders>
          </w:tcPr>
          <w:p>
            <w:pPr>
              <w:spacing w:after="0"/>
              <w:rPr>
                <w:sz w:val="24"/>
                <w:szCs w:val="24"/>
                <w:color w:val="auto"/>
              </w:rPr>
            </w:pPr>
          </w:p>
        </w:tc>
        <w:tc>
          <w:tcPr>
            <w:tcW w:w="70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7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1057275</wp:posOffset>
            </wp:positionV>
            <wp:extent cx="2914650" cy="779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 ANNUAL MEETING OF SHAREHOLDERS</w:t>
      </w:r>
    </w:p>
    <w:p>
      <w:pPr>
        <w:jc w:val="center"/>
        <w:ind w:right="-39"/>
        <w:spacing w:after="0"/>
        <w:rPr>
          <w:sz w:val="20"/>
          <w:szCs w:val="20"/>
          <w:color w:val="auto"/>
        </w:rPr>
      </w:pPr>
      <w:r>
        <w:rPr>
          <w:rFonts w:ascii="Arial" w:cs="Arial" w:eastAsia="Arial" w:hAnsi="Arial"/>
          <w:sz w:val="22"/>
          <w:szCs w:val="22"/>
          <w:b w:val="1"/>
          <w:bCs w:val="1"/>
          <w:color w:val="auto"/>
        </w:rPr>
        <w:t>[  ], 2026</w:t>
      </w:r>
    </w:p>
    <w:p>
      <w:pPr>
        <w:spacing w:after="0" w:line="194" w:lineRule="exact"/>
        <w:rPr>
          <w:sz w:val="20"/>
          <w:szCs w:val="20"/>
          <w:color w:val="auto"/>
        </w:rPr>
      </w:pPr>
    </w:p>
    <w:p>
      <w:pPr>
        <w:ind w:firstLine="382"/>
        <w:spacing w:after="0" w:line="253" w:lineRule="auto"/>
        <w:rPr>
          <w:sz w:val="20"/>
          <w:szCs w:val="20"/>
          <w:color w:val="auto"/>
        </w:rPr>
      </w:pPr>
      <w:r>
        <w:rPr>
          <w:rFonts w:ascii="Arial" w:cs="Arial" w:eastAsia="Arial" w:hAnsi="Arial"/>
          <w:sz w:val="18"/>
          <w:szCs w:val="18"/>
          <w:color w:val="auto"/>
        </w:rPr>
        <w:t>The board of directors (“Board”) of Genesco Inc. (“Genesco” or the “Company”) is soliciting proxies to be voted at the 2026 annual meeting of shareholders (the “Annual Meeting”). The Annual Meeting will be held in virtual format at [ ] a.m. Central Time, on [ ], 2026. The notice that accompanies this proxy statement describes the items on the Annual Meeting agenda.</w:t>
      </w:r>
    </w:p>
    <w:p>
      <w:pPr>
        <w:spacing w:after="0" w:line="169" w:lineRule="exact"/>
        <w:rPr>
          <w:sz w:val="20"/>
          <w:szCs w:val="20"/>
          <w:color w:val="auto"/>
        </w:rPr>
      </w:pPr>
    </w:p>
    <w:p>
      <w:pPr>
        <w:ind w:right="140" w:firstLine="382"/>
        <w:spacing w:after="0" w:line="247" w:lineRule="auto"/>
        <w:rPr>
          <w:sz w:val="20"/>
          <w:szCs w:val="20"/>
          <w:color w:val="auto"/>
        </w:rPr>
      </w:pPr>
      <w:r>
        <w:rPr>
          <w:rFonts w:ascii="Arial" w:cs="Arial" w:eastAsia="Arial" w:hAnsi="Arial"/>
          <w:sz w:val="18"/>
          <w:szCs w:val="18"/>
          <w:color w:val="auto"/>
        </w:rPr>
        <w:t>The Annual Meeting will be a completely virtual meeting of shareholders, which will be held online via a live webcast at [ ], where you will be able to vote electronically and submit questions during the Annual Meeting. No physical meeting will be held. You are entitled to participate in the Annual Meeting only if you were a shareholder of the Company as of the close of business on [ ], 2026 or a validly designated proxy of such shareholder, and have pre-registered by [ ] p.m. Central Time on [ ], 2026.</w:t>
      </w:r>
    </w:p>
    <w:p>
      <w:pPr>
        <w:spacing w:after="0" w:line="174" w:lineRule="exact"/>
        <w:rPr>
          <w:sz w:val="20"/>
          <w:szCs w:val="20"/>
          <w:color w:val="auto"/>
        </w:rPr>
      </w:pPr>
    </w:p>
    <w:p>
      <w:pPr>
        <w:jc w:val="center"/>
        <w:ind w:right="160"/>
        <w:spacing w:after="0"/>
        <w:tabs>
          <w:tab w:leader="none" w:pos="140" w:val="left"/>
        </w:tabs>
        <w:rPr>
          <w:sz w:val="20"/>
          <w:szCs w:val="20"/>
          <w:color w:val="auto"/>
        </w:rPr>
      </w:pPr>
      <w:r>
        <w:rPr>
          <w:rFonts w:ascii="Arial" w:cs="Arial" w:eastAsia="Arial" w:hAnsi="Arial"/>
          <w:sz w:val="18"/>
          <w:szCs w:val="18"/>
          <w:color w:val="auto"/>
        </w:rPr>
        <w:t>These proxy materials and the accompanying WHITE proxy card were first mailed to certain shareholders on or about [</w:t>
      </w:r>
      <w:r>
        <w:rPr>
          <w:sz w:val="20"/>
          <w:szCs w:val="20"/>
          <w:color w:val="auto"/>
        </w:rPr>
        <w:tab/>
      </w:r>
      <w:r>
        <w:rPr>
          <w:rFonts w:ascii="Arial" w:cs="Arial" w:eastAsia="Arial" w:hAnsi="Arial"/>
          <w:sz w:val="17"/>
          <w:szCs w:val="17"/>
          <w:color w:val="auto"/>
        </w:rPr>
        <w:t>], 2026.</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GENESCO</w:t>
      </w:r>
    </w:p>
    <w:p>
      <w:pPr>
        <w:spacing w:after="0" w:line="212" w:lineRule="exact"/>
        <w:rPr>
          <w:sz w:val="20"/>
          <w:szCs w:val="20"/>
          <w:color w:val="auto"/>
        </w:rPr>
      </w:pPr>
    </w:p>
    <w:p>
      <w:pPr>
        <w:ind w:right="60" w:firstLine="382"/>
        <w:spacing w:after="0"/>
        <w:rPr>
          <w:sz w:val="20"/>
          <w:szCs w:val="20"/>
          <w:color w:val="auto"/>
        </w:rPr>
      </w:pPr>
      <w:r>
        <w:rPr>
          <w:rFonts w:ascii="Arial" w:cs="Arial" w:eastAsia="Arial" w:hAnsi="Arial"/>
          <w:sz w:val="18"/>
          <w:szCs w:val="18"/>
          <w:color w:val="auto"/>
        </w:rPr>
        <w:t>Genesco, a Nashville-based specialty retailer and branded company, sells footwear, apparel and accessories in more than 1,230 retail stores throughout the U.S., Puerto Rico, Canada, the United Kingdom and the Republic of Ireland, principally under the names Journeys</w:t>
      </w:r>
      <w:r>
        <w:rPr>
          <w:rFonts w:ascii="Arial" w:cs="Arial" w:eastAsia="Arial" w:hAnsi="Arial"/>
          <w:sz w:val="9"/>
          <w:szCs w:val="9"/>
          <w:color w:val="auto"/>
        </w:rPr>
        <w:t>®</w:t>
      </w:r>
      <w:r>
        <w:rPr>
          <w:rFonts w:ascii="Arial" w:cs="Arial" w:eastAsia="Arial" w:hAnsi="Arial"/>
          <w:sz w:val="18"/>
          <w:szCs w:val="18"/>
          <w:color w:val="auto"/>
        </w:rPr>
        <w:t>, Journeys Kidz</w:t>
      </w:r>
      <w:r>
        <w:rPr>
          <w:rFonts w:ascii="Arial" w:cs="Arial" w:eastAsia="Arial" w:hAnsi="Arial"/>
          <w:sz w:val="9"/>
          <w:szCs w:val="9"/>
          <w:color w:val="auto"/>
        </w:rPr>
        <w:t>®</w:t>
      </w:r>
      <w:r>
        <w:rPr>
          <w:rFonts w:ascii="Arial" w:cs="Arial" w:eastAsia="Arial" w:hAnsi="Arial"/>
          <w:sz w:val="18"/>
          <w:szCs w:val="18"/>
          <w:color w:val="auto"/>
        </w:rPr>
        <w:t>, Little Burgundy</w:t>
      </w:r>
      <w:r>
        <w:rPr>
          <w:rFonts w:ascii="Arial" w:cs="Arial" w:eastAsia="Arial" w:hAnsi="Arial"/>
          <w:sz w:val="9"/>
          <w:szCs w:val="9"/>
          <w:color w:val="auto"/>
        </w:rPr>
        <w:t>®</w:t>
      </w:r>
      <w:r>
        <w:rPr>
          <w:rFonts w:ascii="Arial" w:cs="Arial" w:eastAsia="Arial" w:hAnsi="Arial"/>
          <w:sz w:val="18"/>
          <w:szCs w:val="18"/>
          <w:color w:val="auto"/>
        </w:rPr>
        <w:t>, Schuh, Schuh Kids, Johnston &amp; Murphy</w:t>
      </w:r>
      <w:r>
        <w:rPr>
          <w:rFonts w:ascii="Arial" w:cs="Arial" w:eastAsia="Arial" w:hAnsi="Arial"/>
          <w:sz w:val="9"/>
          <w:szCs w:val="9"/>
          <w:color w:val="auto"/>
        </w:rPr>
        <w:t>®</w:t>
      </w:r>
      <w:r>
        <w:rPr>
          <w:rFonts w:ascii="Arial" w:cs="Arial" w:eastAsia="Arial" w:hAnsi="Arial"/>
          <w:sz w:val="18"/>
          <w:szCs w:val="18"/>
          <w:color w:val="auto"/>
        </w:rPr>
        <w:t>, and on internet websites www.journeys.com, www.journeyskidz.com, www.journeys.ca, www.littleburgundyshoes.com, www.schuh.co.uk, www.schuh.ie, www.schuh.eu, www.johnstonmurphy.com and www.nashvilleshoewarehouse.com. In addition, Genesco sells wholesale footwear under its Johnston &amp; Murphy brand, the licensed Dockers</w:t>
      </w:r>
      <w:r>
        <w:rPr>
          <w:rFonts w:ascii="Arial" w:cs="Arial" w:eastAsia="Arial" w:hAnsi="Arial"/>
          <w:sz w:val="9"/>
          <w:szCs w:val="9"/>
          <w:color w:val="auto"/>
        </w:rPr>
        <w:t>®</w:t>
      </w:r>
      <w:r>
        <w:rPr>
          <w:rFonts w:ascii="Arial" w:cs="Arial" w:eastAsia="Arial" w:hAnsi="Arial"/>
          <w:sz w:val="18"/>
          <w:szCs w:val="18"/>
          <w:color w:val="auto"/>
        </w:rPr>
        <w:t xml:space="preserve"> brand, the licensed Wrangler</w:t>
      </w:r>
      <w:r>
        <w:rPr>
          <w:rFonts w:ascii="Arial" w:cs="Arial" w:eastAsia="Arial" w:hAnsi="Arial"/>
          <w:sz w:val="9"/>
          <w:szCs w:val="9"/>
          <w:color w:val="auto"/>
        </w:rPr>
        <w:t>®</w:t>
      </w:r>
      <w:r>
        <w:rPr>
          <w:rFonts w:ascii="Arial" w:cs="Arial" w:eastAsia="Arial" w:hAnsi="Arial"/>
          <w:sz w:val="18"/>
          <w:szCs w:val="18"/>
          <w:color w:val="auto"/>
        </w:rPr>
        <w:t xml:space="preserve"> brand and other brands that we license. Information contained on, or accessible through, any of our websites described herein is not a part of, and is not incorporated by reference into, this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Footwear First Strategy</w:t>
      </w:r>
    </w:p>
    <w:p>
      <w:pPr>
        <w:spacing w:after="0" w:line="212" w:lineRule="exact"/>
        <w:rPr>
          <w:sz w:val="20"/>
          <w:szCs w:val="20"/>
          <w:color w:val="auto"/>
        </w:rPr>
      </w:pPr>
    </w:p>
    <w:p>
      <w:pPr>
        <w:ind w:right="660" w:firstLine="382"/>
        <w:spacing w:after="0" w:line="271" w:lineRule="auto"/>
        <w:rPr>
          <w:sz w:val="20"/>
          <w:szCs w:val="20"/>
          <w:color w:val="auto"/>
        </w:rPr>
      </w:pPr>
      <w:r>
        <w:rPr>
          <w:rFonts w:ascii="Arial" w:cs="Arial" w:eastAsia="Arial" w:hAnsi="Arial"/>
          <w:sz w:val="18"/>
          <w:szCs w:val="18"/>
          <w:color w:val="auto"/>
        </w:rPr>
        <w:t>Under our Board Chair, President, Chief Executive Officer and Interim Chief Financial Officer, Mimi E. Vaughn, Genesco unites footwear-led brands that inspire consumers with elevated, on-trend style.</w:t>
      </w:r>
    </w:p>
    <w:p>
      <w:pPr>
        <w:spacing w:after="0" w:line="140" w:lineRule="exact"/>
        <w:rPr>
          <w:sz w:val="20"/>
          <w:szCs w:val="20"/>
          <w:color w:val="auto"/>
        </w:rPr>
      </w:pPr>
    </w:p>
    <w:p>
      <w:pPr>
        <w:ind w:right="240" w:firstLine="749"/>
        <w:spacing w:after="0" w:line="253" w:lineRule="auto"/>
        <w:rPr>
          <w:sz w:val="20"/>
          <w:szCs w:val="20"/>
          <w:color w:val="auto"/>
        </w:rPr>
      </w:pPr>
      <w:r>
        <w:rPr>
          <w:rFonts w:ascii="Arial" w:cs="Arial" w:eastAsia="Arial" w:hAnsi="Arial"/>
          <w:sz w:val="18"/>
          <w:szCs w:val="18"/>
          <w:color w:val="auto"/>
        </w:rPr>
        <w:t>Footwear is what we know, and our brands are where we win. By combining winning assortments, distinctive brands, and exceptional customer experiences, we attract more customers and create loyalty. Our people are our advantage. We have the teams, the skills, and the drive for success. Our four strategic growth drivers include:</w:t>
      </w:r>
    </w:p>
    <w:p>
      <w:pPr>
        <w:spacing w:after="0" w:line="169"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Curate and create winning product;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Elevate distinctive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Create exceptional experiences;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Build amazing teams.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w:t>
      </w:r>
    </w:p>
    <w:p>
      <w:pPr>
        <w:spacing w:after="0" w:line="212"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We recognize our responsibility to people and to the environment and embrace inclusivity with respect to our employees, customers and vendors. We believe it is important to be part of the community where we operate and support and empower our employees to do the same. Equally important is our responsibility to operate our business ethically, to model excellent supply chain management and to innovate with best practices in sustainability. Our values and methodology include:</w:t>
      </w:r>
    </w:p>
    <w:p>
      <w:pPr>
        <w:spacing w:after="0" w:line="174"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Act with passion and compete to win;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Treat everyone with integrity, trust and respect;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Create an unrivaled home for all talent to grow and succeed;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Never stop being curious;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Be nimble and react fast.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 AND BOARD HIGHLIGHTS</w:t>
      </w:r>
    </w:p>
    <w:p>
      <w:pPr>
        <w:spacing w:after="0" w:line="212" w:lineRule="exact"/>
        <w:rPr>
          <w:sz w:val="20"/>
          <w:szCs w:val="20"/>
          <w:color w:val="auto"/>
        </w:rPr>
      </w:pPr>
    </w:p>
    <w:p>
      <w:pPr>
        <w:ind w:firstLine="374"/>
        <w:spacing w:after="0" w:line="245" w:lineRule="auto"/>
        <w:rPr>
          <w:sz w:val="20"/>
          <w:szCs w:val="20"/>
          <w:color w:val="auto"/>
        </w:rPr>
      </w:pPr>
      <w:r>
        <w:rPr>
          <w:rFonts w:ascii="Arial" w:cs="Arial" w:eastAsia="Arial" w:hAnsi="Arial"/>
          <w:sz w:val="18"/>
          <w:szCs w:val="18"/>
          <w:color w:val="auto"/>
        </w:rPr>
        <w:t>The Board recognizes the importance of strong corporate governance and has taken proactive steps to ensure that the Board remains aligned with shareholder interests and is best positioned to oversee the Company's strategy. Since 2019, the Board has appointed seven new directors to the Board, six of whom are independent. During the same period, a new board chair, a new lead independent director and three new committee chairs have been appointed. This commitment to refreshment demonstrates the Board’s desire to achieve a balance of tenures and perspectives with qualified individuals that collectively possess the skills necessary to provide effective oversight of the Company.</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146050</wp:posOffset>
            </wp:positionV>
            <wp:extent cx="5280660" cy="1354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8066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Board Changes Reflecting Best Practices:</w:t>
      </w:r>
    </w:p>
    <w:p>
      <w:pPr>
        <w:spacing w:after="0" w:line="212"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Added seven highly-skilled directors to the Board since 2019, six of whom are independent</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Appointed a new Board chair, new lead independent director and three new committee chairs since 2019</w:t>
      </w:r>
    </w:p>
    <w:p>
      <w:pPr>
        <w:spacing w:after="0" w:line="224" w:lineRule="exact"/>
        <w:rPr>
          <w:rFonts w:ascii="Times New Roman" w:cs="Times New Roman" w:eastAsia="Times New Roman" w:hAnsi="Times New Roman"/>
          <w:sz w:val="18"/>
          <w:szCs w:val="18"/>
          <w:color w:val="auto"/>
        </w:rPr>
      </w:pPr>
    </w:p>
    <w:p>
      <w:pPr>
        <w:jc w:val="both"/>
        <w:ind w:left="1020" w:right="120" w:hanging="503"/>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Enhanced the skill set of the Board by adding directors with skills to support Genesco’s footwear first strategy, including increased emphasis on branded retail, digital and e-commerce, technology, operations, finance, capital allocation and consumer-facing experience</w:t>
      </w:r>
    </w:p>
    <w:p>
      <w:pPr>
        <w:spacing w:after="0" w:line="170"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Maintained a highly independent Board, with eight of nine directors independent and all standing Board committees composed entirely of independent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Best Practices</w:t>
      </w:r>
    </w:p>
    <w:p>
      <w:pPr>
        <w:spacing w:after="0" w:line="21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Demonstrated commitment to thoughtful Board refreshment</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Independent director oversight, including Lead Independent Director with clearly defined responsibilities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Meaningful director and executive stock ownership guidelines</w:t>
      </w:r>
    </w:p>
    <w:p>
      <w:pPr>
        <w:spacing w:after="0" w:line="224"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Anti-hedging policy prohibiting directors and officers from hedging against future declines in the market value of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20" w:right="14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Written related-party transaction policy, requiring approval or ratification by the audit committee or, in certain circumstances, the Board</w:t>
      </w:r>
    </w:p>
    <w:p>
      <w:pPr>
        <w:spacing w:after="0" w:line="1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Code of Business Conduct and Ethics applicable to all employees, officers and directors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Annual review by the Board of the Company’s risk management processes and systems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Annual evaluation of the CEO by independent directors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Board-level oversight of governance-related risks and corporate responsibility matters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Annual Board self-evaluation</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Commitment to consider director candidates from a diverse candidate pool</w:t>
      </w:r>
    </w:p>
    <w:p>
      <w:pPr>
        <w:spacing w:after="0" w:line="224"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Board-established procedures for the Company’s shareholders and other interested parties to communicate with members of the Board</w:t>
      </w:r>
    </w:p>
    <w:p>
      <w:pPr>
        <w:spacing w:after="0" w:line="1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Policy requiring directors over the age of 75 not to be renominated to the Board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212" w:lineRule="exact"/>
        <w:rPr>
          <w:sz w:val="20"/>
          <w:szCs w:val="20"/>
          <w:color w:val="auto"/>
        </w:rPr>
      </w:pPr>
    </w:p>
    <w:p>
      <w:pPr>
        <w:ind w:firstLine="374"/>
        <w:spacing w:after="0" w:line="242" w:lineRule="auto"/>
        <w:rPr>
          <w:sz w:val="20"/>
          <w:szCs w:val="20"/>
          <w:color w:val="auto"/>
        </w:rPr>
      </w:pPr>
      <w:r>
        <w:rPr>
          <w:rFonts w:ascii="Arial" w:cs="Arial" w:eastAsia="Arial" w:hAnsi="Arial"/>
          <w:sz w:val="18"/>
          <w:szCs w:val="18"/>
          <w:color w:val="auto"/>
        </w:rPr>
        <w:t>Each year certain members of the Board and management meet with shareholders on business and corporate strategy-related items, financial and operating performance and corporate governance matters. Management reports to the full Board on these discussions. This process ensures that the Board and management understand and consider the issues important to the Company’s shareholders and enables the Company to address such issues effectively. The Company’s corporate governance profile and executive compensation programs reflect the input of shareholders from outreach efforts. The Company also extends invitations to meet with our ten largest shareholders, every quarter for a post-earnings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Pre-Registering for and Attending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pre-register for the Annual Meeting?</w:t>
      </w:r>
    </w:p>
    <w:p>
      <w:pPr>
        <w:spacing w:after="0" w:line="21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In order to attend the Annual Meeting, you must pre-register at [●] by [●] a.m. Central Time on [●], 2026. To pre-register for the meeting, please follow these instructions: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Shareholders</w:t>
      </w: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Shareholders of record as of [●], 2026 may register to participate in the Annual Meeting by visiting the website [●]. Please have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 a.m. Central Time on [●], 2026.</w:t>
      </w:r>
    </w:p>
    <w:p>
      <w:pPr>
        <w:spacing w:after="0" w:line="17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 xml:space="preserve">If you do not have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you may still register to attend the Annual Meeting by accessing [●], but you will need to provide proof of ownership of shares of our common stock or Employees’ Subordinated</w:t>
      </w:r>
    </w:p>
    <w:p>
      <w:pPr>
        <w:ind w:right="540"/>
        <w:spacing w:after="0" w:line="250" w:lineRule="auto"/>
        <w:rPr>
          <w:sz w:val="20"/>
          <w:szCs w:val="20"/>
          <w:color w:val="auto"/>
        </w:rPr>
      </w:pPr>
      <w:r>
        <w:rPr>
          <w:rFonts w:ascii="Arial" w:cs="Arial" w:eastAsia="Arial" w:hAnsi="Arial"/>
          <w:sz w:val="18"/>
          <w:szCs w:val="18"/>
          <w:color w:val="auto"/>
        </w:rPr>
        <w:t>Convertible Preferred Stock as of [●], 2026 during the registration process. Such proof of ownership may include your proxy card or a statement showing your ownership as of [●], 2026.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Shareholders</w:t>
      </w:r>
    </w:p>
    <w:p>
      <w:pPr>
        <w:spacing w:after="0" w:line="210"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Shareholders whose shares are held through a broker, bank or other nominee as of [●], 2026 may register to participate in the Annual Meeting by visiting the website [●].</w:t>
      </w:r>
    </w:p>
    <w:p>
      <w:pPr>
        <w:spacing w:after="0" w:line="15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 xml:space="preserve">Please have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form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 a.m. Central Time on [●],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Questions on How to Pre-Register</w:t>
      </w:r>
    </w:p>
    <w:p>
      <w:pPr>
        <w:spacing w:after="0" w:line="210"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If you have any questions or require any assistance with pre-registering, please contact the Company’s proxy solicitor, Innisfree M&amp;A Incorporated (“Innisfree”) at (877) 750-2689 (toll-free from the U.S. and Canada), or +1 (412) 232-3651 (from other countries).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attend the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After you register, [●] will send you a reminder email prior to the Annual Meeting with a link and instructions for entering the Annual Meeting.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reminder email will contain contact information for technical support or any other questions on how to participate in the Annual Meeting.</w:t>
      </w:r>
    </w:p>
    <w:p>
      <w:pPr>
        <w:spacing w:after="0" w:line="19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Although the Annual Meeting webcast will begin at [●] a.m. Central Time on [●], 2026, we encourage you to access the Annual Meeting site prior to the start time to allow ample time to log into the Annual Meeting webcast and test your computer system. Participants should ensure that they have a reliable Internet connection wherever they intend to participate in the Annual Meeting. Accordingly, the Annual Meeting site will first be accessible to registered shareholders beginning at [●] a.m. Central Time on the day of the Annual Meeting. Please be sure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check in by [●] a.m. Central Time on [●], 2026, the day of the Annual Meeting, so we may address any technical difficulties before the Annual Meeting live webcast begins.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ask questions at the Annual Meeting?</w:t>
      </w:r>
    </w:p>
    <w:p>
      <w:pPr>
        <w:spacing w:after="0" w:line="210"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Shareholders as of the close of business on [●], 2026 who register, attend and participate in the Annual Meeting will have an opportunity to submit questions live via the Internet during a designated portion of the Annual Meeting. These shareholders may also submit a question in advance of the Annual Meeting by registering at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 list of shareholders of record be available?</w:t>
      </w:r>
    </w:p>
    <w:p>
      <w:pPr>
        <w:spacing w:after="0" w:line="21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 xml:space="preserve">We will make available a list of shareholders of record as of the close of business of [●], 2026 for inspection by shareholders for any proper purpose from [●], 2026 through [●], 2026 at our headquarters located at 535 Marriott Drive, Nashville, Tennessee 37214. If you wish to inspect the list, please submit your request, along with proof of ownership, by email to </w:t>
      </w:r>
      <w:r>
        <w:rPr>
          <w:rFonts w:ascii="Arial" w:cs="Arial" w:eastAsia="Arial" w:hAnsi="Arial"/>
          <w:sz w:val="18"/>
          <w:szCs w:val="18"/>
          <w:u w:val="single" w:color="auto"/>
          <w:color w:val="0000FF"/>
        </w:rPr>
        <w:t>shareholderlist@genesco.com</w:t>
      </w:r>
      <w:r>
        <w:rPr>
          <w:rFonts w:ascii="Arial" w:cs="Arial" w:eastAsia="Arial" w:hAnsi="Arial"/>
          <w:sz w:val="18"/>
          <w:szCs w:val="18"/>
          <w:color w:val="auto"/>
        </w:rPr>
        <w:t>. The list will also be available electronically to shareholders of record on the meeting website during the live webcast of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Proxy Materials and Voting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included in these proxy materials and why am I receiving these proxy materials?</w:t>
      </w:r>
    </w:p>
    <w:p>
      <w:pPr>
        <w:spacing w:after="0" w:line="21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 xml:space="preserve">Our Board is soliciting proxies for our Annual Meeting. You are receiving these proxy materials, which include the Notice of Annual Meeting of Shareholders, this Proxy Statement,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and the annual report, because you owned shares of our common stock and/or Employees’ Subordinated Convertible Preferred Stock as of the close of business on [●], 2026. These proxy materials are first being sent on or about [●], 2026 to shareholders of record as of [●], 2026.</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You are invited to attend the Annual Meeting and we request that you vote on the proposals described in this Proxy Statement. Whether or not you plan to attend the Annual Meeting, we urge you to promptly sign, date and return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 the postage-paid envelope provided, or vote via the Internet or by telephone as instructed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21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A proxy is your legal designation of another person to vote the shares you own. The person you designate is called a proxy. If you designate someone as your proxy in a written document, that document is also called a proxy or a proxy card. By submitting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(either by voting electronically on the Internet or by telephone according to the instructions contained in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or by signing and returning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you authorize the persons named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to represent you and vote your shares at the meeting in accordance with your instructions. They also may vote your shares to adjourn the meeting and will be authorized to vote your shares at any postponements or adjournments of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210" w:lineRule="exact"/>
        <w:rPr>
          <w:sz w:val="20"/>
          <w:szCs w:val="20"/>
          <w:color w:val="auto"/>
        </w:rPr>
      </w:pPr>
    </w:p>
    <w:p>
      <w:pPr>
        <w:ind w:right="2200"/>
        <w:spacing w:after="0" w:line="275" w:lineRule="auto"/>
        <w:rPr>
          <w:sz w:val="20"/>
          <w:szCs w:val="20"/>
          <w:color w:val="auto"/>
        </w:rPr>
      </w:pPr>
      <w:r>
        <w:rPr>
          <w:rFonts w:ascii="Arial" w:cs="Arial" w:eastAsia="Arial" w:hAnsi="Arial"/>
          <w:sz w:val="17"/>
          <w:szCs w:val="17"/>
          <w:color w:val="auto"/>
        </w:rPr>
        <w:t>The record date for the meeting is [●], 2026. Only holders of our common stock and Employees’ Subordinated Convertible Preferred Stock as of the close of business on the record date are entitled to vote at the meeting. Each share of common stock and Employees’ Subordinated Convertible Preferred Stock is entitled to one vote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440"/>
        <w:spacing w:after="0" w:line="301" w:lineRule="auto"/>
        <w:rPr>
          <w:sz w:val="20"/>
          <w:szCs w:val="20"/>
          <w:color w:val="auto"/>
        </w:rPr>
      </w:pPr>
      <w:r>
        <w:rPr>
          <w:rFonts w:ascii="Arial" w:cs="Arial" w:eastAsia="Arial" w:hAnsi="Arial"/>
          <w:sz w:val="17"/>
          <w:szCs w:val="17"/>
          <w:color w:val="auto"/>
        </w:rPr>
        <w:t>all matters before the meeting. At the close of business on the record date, there were [●] shares of common stock and [●] shares of Employees’ Subordinated Convertible Preferred Stock outstanding and entitled to vote.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21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Each outstanding share of our common stock and Employees’ Subordinated Convertible Preferred Stock you owned as of [●], 2026 will be entitled to one vote for each matter considered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proposals to be voted on at the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proposals scheduled to be voted on at the Annual Meeting:</w:t>
      </w:r>
    </w:p>
    <w:p>
      <w:pPr>
        <w:spacing w:after="0" w:line="21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election of nine directors to the Board of Directors.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non-binding, advisory vote on the Company’s named executive officers’ compensation.</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the Genesco Inc. Fourth Amended and Restated 2020 Equity Incentive Plan.</w:t>
      </w:r>
    </w:p>
    <w:p>
      <w:pPr>
        <w:spacing w:after="0" w:line="224"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ratification of the appointment of Deloitte &amp; Touche LLP as independent registered public accounting firm to the Company for the current fiscal year.</w:t>
      </w:r>
    </w:p>
    <w:p>
      <w:pPr>
        <w:spacing w:after="0" w:line="15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BOARD UNANIMOUSLY 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w:t>
      </w:r>
      <w:r>
        <w:rPr>
          <w:rFonts w:ascii="Arial" w:cs="Arial" w:eastAsia="Arial" w:hAnsi="Arial"/>
          <w:sz w:val="18"/>
          <w:szCs w:val="18"/>
          <w:b w:val="1"/>
          <w:bCs w:val="1"/>
          <w:color w:val="auto"/>
        </w:rPr>
        <w:t>ONLY</w:t>
      </w:r>
      <w:r>
        <w:rPr>
          <w:rFonts w:ascii="Arial" w:cs="Arial" w:eastAsia="Arial" w:hAnsi="Arial"/>
          <w:sz w:val="18"/>
          <w:szCs w:val="18"/>
          <w:color w:val="auto"/>
        </w:rPr>
        <w:t xml:space="preserve"> THE NINE DIRECTORS NOMINATED BY THE BOARD AND LISTED IN THIS PROXY STATEMENT UNDER PROPOSAL 1, “</w:t>
      </w:r>
      <w:r>
        <w:rPr>
          <w:rFonts w:ascii="Arial" w:cs="Arial" w:eastAsia="Arial" w:hAnsi="Arial"/>
          <w:sz w:val="18"/>
          <w:szCs w:val="18"/>
          <w:b w:val="1"/>
          <w:bCs w:val="1"/>
          <w:color w:val="auto"/>
        </w:rPr>
        <w:t>FOR</w:t>
      </w:r>
      <w:r>
        <w:rPr>
          <w:rFonts w:ascii="Arial" w:cs="Arial" w:eastAsia="Arial" w:hAnsi="Arial"/>
          <w:sz w:val="18"/>
          <w:szCs w:val="18"/>
          <w:color w:val="auto"/>
        </w:rPr>
        <w:t>” THE NON-BINDING, ADVISORY VOTE ON THE COMPANY’S NAMED EXECUTIVE OFFICERS’ COMPENSATION UNDER PROPOSAL 2, “</w:t>
      </w:r>
      <w:r>
        <w:rPr>
          <w:rFonts w:ascii="Arial" w:cs="Arial" w:eastAsia="Arial" w:hAnsi="Arial"/>
          <w:sz w:val="18"/>
          <w:szCs w:val="18"/>
          <w:b w:val="1"/>
          <w:bCs w:val="1"/>
          <w:color w:val="auto"/>
        </w:rPr>
        <w:t>FOR</w:t>
      </w:r>
      <w:r>
        <w:rPr>
          <w:rFonts w:ascii="Arial" w:cs="Arial" w:eastAsia="Arial" w:hAnsi="Arial"/>
          <w:sz w:val="18"/>
          <w:szCs w:val="18"/>
          <w:color w:val="auto"/>
        </w:rPr>
        <w:t>” THE PROPOSAL TO APPROVE THE GENESCO INC. FOURTH AMENDED AND RESTATED 2020 EQUITY INCENTIVE PLAN UNDER PROPOSAL 3 AND “</w:t>
      </w:r>
      <w:r>
        <w:rPr>
          <w:rFonts w:ascii="Arial" w:cs="Arial" w:eastAsia="Arial" w:hAnsi="Arial"/>
          <w:sz w:val="18"/>
          <w:szCs w:val="18"/>
          <w:b w:val="1"/>
          <w:bCs w:val="1"/>
          <w:color w:val="auto"/>
        </w:rPr>
        <w:t>FOR</w:t>
      </w:r>
      <w:r>
        <w:rPr>
          <w:rFonts w:ascii="Arial" w:cs="Arial" w:eastAsia="Arial" w:hAnsi="Arial"/>
          <w:sz w:val="18"/>
          <w:szCs w:val="18"/>
          <w:color w:val="auto"/>
        </w:rPr>
        <w:t>” THE PROPOSAL TO RATIFY THE APPOINTMENT OF DELOITTE &amp; TOUCHE LLP AS INDEPENDENT REGISTERED PUBLIC ACCOUNTING FIRM TO THE COMPANY FOR THE CURRENT FISCAL YEAR UNDER PROPOSAL 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Bradley L. Radoff and how is he involved in the Annual Meeting</w:t>
      </w:r>
      <w:r>
        <w:rPr>
          <w:rFonts w:ascii="Arial" w:cs="Arial" w:eastAsia="Arial" w:hAnsi="Arial"/>
          <w:sz w:val="18"/>
          <w:szCs w:val="18"/>
          <w:b w:val="1"/>
          <w:bCs w:val="1"/>
          <w:color w:val="auto"/>
        </w:rPr>
        <w:t>?</w:t>
      </w:r>
    </w:p>
    <w:p>
      <w:pPr>
        <w:spacing w:after="0" w:line="21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Mr. Radoff has provided notice to the Company of his intent to nominate a slate of four nominees (the “Radoff Nominees”) for election as directors at the Annual Meeting.</w:t>
      </w:r>
    </w:p>
    <w:p>
      <w:pPr>
        <w:spacing w:after="0" w:line="154"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b w:val="1"/>
          <w:bCs w:val="1"/>
          <w:color w:val="auto"/>
        </w:rPr>
        <w:t xml:space="preserve">Under Securities and Exchange Commission (“SEC”) rules, we are required to use a universal proxy card that includes all nominees for election, including the Radoff Nominees. However, the Board does NOT endorse any of the Radoff Nominees and unanimously recommends that you vote “FOR” the election of ONLY the nine nominees nominated by the Board on the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w:t>
      </w:r>
    </w:p>
    <w:p>
      <w:pPr>
        <w:spacing w:after="0" w:line="16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You may receive opposition proxy solicitation materials from Mr. Radoff. </w:t>
      </w:r>
      <w:r>
        <w:rPr>
          <w:rFonts w:ascii="Arial" w:cs="Arial" w:eastAsia="Arial" w:hAnsi="Arial"/>
          <w:sz w:val="18"/>
          <w:szCs w:val="18"/>
          <w:b w:val="1"/>
          <w:bCs w:val="1"/>
          <w:color w:val="auto"/>
        </w:rPr>
        <w:t>The Board recommends that you disregard any [</w:t>
      </w:r>
      <w:r>
        <w:rPr>
          <w:rFonts w:ascii="Arial" w:cs="Arial" w:eastAsia="Arial" w:hAnsi="Arial"/>
          <w:sz w:val="18"/>
          <w:szCs w:val="18"/>
          <w:color w:val="auto"/>
        </w:rPr>
        <w:t>●</w:t>
      </w:r>
      <w:r>
        <w:rPr>
          <w:rFonts w:ascii="Arial" w:cs="Arial" w:eastAsia="Arial" w:hAnsi="Arial"/>
          <w:sz w:val="18"/>
          <w:szCs w:val="18"/>
          <w:b w:val="1"/>
          <w:bCs w:val="1"/>
          <w:color w:val="auto"/>
        </w:rPr>
        <w:t>] proxy cards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you may receive. </w:t>
      </w:r>
      <w:r>
        <w:rPr>
          <w:rFonts w:ascii="Arial" w:cs="Arial" w:eastAsia="Arial" w:hAnsi="Arial"/>
          <w:sz w:val="18"/>
          <w:szCs w:val="18"/>
          <w:color w:val="auto"/>
        </w:rPr>
        <w:t>We are not responsible for the accuracy of any information provided by or relating to Mr. Radoff and the Radoff Nominees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contained in any proxy solicitation materials filed or disseminated by, or on behalf of, Mr. Radoff or any other statements that Mr. Radoff may otherwise make. The Board strongly urges you not to sign or return any [●] proxy card sent to you by Mr. Radoff. If you already have voted using the [●] proxy card provided by Mr. Radoff, you have the right to change your vote by using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to vote by telephone or via the Internet by following the instructions provided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 xml:space="preserve">card. You may also submit your vote by signing, dating and returning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 the postage-paid envelope provided. Only the latest dated proxy card you submit will be counted.</w:t>
      </w:r>
    </w:p>
    <w:p>
      <w:pPr>
        <w:spacing w:after="0" w:line="15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If you vote “withhold” on the Radoff Nominees using the [●] proxy card provided by Mr. Radoff, your vote will not be counted as a vote for the Board’s nominees, but will result in the revocation of any previous vote you may have cast on the Company’s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If you wish to vote pursuant to the recommendation of the Board, you should disregard any [●] proxy card that you receive and vote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How will shares be voted by the </w:t>
      </w:r>
      <w:r>
        <w:rPr>
          <w:rFonts w:ascii="Arial" w:cs="Arial" w:eastAsia="Arial" w:hAnsi="Arial"/>
          <w:sz w:val="18"/>
          <w:szCs w:val="18"/>
          <w:b w:val="1"/>
          <w:bCs w:val="1"/>
          <w:i w:val="1"/>
          <w:iCs w:val="1"/>
          <w:u w:val="single" w:color="auto"/>
          <w:color w:val="auto"/>
        </w:rPr>
        <w:t>WHITE</w:t>
      </w:r>
      <w:r>
        <w:rPr>
          <w:rFonts w:ascii="Arial" w:cs="Arial" w:eastAsia="Arial" w:hAnsi="Arial"/>
          <w:sz w:val="18"/>
          <w:szCs w:val="18"/>
          <w:b w:val="1"/>
          <w:bCs w:val="1"/>
          <w:i w:val="1"/>
          <w:iCs w:val="1"/>
          <w:color w:val="auto"/>
        </w:rPr>
        <w:t xml:space="preserve"> proxy card?</w:t>
      </w:r>
    </w:p>
    <w:p>
      <w:pPr>
        <w:spacing w:after="0" w:line="21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All valid proxies will be voted as the Board unanimously recommends (i.e., “FOR” the election of </w:t>
      </w:r>
      <w:r>
        <w:rPr>
          <w:rFonts w:ascii="Arial" w:cs="Arial" w:eastAsia="Arial" w:hAnsi="Arial"/>
          <w:sz w:val="18"/>
          <w:szCs w:val="18"/>
          <w:b w:val="1"/>
          <w:bCs w:val="1"/>
          <w:color w:val="auto"/>
        </w:rPr>
        <w:t>ONLY</w:t>
      </w:r>
      <w:r>
        <w:rPr>
          <w:rFonts w:ascii="Arial" w:cs="Arial" w:eastAsia="Arial" w:hAnsi="Arial"/>
          <w:sz w:val="18"/>
          <w:szCs w:val="18"/>
          <w:color w:val="auto"/>
        </w:rPr>
        <w:t xml:space="preserve"> the nine directors nominated by the Board listed in this proxy statement, “FOR” the non-binding, advisory vote on the Company’s named executive officers’ compensation, “FOR” the proposal to approve the Genesco Inc. Fourth Amended and Restated 2020 Equity Incentive Plan and “FOR” the proposal to ratify the appointment of Deloitte &amp; Touche LLP as independent registered public accounting firm to the Company for the current fiscal year), unless otherwise specified.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change or revoke my proxy?</w:t>
      </w:r>
    </w:p>
    <w:p>
      <w:pPr>
        <w:spacing w:after="0" w:line="21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 shareholder may change a proxy by executing and delivering a later-dated proxy, by casting a new vote by telephone or the Internet or by attending the virtual Annual Meeting and voting the shares the proxy represents at the Annual Meeting.</w:t>
      </w:r>
    </w:p>
    <w:p>
      <w:pPr>
        <w:spacing w:after="0" w:line="15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 shareholder may revoke a proxy before the proxy is voted at the Annual Meeting by giving written notice of revocation to the Secretary of the Company, or by changing the proxy by any of the means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Could other matters be decided at the Annual Meeting?</w:t>
      </w:r>
    </w:p>
    <w:p>
      <w:pPr>
        <w:spacing w:after="0" w:line="21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Under our governing documents, no other business may be raised by shareholders at the Annual Meeting unless proper and timely notice has been given to us by the shareholders seeking to bring such business before the Annual Meeting. As of the date of this Proxy Statement, the Board knows of no business other than that set forth above to be transacted at the Annual Meeting, but if other matters requiring a vote do arise, it is the intention of the persons named as proxies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to whom you are granting your proxy and to whom such proxy confers discretionary authority to vote on any unanticipated matters, to vote in accordance with their best judgment on such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I contact with questions about voting?</w:t>
      </w:r>
    </w:p>
    <w:p>
      <w:pPr>
        <w:spacing w:after="0" w:line="2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color w:val="auto"/>
        </w:rPr>
        <w:t>It is extremely important that your shares be represented and voted at the Annual Meeting. If you have any questions or need assistance voting, please call our proxy solicitor, Innisfree at (877) 750-2689 (toll-free from the U.S. and Canada), or +1 (412) 232-3651 (from other countries).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and how do I vote?</w:t>
      </w:r>
    </w:p>
    <w:p>
      <w:pPr>
        <w:spacing w:after="0" w:line="210"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Whether or not you plan to attend the Annual Meeting, please vote as soon as possible. We urge you to use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to vote by telephone or Internet or to sign, date and return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in the postage-paid envelope provided. </w:t>
      </w:r>
      <w:r>
        <w:rPr>
          <w:rFonts w:ascii="Arial" w:cs="Arial" w:eastAsia="Arial" w:hAnsi="Arial"/>
          <w:sz w:val="18"/>
          <w:szCs w:val="18"/>
          <w:color w:val="auto"/>
        </w:rPr>
        <w:t>Voting now will not limit your right to change your vote or to attend the Annual Meeting. If you should be present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and desire to vote by ballot, that vote will revoke any previously submitted proxy. If your shares are held in the name of a broker, bank or other holder of record (in “street name”), follow the voting instructions you received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holder of record in order to vote your shares. If your shares are held in street name, you must provide a legal proxy from the holder of record in order to vote by ballot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deadline for submitting my proxy?</w:t>
      </w:r>
    </w:p>
    <w:p>
      <w:pPr>
        <w:spacing w:after="0" w:line="21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Deadlines for voting your shares may vary depending on how you hold your shares. Please follow the instructions showing on your WHITE proxy card or voting instruction form to ensure your shares will be represented at the Annual Meeting, timely.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the Company using a universal proxy card in connection with voting at the Annual Meeting?</w:t>
      </w:r>
    </w:p>
    <w:p>
      <w:pPr>
        <w:spacing w:after="0" w:line="21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Yes. The SEC has adopted rules requiring the use of a universal proxy card in contested director elections. Although we are required to include all nominees for election on our universal proxy card, the Board does not endorse any of the Radoff Nominees and unanimously recommends shareholders vote </w:t>
      </w:r>
      <w:r>
        <w:rPr>
          <w:rFonts w:ascii="Arial" w:cs="Arial" w:eastAsia="Arial" w:hAnsi="Arial"/>
          <w:sz w:val="18"/>
          <w:szCs w:val="18"/>
          <w:b w:val="1"/>
          <w:bCs w:val="1"/>
          <w:color w:val="auto"/>
        </w:rPr>
        <w:t>ONLY</w:t>
      </w:r>
      <w:r>
        <w:rPr>
          <w:rFonts w:ascii="Arial" w:cs="Arial" w:eastAsia="Arial" w:hAnsi="Arial"/>
          <w:sz w:val="18"/>
          <w:szCs w:val="18"/>
          <w:color w:val="auto"/>
        </w:rPr>
        <w:t xml:space="preserve"> for the nine nominees nominated by the Board and as the Board recommends on all other proposals, using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my shares be voted if I do nothing, or if I do not vote for some of the proposals listed on my proxy card?</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If you are a shareholder of record and you do not provide a proxy or vote your shares at the Annual Meeting, those shares will not be voted. If you submit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and do not vote for some of the proposals, your shares will be voted in accordance with the Board’s recommendations on those proposals.</w:t>
      </w:r>
    </w:p>
    <w:p>
      <w:pPr>
        <w:spacing w:after="0" w:line="16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If you are a shareholder whose shares are held through a broker, bank or other holder of record (in “street name”), you must vote by providing instructions to such holder of record rather than directly to the Company. If you do not instruct such holder of record, then the holder will not be able to vote your shares with respect to Proposal 1, Proposal 2 or Proposal 3, or, to the extent that Mr. Radoff provides you with his proxy materials through your broker, bank or other holder of record, Proposal 4. If Mr. Radoff does not provide you with his proxy materials through your broker, bank or other holder of record, your broker, bank or other holder of record may be able to vote your shares with respect to Proposal 4 without your specific instruction.</w:t>
      </w:r>
    </w:p>
    <w:p>
      <w:pPr>
        <w:spacing w:after="0" w:line="179"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 xml:space="preserve">We strongly encourage all street name holders to instruct your broker, bank or other holder of record to vote your shares by following the directions shown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form. Voting your shares will help to ensure that your interests are represented at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Quorum and Voting Standards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must be present to hold the meeting?</w:t>
      </w:r>
    </w:p>
    <w:p>
      <w:pPr>
        <w:spacing w:after="0" w:line="210" w:lineRule="exact"/>
        <w:rPr>
          <w:sz w:val="20"/>
          <w:szCs w:val="20"/>
          <w:color w:val="auto"/>
        </w:rPr>
      </w:pPr>
    </w:p>
    <w:p>
      <w:pPr>
        <w:ind w:right="840"/>
        <w:spacing w:after="0" w:line="245" w:lineRule="auto"/>
        <w:rPr>
          <w:sz w:val="20"/>
          <w:szCs w:val="20"/>
          <w:color w:val="auto"/>
        </w:rPr>
      </w:pPr>
      <w:r>
        <w:rPr>
          <w:rFonts w:ascii="Arial" w:cs="Arial" w:eastAsia="Arial" w:hAnsi="Arial"/>
          <w:sz w:val="18"/>
          <w:szCs w:val="18"/>
          <w:color w:val="auto"/>
        </w:rPr>
        <w:t>A quorum must be present at the meeting for any business to be conducted. A majority of the votes entitled to be cast on a matter constitutes a quorum for action on that matter. Abstentions will be counted for purposes of</w:t>
      </w:r>
    </w:p>
    <w:p>
      <w:pPr>
        <w:ind w:right="100"/>
        <w:spacing w:after="0"/>
        <w:rPr>
          <w:sz w:val="20"/>
          <w:szCs w:val="20"/>
          <w:color w:val="auto"/>
        </w:rPr>
      </w:pPr>
      <w:r>
        <w:rPr>
          <w:rFonts w:ascii="Arial" w:cs="Arial" w:eastAsia="Arial" w:hAnsi="Arial"/>
          <w:sz w:val="18"/>
          <w:szCs w:val="18"/>
          <w:color w:val="auto"/>
        </w:rPr>
        <w:t>establishing a quorum. Only to the extent broker non-votes arise in the limited circumstances noted below where a broker exercises discretionary authority with respect to Proposal 4, such broker non-votes will be counted for purposes of calculating whether a quorum is present at the Annual Meeting. Unvoted shares (including a beneficial holder’s shares for which Mr. Radoff has provided his proxy materials to the beneficial holder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beneficial holder does not provide any voting instructions to the broker) will not be counted for the purposes of determining quorum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votes required to elect each director nominee and approve the other proposals?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Arial" w:cs="Arial" w:eastAsia="Arial" w:hAnsi="Arial"/>
                <w:sz w:val="18"/>
                <w:szCs w:val="18"/>
                <w:b w:val="1"/>
                <w:bCs w:val="1"/>
                <w:color w:val="auto"/>
              </w:rPr>
              <w:t>Voting Options and Board</w:t>
            </w:r>
          </w:p>
        </w:tc>
        <w:tc>
          <w:tcPr>
            <w:tcW w:w="1720" w:type="dxa"/>
            <w:vAlign w:val="bottom"/>
          </w:tcPr>
          <w:p>
            <w:pPr>
              <w:spacing w:after="0"/>
              <w:rPr>
                <w:sz w:val="17"/>
                <w:szCs w:val="17"/>
                <w:color w:val="auto"/>
              </w:rPr>
            </w:pPr>
          </w:p>
        </w:tc>
        <w:tc>
          <w:tcPr>
            <w:tcW w:w="1880" w:type="dxa"/>
            <w:vAlign w:val="bottom"/>
          </w:tcPr>
          <w:p>
            <w:pPr>
              <w:ind w:left="220"/>
              <w:spacing w:after="0"/>
              <w:rPr>
                <w:sz w:val="20"/>
                <w:szCs w:val="20"/>
                <w:color w:val="auto"/>
              </w:rPr>
            </w:pPr>
            <w:r>
              <w:rPr>
                <w:rFonts w:ascii="Arial" w:cs="Arial" w:eastAsia="Arial" w:hAnsi="Arial"/>
                <w:sz w:val="18"/>
                <w:szCs w:val="18"/>
                <w:b w:val="1"/>
                <w:bCs w:val="1"/>
                <w:color w:val="auto"/>
              </w:rPr>
              <w:t>Effect of</w:t>
            </w:r>
          </w:p>
        </w:tc>
        <w:tc>
          <w:tcPr>
            <w:tcW w:w="1980" w:type="dxa"/>
            <w:vAlign w:val="bottom"/>
          </w:tcPr>
          <w:p>
            <w:pPr>
              <w:ind w:left="240"/>
              <w:spacing w:after="0"/>
              <w:rPr>
                <w:sz w:val="20"/>
                <w:szCs w:val="20"/>
                <w:color w:val="auto"/>
              </w:rPr>
            </w:pPr>
            <w:r>
              <w:rPr>
                <w:rFonts w:ascii="Arial" w:cs="Arial" w:eastAsia="Arial" w:hAnsi="Arial"/>
                <w:sz w:val="18"/>
                <w:szCs w:val="18"/>
                <w:b w:val="1"/>
                <w:bCs w:val="1"/>
                <w:color w:val="auto"/>
              </w:rPr>
              <w:t>Effect of Broker</w:t>
            </w:r>
          </w:p>
        </w:tc>
      </w:tr>
      <w:tr>
        <w:trPr>
          <w:trHeight w:val="248"/>
        </w:trPr>
        <w:tc>
          <w:tcPr>
            <w:tcW w:w="2780" w:type="dxa"/>
            <w:vAlign w:val="bottom"/>
            <w:tcBorders>
              <w:bottom w:val="single" w:sz="8" w:color="0DA3DD"/>
            </w:tcBorders>
          </w:tcPr>
          <w:p>
            <w:pPr>
              <w:spacing w:after="0"/>
              <w:rPr>
                <w:sz w:val="20"/>
                <w:szCs w:val="20"/>
                <w:color w:val="auto"/>
              </w:rPr>
            </w:pPr>
            <w:r>
              <w:rPr>
                <w:rFonts w:ascii="Arial" w:cs="Arial" w:eastAsia="Arial" w:hAnsi="Arial"/>
                <w:sz w:val="18"/>
                <w:szCs w:val="18"/>
                <w:b w:val="1"/>
                <w:bCs w:val="1"/>
                <w:color w:val="auto"/>
              </w:rPr>
              <w:t>Proposal</w:t>
            </w:r>
          </w:p>
        </w:tc>
        <w:tc>
          <w:tcPr>
            <w:tcW w:w="2880" w:type="dxa"/>
            <w:vAlign w:val="bottom"/>
            <w:tcBorders>
              <w:bottom w:val="single" w:sz="8" w:color="0DA3DD"/>
            </w:tcBorders>
          </w:tcPr>
          <w:p>
            <w:pPr>
              <w:ind w:left="160"/>
              <w:spacing w:after="0"/>
              <w:rPr>
                <w:sz w:val="20"/>
                <w:szCs w:val="20"/>
                <w:color w:val="auto"/>
              </w:rPr>
            </w:pPr>
            <w:r>
              <w:rPr>
                <w:rFonts w:ascii="Arial" w:cs="Arial" w:eastAsia="Arial" w:hAnsi="Arial"/>
                <w:sz w:val="18"/>
                <w:szCs w:val="18"/>
                <w:b w:val="1"/>
                <w:bCs w:val="1"/>
                <w:color w:val="auto"/>
              </w:rPr>
              <w:t>Recommendation</w:t>
            </w:r>
          </w:p>
        </w:tc>
        <w:tc>
          <w:tcPr>
            <w:tcW w:w="1720" w:type="dxa"/>
            <w:vAlign w:val="bottom"/>
            <w:tcBorders>
              <w:bottom w:val="single" w:sz="8" w:color="0DA3DD"/>
            </w:tcBorders>
          </w:tcPr>
          <w:p>
            <w:pPr>
              <w:ind w:left="100"/>
              <w:spacing w:after="0"/>
              <w:rPr>
                <w:sz w:val="20"/>
                <w:szCs w:val="20"/>
                <w:color w:val="auto"/>
              </w:rPr>
            </w:pPr>
            <w:r>
              <w:rPr>
                <w:rFonts w:ascii="Arial" w:cs="Arial" w:eastAsia="Arial" w:hAnsi="Arial"/>
                <w:sz w:val="18"/>
                <w:szCs w:val="18"/>
                <w:b w:val="1"/>
                <w:bCs w:val="1"/>
                <w:color w:val="auto"/>
              </w:rPr>
              <w:t>Voting Standard</w:t>
            </w:r>
          </w:p>
        </w:tc>
        <w:tc>
          <w:tcPr>
            <w:tcW w:w="1880" w:type="dxa"/>
            <w:vAlign w:val="bottom"/>
            <w:tcBorders>
              <w:bottom w:val="single" w:sz="8" w:color="0DA3DD"/>
            </w:tcBorders>
          </w:tcPr>
          <w:p>
            <w:pPr>
              <w:ind w:left="220"/>
              <w:spacing w:after="0"/>
              <w:rPr>
                <w:sz w:val="20"/>
                <w:szCs w:val="20"/>
                <w:color w:val="auto"/>
              </w:rPr>
            </w:pPr>
            <w:r>
              <w:rPr>
                <w:rFonts w:ascii="Arial" w:cs="Arial" w:eastAsia="Arial" w:hAnsi="Arial"/>
                <w:sz w:val="18"/>
                <w:szCs w:val="18"/>
                <w:b w:val="1"/>
                <w:bCs w:val="1"/>
                <w:color w:val="auto"/>
              </w:rPr>
              <w:t>Abstentions</w:t>
            </w:r>
          </w:p>
        </w:tc>
        <w:tc>
          <w:tcPr>
            <w:tcW w:w="1980" w:type="dxa"/>
            <w:vAlign w:val="bottom"/>
            <w:tcBorders>
              <w:bottom w:val="single" w:sz="8" w:color="0DA3DD"/>
            </w:tcBorders>
          </w:tcPr>
          <w:p>
            <w:pPr>
              <w:ind w:left="240"/>
              <w:spacing w:after="0"/>
              <w:rPr>
                <w:sz w:val="20"/>
                <w:szCs w:val="20"/>
                <w:color w:val="auto"/>
              </w:rPr>
            </w:pPr>
            <w:r>
              <w:rPr>
                <w:rFonts w:ascii="Arial" w:cs="Arial" w:eastAsia="Arial" w:hAnsi="Arial"/>
                <w:sz w:val="18"/>
                <w:szCs w:val="18"/>
                <w:b w:val="1"/>
                <w:bCs w:val="1"/>
                <w:color w:val="auto"/>
              </w:rPr>
              <w:t>Non-Votes</w:t>
            </w:r>
          </w:p>
        </w:tc>
      </w:tr>
      <w:tr>
        <w:trPr>
          <w:trHeight w:val="394"/>
        </w:trPr>
        <w:tc>
          <w:tcPr>
            <w:tcW w:w="2780" w:type="dxa"/>
            <w:vAlign w:val="bottom"/>
          </w:tcPr>
          <w:p>
            <w:pPr>
              <w:spacing w:after="0"/>
              <w:rPr>
                <w:sz w:val="20"/>
                <w:szCs w:val="20"/>
                <w:color w:val="auto"/>
              </w:rPr>
            </w:pPr>
            <w:r>
              <w:rPr>
                <w:rFonts w:ascii="Arial" w:cs="Arial" w:eastAsia="Arial" w:hAnsi="Arial"/>
                <w:sz w:val="18"/>
                <w:szCs w:val="18"/>
                <w:b w:val="1"/>
                <w:bCs w:val="1"/>
                <w:color w:val="auto"/>
              </w:rPr>
              <w:t>Proposal 1: Election of 9</w:t>
            </w:r>
          </w:p>
        </w:tc>
        <w:tc>
          <w:tcPr>
            <w:tcW w:w="2880" w:type="dxa"/>
            <w:vAlign w:val="bottom"/>
          </w:tcPr>
          <w:p>
            <w:pPr>
              <w:ind w:left="160"/>
              <w:spacing w:after="0"/>
              <w:rPr>
                <w:sz w:val="20"/>
                <w:szCs w:val="20"/>
                <w:color w:val="auto"/>
              </w:rPr>
            </w:pPr>
            <w:r>
              <w:rPr>
                <w:rFonts w:ascii="Arial" w:cs="Arial" w:eastAsia="Arial" w:hAnsi="Arial"/>
                <w:sz w:val="18"/>
                <w:szCs w:val="18"/>
                <w:color w:val="auto"/>
              </w:rPr>
              <w:t>FOR or WITHHOLD</w:t>
            </w:r>
          </w:p>
        </w:tc>
        <w:tc>
          <w:tcPr>
            <w:tcW w:w="1720" w:type="dxa"/>
            <w:vAlign w:val="bottom"/>
          </w:tcPr>
          <w:p>
            <w:pPr>
              <w:ind w:left="100"/>
              <w:spacing w:after="0"/>
              <w:rPr>
                <w:sz w:val="20"/>
                <w:szCs w:val="20"/>
                <w:color w:val="auto"/>
              </w:rPr>
            </w:pPr>
            <w:r>
              <w:rPr>
                <w:rFonts w:ascii="Arial" w:cs="Arial" w:eastAsia="Arial" w:hAnsi="Arial"/>
                <w:sz w:val="18"/>
                <w:szCs w:val="18"/>
                <w:color w:val="auto"/>
              </w:rPr>
              <w:t>Plurality of votes</w:t>
            </w:r>
          </w:p>
        </w:tc>
        <w:tc>
          <w:tcPr>
            <w:tcW w:w="1880" w:type="dxa"/>
            <w:vAlign w:val="bottom"/>
          </w:tcPr>
          <w:p>
            <w:pPr>
              <w:ind w:left="220"/>
              <w:spacing w:after="0"/>
              <w:rPr>
                <w:sz w:val="20"/>
                <w:szCs w:val="20"/>
                <w:color w:val="auto"/>
              </w:rPr>
            </w:pPr>
            <w:r>
              <w:rPr>
                <w:rFonts w:ascii="Arial" w:cs="Arial" w:eastAsia="Arial" w:hAnsi="Arial"/>
                <w:sz w:val="18"/>
                <w:szCs w:val="18"/>
                <w:color w:val="auto"/>
              </w:rPr>
              <w:t>No effect – not</w:t>
            </w:r>
          </w:p>
        </w:tc>
        <w:tc>
          <w:tcPr>
            <w:tcW w:w="1980" w:type="dxa"/>
            <w:vAlign w:val="bottom"/>
          </w:tcPr>
          <w:p>
            <w:pPr>
              <w:ind w:left="240"/>
              <w:spacing w:after="0"/>
              <w:rPr>
                <w:sz w:val="20"/>
                <w:szCs w:val="20"/>
                <w:color w:val="auto"/>
              </w:rPr>
            </w:pPr>
            <w:r>
              <w:rPr>
                <w:rFonts w:ascii="Arial" w:cs="Arial" w:eastAsia="Arial" w:hAnsi="Arial"/>
                <w:sz w:val="18"/>
                <w:szCs w:val="18"/>
                <w:color w:val="auto"/>
              </w:rPr>
              <w:t>No effect – broker</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Directors to Hold Office until</w:t>
            </w:r>
          </w:p>
        </w:tc>
        <w:tc>
          <w:tcPr>
            <w:tcW w:w="288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cast</w:t>
            </w:r>
          </w:p>
        </w:tc>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counted as a vote</w:t>
            </w: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w w:val="99"/>
              </w:rPr>
              <w:t>discretionary voting is</w:t>
            </w:r>
          </w:p>
        </w:tc>
      </w:tr>
      <w:tr>
        <w:trPr>
          <w:trHeight w:val="252"/>
        </w:trPr>
        <w:tc>
          <w:tcPr>
            <w:tcW w:w="2780" w:type="dxa"/>
            <w:vAlign w:val="bottom"/>
          </w:tcPr>
          <w:p>
            <w:pPr>
              <w:spacing w:after="0"/>
              <w:rPr>
                <w:sz w:val="20"/>
                <w:szCs w:val="20"/>
                <w:color w:val="auto"/>
              </w:rPr>
            </w:pPr>
            <w:r>
              <w:rPr>
                <w:rFonts w:ascii="Arial" w:cs="Arial" w:eastAsia="Arial" w:hAnsi="Arial"/>
                <w:sz w:val="18"/>
                <w:szCs w:val="18"/>
                <w:b w:val="1"/>
                <w:bCs w:val="1"/>
                <w:color w:val="auto"/>
              </w:rPr>
              <w:t>the 2027 Annual Meeting</w:t>
            </w:r>
          </w:p>
        </w:tc>
        <w:tc>
          <w:tcPr>
            <w:tcW w:w="2880" w:type="dxa"/>
            <w:vAlign w:val="bottom"/>
          </w:tcPr>
          <w:p>
            <w:pPr>
              <w:ind w:left="160"/>
              <w:spacing w:after="0"/>
              <w:rPr>
                <w:sz w:val="20"/>
                <w:szCs w:val="20"/>
                <w:color w:val="auto"/>
              </w:rPr>
            </w:pPr>
            <w:r>
              <w:rPr>
                <w:rFonts w:ascii="Arial" w:cs="Arial" w:eastAsia="Arial" w:hAnsi="Arial"/>
                <w:sz w:val="18"/>
                <w:szCs w:val="18"/>
                <w:color w:val="auto"/>
              </w:rPr>
              <w:t>(for each nominee for director)</w:t>
            </w:r>
          </w:p>
        </w:tc>
        <w:tc>
          <w:tcPr>
            <w:tcW w:w="17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not permitted</w:t>
            </w:r>
          </w:p>
        </w:tc>
      </w:tr>
      <w:tr>
        <w:trPr>
          <w:trHeight w:val="382"/>
        </w:trPr>
        <w:tc>
          <w:tcPr>
            <w:tcW w:w="2780" w:type="dxa"/>
            <w:vAlign w:val="bottom"/>
          </w:tcPr>
          <w:p>
            <w:pPr>
              <w:spacing w:after="0"/>
              <w:rPr>
                <w:sz w:val="24"/>
                <w:szCs w:val="24"/>
                <w:color w:val="auto"/>
              </w:rPr>
            </w:pPr>
          </w:p>
        </w:tc>
        <w:tc>
          <w:tcPr>
            <w:tcW w:w="2880" w:type="dxa"/>
            <w:vAlign w:val="bottom"/>
          </w:tcPr>
          <w:p>
            <w:pPr>
              <w:ind w:left="160"/>
              <w:spacing w:after="0"/>
              <w:rPr>
                <w:sz w:val="20"/>
                <w:szCs w:val="20"/>
                <w:color w:val="auto"/>
              </w:rPr>
            </w:pPr>
            <w:r>
              <w:rPr>
                <w:rFonts w:ascii="Arial" w:cs="Arial" w:eastAsia="Arial" w:hAnsi="Arial"/>
                <w:sz w:val="18"/>
                <w:szCs w:val="18"/>
                <w:b w:val="1"/>
                <w:bCs w:val="1"/>
                <w:color w:val="auto"/>
              </w:rPr>
              <w:t>The Board recommends a vote</w:t>
            </w:r>
          </w:p>
        </w:tc>
        <w:tc>
          <w:tcPr>
            <w:tcW w:w="1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3"/>
        </w:trPr>
        <w:tc>
          <w:tcPr>
            <w:tcW w:w="2780" w:type="dxa"/>
            <w:vAlign w:val="bottom"/>
          </w:tcPr>
          <w:p>
            <w:pPr>
              <w:spacing w:after="0"/>
              <w:rPr>
                <w:sz w:val="17"/>
                <w:szCs w:val="17"/>
                <w:color w:val="auto"/>
              </w:rPr>
            </w:pP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“FOR” each of the nine Board</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21"/>
        </w:trPr>
        <w:tc>
          <w:tcPr>
            <w:tcW w:w="2780" w:type="dxa"/>
            <w:vAlign w:val="bottom"/>
            <w:tcBorders>
              <w:bottom w:val="single" w:sz="8" w:color="231F20"/>
            </w:tcBorders>
          </w:tcPr>
          <w:p>
            <w:pPr>
              <w:spacing w:after="0"/>
              <w:rPr>
                <w:sz w:val="19"/>
                <w:szCs w:val="19"/>
                <w:color w:val="auto"/>
              </w:rPr>
            </w:pPr>
          </w:p>
        </w:tc>
        <w:tc>
          <w:tcPr>
            <w:tcW w:w="2880" w:type="dxa"/>
            <w:vAlign w:val="bottom"/>
            <w:tcBorders>
              <w:bottom w:val="single" w:sz="8" w:color="231F20"/>
            </w:tcBorders>
          </w:tcPr>
          <w:p>
            <w:pPr>
              <w:ind w:left="160"/>
              <w:spacing w:after="0"/>
              <w:rPr>
                <w:sz w:val="20"/>
                <w:szCs w:val="20"/>
                <w:color w:val="auto"/>
              </w:rPr>
            </w:pPr>
            <w:r>
              <w:rPr>
                <w:rFonts w:ascii="Arial" w:cs="Arial" w:eastAsia="Arial" w:hAnsi="Arial"/>
                <w:sz w:val="18"/>
                <w:szCs w:val="18"/>
                <w:b w:val="1"/>
                <w:bCs w:val="1"/>
                <w:color w:val="auto"/>
              </w:rPr>
              <w:t>nominees for director</w:t>
            </w:r>
          </w:p>
        </w:tc>
        <w:tc>
          <w:tcPr>
            <w:tcW w:w="1720" w:type="dxa"/>
            <w:vAlign w:val="bottom"/>
            <w:tcBorders>
              <w:bottom w:val="single" w:sz="8" w:color="231F20"/>
            </w:tcBorders>
          </w:tcPr>
          <w:p>
            <w:pPr>
              <w:spacing w:after="0"/>
              <w:rPr>
                <w:sz w:val="19"/>
                <w:szCs w:val="19"/>
                <w:color w:val="auto"/>
              </w:rPr>
            </w:pPr>
          </w:p>
        </w:tc>
        <w:tc>
          <w:tcPr>
            <w:tcW w:w="1880" w:type="dxa"/>
            <w:vAlign w:val="bottom"/>
            <w:tcBorders>
              <w:bottom w:val="single" w:sz="8" w:color="231F20"/>
            </w:tcBorders>
          </w:tcPr>
          <w:p>
            <w:pPr>
              <w:spacing w:after="0"/>
              <w:rPr>
                <w:sz w:val="19"/>
                <w:szCs w:val="19"/>
                <w:color w:val="auto"/>
              </w:rPr>
            </w:pPr>
          </w:p>
        </w:tc>
        <w:tc>
          <w:tcPr>
            <w:tcW w:w="1980" w:type="dxa"/>
            <w:vAlign w:val="bottom"/>
            <w:tcBorders>
              <w:bottom w:val="single" w:sz="8" w:color="231F20"/>
            </w:tcBorders>
          </w:tcPr>
          <w:p>
            <w:pPr>
              <w:spacing w:after="0"/>
              <w:rPr>
                <w:sz w:val="19"/>
                <w:szCs w:val="19"/>
                <w:color w:val="auto"/>
              </w:rPr>
            </w:pPr>
          </w:p>
        </w:tc>
      </w:tr>
      <w:tr>
        <w:trPr>
          <w:trHeight w:val="393"/>
        </w:trPr>
        <w:tc>
          <w:tcPr>
            <w:tcW w:w="2780" w:type="dxa"/>
            <w:vAlign w:val="bottom"/>
          </w:tcPr>
          <w:p>
            <w:pPr>
              <w:spacing w:after="0"/>
              <w:rPr>
                <w:sz w:val="20"/>
                <w:szCs w:val="20"/>
                <w:color w:val="auto"/>
              </w:rPr>
            </w:pPr>
            <w:r>
              <w:rPr>
                <w:rFonts w:ascii="Arial" w:cs="Arial" w:eastAsia="Arial" w:hAnsi="Arial"/>
                <w:sz w:val="18"/>
                <w:szCs w:val="18"/>
                <w:b w:val="1"/>
                <w:bCs w:val="1"/>
                <w:color w:val="auto"/>
              </w:rPr>
              <w:t>Proposal 2: Advisory Vote on</w:t>
            </w:r>
          </w:p>
        </w:tc>
        <w:tc>
          <w:tcPr>
            <w:tcW w:w="2880" w:type="dxa"/>
            <w:vAlign w:val="bottom"/>
          </w:tcPr>
          <w:p>
            <w:pPr>
              <w:ind w:left="160"/>
              <w:spacing w:after="0"/>
              <w:rPr>
                <w:sz w:val="20"/>
                <w:szCs w:val="20"/>
                <w:color w:val="auto"/>
              </w:rPr>
            </w:pPr>
            <w:r>
              <w:rPr>
                <w:rFonts w:ascii="Arial" w:cs="Arial" w:eastAsia="Arial" w:hAnsi="Arial"/>
                <w:sz w:val="18"/>
                <w:szCs w:val="18"/>
                <w:color w:val="auto"/>
              </w:rPr>
              <w:t>FOR, AGAINST or ABSTAIN</w:t>
            </w:r>
          </w:p>
        </w:tc>
        <w:tc>
          <w:tcPr>
            <w:tcW w:w="1720" w:type="dxa"/>
            <w:vAlign w:val="bottom"/>
          </w:tcPr>
          <w:p>
            <w:pPr>
              <w:ind w:left="100"/>
              <w:spacing w:after="0"/>
              <w:rPr>
                <w:sz w:val="20"/>
                <w:szCs w:val="20"/>
                <w:color w:val="auto"/>
              </w:rPr>
            </w:pPr>
            <w:r>
              <w:rPr>
                <w:rFonts w:ascii="Arial" w:cs="Arial" w:eastAsia="Arial" w:hAnsi="Arial"/>
                <w:sz w:val="18"/>
                <w:szCs w:val="18"/>
                <w:color w:val="auto"/>
              </w:rPr>
              <w:t>Majority of votes</w:t>
            </w:r>
          </w:p>
        </w:tc>
        <w:tc>
          <w:tcPr>
            <w:tcW w:w="1880" w:type="dxa"/>
            <w:vAlign w:val="bottom"/>
          </w:tcPr>
          <w:p>
            <w:pPr>
              <w:ind w:left="220"/>
              <w:spacing w:after="0"/>
              <w:rPr>
                <w:sz w:val="20"/>
                <w:szCs w:val="20"/>
                <w:color w:val="auto"/>
              </w:rPr>
            </w:pPr>
            <w:r>
              <w:rPr>
                <w:rFonts w:ascii="Arial" w:cs="Arial" w:eastAsia="Arial" w:hAnsi="Arial"/>
                <w:sz w:val="18"/>
                <w:szCs w:val="18"/>
                <w:color w:val="auto"/>
              </w:rPr>
              <w:t>No effect – not</w:t>
            </w:r>
          </w:p>
        </w:tc>
        <w:tc>
          <w:tcPr>
            <w:tcW w:w="1980" w:type="dxa"/>
            <w:vAlign w:val="bottom"/>
          </w:tcPr>
          <w:p>
            <w:pPr>
              <w:ind w:left="240"/>
              <w:spacing w:after="0"/>
              <w:rPr>
                <w:sz w:val="20"/>
                <w:szCs w:val="20"/>
                <w:color w:val="auto"/>
              </w:rPr>
            </w:pPr>
            <w:r>
              <w:rPr>
                <w:rFonts w:ascii="Arial" w:cs="Arial" w:eastAsia="Arial" w:hAnsi="Arial"/>
                <w:sz w:val="18"/>
                <w:szCs w:val="18"/>
                <w:color w:val="auto"/>
              </w:rPr>
              <w:t>No effect – broker</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Compensation of Named</w:t>
            </w:r>
          </w:p>
        </w:tc>
        <w:tc>
          <w:tcPr>
            <w:tcW w:w="288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cast</w:t>
            </w:r>
          </w:p>
        </w:tc>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counted as a vote</w:t>
            </w: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w w:val="99"/>
              </w:rPr>
              <w:t>discretionary voting is</w:t>
            </w: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2880" w:type="dxa"/>
            <w:vAlign w:val="bottom"/>
          </w:tcPr>
          <w:p>
            <w:pPr>
              <w:ind w:left="160"/>
              <w:spacing w:after="0"/>
              <w:rPr>
                <w:sz w:val="20"/>
                <w:szCs w:val="20"/>
                <w:color w:val="auto"/>
              </w:rPr>
            </w:pPr>
            <w:r>
              <w:rPr>
                <w:rFonts w:ascii="Arial" w:cs="Arial" w:eastAsia="Arial" w:hAnsi="Arial"/>
                <w:sz w:val="18"/>
                <w:szCs w:val="18"/>
                <w:b w:val="1"/>
                <w:bCs w:val="1"/>
                <w:color w:val="auto"/>
              </w:rPr>
              <w:t>The Board recommends a vote</w:t>
            </w:r>
          </w:p>
        </w:tc>
        <w:tc>
          <w:tcPr>
            <w:tcW w:w="1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not permitted</w:t>
            </w:r>
          </w:p>
        </w:tc>
      </w:tr>
      <w:tr>
        <w:trPr>
          <w:trHeight w:val="203"/>
        </w:trPr>
        <w:tc>
          <w:tcPr>
            <w:tcW w:w="2780" w:type="dxa"/>
            <w:vAlign w:val="bottom"/>
          </w:tcPr>
          <w:p>
            <w:pPr>
              <w:spacing w:after="0"/>
              <w:rPr>
                <w:sz w:val="17"/>
                <w:szCs w:val="17"/>
                <w:color w:val="auto"/>
              </w:rPr>
            </w:pP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“FOR” the advisory vote on</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compensation of named</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21"/>
        </w:trPr>
        <w:tc>
          <w:tcPr>
            <w:tcW w:w="2780" w:type="dxa"/>
            <w:vAlign w:val="bottom"/>
            <w:tcBorders>
              <w:bottom w:val="single" w:sz="8" w:color="231F20"/>
            </w:tcBorders>
          </w:tcPr>
          <w:p>
            <w:pPr>
              <w:spacing w:after="0"/>
              <w:rPr>
                <w:sz w:val="19"/>
                <w:szCs w:val="19"/>
                <w:color w:val="auto"/>
              </w:rPr>
            </w:pPr>
          </w:p>
        </w:tc>
        <w:tc>
          <w:tcPr>
            <w:tcW w:w="2880" w:type="dxa"/>
            <w:vAlign w:val="bottom"/>
            <w:tcBorders>
              <w:bottom w:val="single" w:sz="8" w:color="231F20"/>
            </w:tcBorders>
          </w:tcPr>
          <w:p>
            <w:pPr>
              <w:ind w:left="160"/>
              <w:spacing w:after="0"/>
              <w:rPr>
                <w:sz w:val="20"/>
                <w:szCs w:val="20"/>
                <w:color w:val="auto"/>
              </w:rPr>
            </w:pPr>
            <w:r>
              <w:rPr>
                <w:rFonts w:ascii="Arial" w:cs="Arial" w:eastAsia="Arial" w:hAnsi="Arial"/>
                <w:sz w:val="18"/>
                <w:szCs w:val="18"/>
                <w:b w:val="1"/>
                <w:bCs w:val="1"/>
                <w:color w:val="auto"/>
              </w:rPr>
              <w:t>executive officers</w:t>
            </w:r>
          </w:p>
        </w:tc>
        <w:tc>
          <w:tcPr>
            <w:tcW w:w="1720" w:type="dxa"/>
            <w:vAlign w:val="bottom"/>
            <w:tcBorders>
              <w:bottom w:val="single" w:sz="8" w:color="231F20"/>
            </w:tcBorders>
          </w:tcPr>
          <w:p>
            <w:pPr>
              <w:spacing w:after="0"/>
              <w:rPr>
                <w:sz w:val="19"/>
                <w:szCs w:val="19"/>
                <w:color w:val="auto"/>
              </w:rPr>
            </w:pPr>
          </w:p>
        </w:tc>
        <w:tc>
          <w:tcPr>
            <w:tcW w:w="1880" w:type="dxa"/>
            <w:vAlign w:val="bottom"/>
            <w:tcBorders>
              <w:bottom w:val="single" w:sz="8" w:color="231F20"/>
            </w:tcBorders>
          </w:tcPr>
          <w:p>
            <w:pPr>
              <w:spacing w:after="0"/>
              <w:rPr>
                <w:sz w:val="19"/>
                <w:szCs w:val="19"/>
                <w:color w:val="auto"/>
              </w:rPr>
            </w:pPr>
          </w:p>
        </w:tc>
        <w:tc>
          <w:tcPr>
            <w:tcW w:w="1980" w:type="dxa"/>
            <w:vAlign w:val="bottom"/>
            <w:tcBorders>
              <w:bottom w:val="single" w:sz="8" w:color="231F20"/>
            </w:tcBorders>
          </w:tcPr>
          <w:p>
            <w:pPr>
              <w:spacing w:after="0"/>
              <w:rPr>
                <w:sz w:val="19"/>
                <w:szCs w:val="19"/>
                <w:color w:val="auto"/>
              </w:rPr>
            </w:pPr>
          </w:p>
        </w:tc>
      </w:tr>
      <w:tr>
        <w:trPr>
          <w:trHeight w:val="393"/>
        </w:trPr>
        <w:tc>
          <w:tcPr>
            <w:tcW w:w="2780" w:type="dxa"/>
            <w:vAlign w:val="bottom"/>
          </w:tcPr>
          <w:p>
            <w:pPr>
              <w:spacing w:after="0"/>
              <w:rPr>
                <w:sz w:val="20"/>
                <w:szCs w:val="20"/>
                <w:color w:val="auto"/>
              </w:rPr>
            </w:pPr>
            <w:r>
              <w:rPr>
                <w:rFonts w:ascii="Arial" w:cs="Arial" w:eastAsia="Arial" w:hAnsi="Arial"/>
                <w:sz w:val="18"/>
                <w:szCs w:val="18"/>
                <w:b w:val="1"/>
                <w:bCs w:val="1"/>
                <w:color w:val="auto"/>
              </w:rPr>
              <w:t>Proposal 3: Proposal to</w:t>
            </w:r>
          </w:p>
        </w:tc>
        <w:tc>
          <w:tcPr>
            <w:tcW w:w="2880" w:type="dxa"/>
            <w:vAlign w:val="bottom"/>
          </w:tcPr>
          <w:p>
            <w:pPr>
              <w:ind w:left="160"/>
              <w:spacing w:after="0"/>
              <w:rPr>
                <w:sz w:val="20"/>
                <w:szCs w:val="20"/>
                <w:color w:val="auto"/>
              </w:rPr>
            </w:pPr>
            <w:r>
              <w:rPr>
                <w:rFonts w:ascii="Arial" w:cs="Arial" w:eastAsia="Arial" w:hAnsi="Arial"/>
                <w:sz w:val="18"/>
                <w:szCs w:val="18"/>
                <w:color w:val="auto"/>
              </w:rPr>
              <w:t>FOR, AGAINST or ABSTAIN</w:t>
            </w:r>
          </w:p>
        </w:tc>
        <w:tc>
          <w:tcPr>
            <w:tcW w:w="1720" w:type="dxa"/>
            <w:vAlign w:val="bottom"/>
          </w:tcPr>
          <w:p>
            <w:pPr>
              <w:ind w:left="100"/>
              <w:spacing w:after="0"/>
              <w:rPr>
                <w:sz w:val="20"/>
                <w:szCs w:val="20"/>
                <w:color w:val="auto"/>
              </w:rPr>
            </w:pPr>
            <w:r>
              <w:rPr>
                <w:rFonts w:ascii="Arial" w:cs="Arial" w:eastAsia="Arial" w:hAnsi="Arial"/>
                <w:sz w:val="18"/>
                <w:szCs w:val="18"/>
                <w:color w:val="auto"/>
              </w:rPr>
              <w:t>Majority of votes</w:t>
            </w:r>
          </w:p>
        </w:tc>
        <w:tc>
          <w:tcPr>
            <w:tcW w:w="1880" w:type="dxa"/>
            <w:vAlign w:val="bottom"/>
          </w:tcPr>
          <w:p>
            <w:pPr>
              <w:ind w:left="220"/>
              <w:spacing w:after="0"/>
              <w:rPr>
                <w:sz w:val="20"/>
                <w:szCs w:val="20"/>
                <w:color w:val="auto"/>
              </w:rPr>
            </w:pPr>
            <w:r>
              <w:rPr>
                <w:rFonts w:ascii="Arial" w:cs="Arial" w:eastAsia="Arial" w:hAnsi="Arial"/>
                <w:sz w:val="18"/>
                <w:szCs w:val="18"/>
                <w:color w:val="auto"/>
              </w:rPr>
              <w:t>No effect – not</w:t>
            </w:r>
          </w:p>
        </w:tc>
        <w:tc>
          <w:tcPr>
            <w:tcW w:w="1980" w:type="dxa"/>
            <w:vAlign w:val="bottom"/>
          </w:tcPr>
          <w:p>
            <w:pPr>
              <w:ind w:left="240"/>
              <w:spacing w:after="0"/>
              <w:rPr>
                <w:sz w:val="20"/>
                <w:szCs w:val="20"/>
                <w:color w:val="auto"/>
              </w:rPr>
            </w:pPr>
            <w:r>
              <w:rPr>
                <w:rFonts w:ascii="Arial" w:cs="Arial" w:eastAsia="Arial" w:hAnsi="Arial"/>
                <w:sz w:val="18"/>
                <w:szCs w:val="18"/>
                <w:color w:val="auto"/>
              </w:rPr>
              <w:t>No effect – broker</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Approve the Genesco Inc.</w:t>
            </w:r>
          </w:p>
        </w:tc>
        <w:tc>
          <w:tcPr>
            <w:tcW w:w="288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cast</w:t>
            </w:r>
          </w:p>
        </w:tc>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counted as a vote</w:t>
            </w: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w w:val="99"/>
              </w:rPr>
              <w:t>discretionary voting is</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Fourth Amended and Restated</w:t>
            </w: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The Board recommends a vote</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not permitted</w:t>
            </w:r>
          </w:p>
        </w:tc>
      </w:tr>
      <w:tr>
        <w:trPr>
          <w:trHeight w:val="235"/>
        </w:trPr>
        <w:tc>
          <w:tcPr>
            <w:tcW w:w="2780" w:type="dxa"/>
            <w:vAlign w:val="bottom"/>
            <w:tcBorders>
              <w:bottom w:val="single" w:sz="8" w:color="231F20"/>
            </w:tcBorders>
          </w:tcPr>
          <w:p>
            <w:pPr>
              <w:spacing w:after="0"/>
              <w:rPr>
                <w:sz w:val="20"/>
                <w:szCs w:val="20"/>
                <w:color w:val="auto"/>
              </w:rPr>
            </w:pPr>
            <w:r>
              <w:rPr>
                <w:rFonts w:ascii="Arial" w:cs="Arial" w:eastAsia="Arial" w:hAnsi="Arial"/>
                <w:sz w:val="18"/>
                <w:szCs w:val="18"/>
                <w:b w:val="1"/>
                <w:bCs w:val="1"/>
                <w:color w:val="auto"/>
              </w:rPr>
              <w:t>2020 Equity Incentive Plan</w:t>
            </w:r>
          </w:p>
        </w:tc>
        <w:tc>
          <w:tcPr>
            <w:tcW w:w="2880" w:type="dxa"/>
            <w:vAlign w:val="bottom"/>
            <w:tcBorders>
              <w:bottom w:val="single" w:sz="8" w:color="231F20"/>
            </w:tcBorders>
          </w:tcPr>
          <w:p>
            <w:pPr>
              <w:ind w:left="160"/>
              <w:spacing w:after="0"/>
              <w:rPr>
                <w:sz w:val="20"/>
                <w:szCs w:val="20"/>
                <w:color w:val="auto"/>
              </w:rPr>
            </w:pPr>
            <w:r>
              <w:rPr>
                <w:rFonts w:ascii="Arial" w:cs="Arial" w:eastAsia="Arial" w:hAnsi="Arial"/>
                <w:sz w:val="18"/>
                <w:szCs w:val="18"/>
                <w:b w:val="1"/>
                <w:bCs w:val="1"/>
                <w:color w:val="auto"/>
              </w:rPr>
              <w:t>“FOR” the amended plan</w:t>
            </w:r>
          </w:p>
        </w:tc>
        <w:tc>
          <w:tcPr>
            <w:tcW w:w="1720" w:type="dxa"/>
            <w:vAlign w:val="bottom"/>
            <w:tcBorders>
              <w:bottom w:val="single" w:sz="8" w:color="231F20"/>
            </w:tcBorders>
          </w:tcPr>
          <w:p>
            <w:pPr>
              <w:spacing w:after="0"/>
              <w:rPr>
                <w:sz w:val="20"/>
                <w:szCs w:val="20"/>
                <w:color w:val="auto"/>
              </w:rPr>
            </w:pPr>
          </w:p>
        </w:tc>
        <w:tc>
          <w:tcPr>
            <w:tcW w:w="1880" w:type="dxa"/>
            <w:vAlign w:val="bottom"/>
            <w:tcBorders>
              <w:bottom w:val="single" w:sz="8" w:color="231F20"/>
            </w:tcBorders>
          </w:tcPr>
          <w:p>
            <w:pPr>
              <w:spacing w:after="0"/>
              <w:rPr>
                <w:sz w:val="20"/>
                <w:szCs w:val="20"/>
                <w:color w:val="auto"/>
              </w:rPr>
            </w:pPr>
          </w:p>
        </w:tc>
        <w:tc>
          <w:tcPr>
            <w:tcW w:w="1980" w:type="dxa"/>
            <w:vAlign w:val="bottom"/>
            <w:tcBorders>
              <w:bottom w:val="single" w:sz="8" w:color="231F20"/>
            </w:tcBorders>
          </w:tcPr>
          <w:p>
            <w:pPr>
              <w:spacing w:after="0"/>
              <w:rPr>
                <w:sz w:val="20"/>
                <w:szCs w:val="20"/>
                <w:color w:val="auto"/>
              </w:rPr>
            </w:pPr>
          </w:p>
        </w:tc>
      </w:tr>
      <w:tr>
        <w:trPr>
          <w:trHeight w:val="393"/>
        </w:trPr>
        <w:tc>
          <w:tcPr>
            <w:tcW w:w="2780" w:type="dxa"/>
            <w:vAlign w:val="bottom"/>
          </w:tcPr>
          <w:p>
            <w:pPr>
              <w:spacing w:after="0"/>
              <w:rPr>
                <w:sz w:val="20"/>
                <w:szCs w:val="20"/>
                <w:color w:val="auto"/>
              </w:rPr>
            </w:pPr>
            <w:r>
              <w:rPr>
                <w:rFonts w:ascii="Arial" w:cs="Arial" w:eastAsia="Arial" w:hAnsi="Arial"/>
                <w:sz w:val="18"/>
                <w:szCs w:val="18"/>
                <w:b w:val="1"/>
                <w:bCs w:val="1"/>
                <w:color w:val="auto"/>
              </w:rPr>
              <w:t>Proposal 4: Ratification of the</w:t>
            </w:r>
          </w:p>
        </w:tc>
        <w:tc>
          <w:tcPr>
            <w:tcW w:w="2880" w:type="dxa"/>
            <w:vAlign w:val="bottom"/>
          </w:tcPr>
          <w:p>
            <w:pPr>
              <w:ind w:left="160"/>
              <w:spacing w:after="0"/>
              <w:rPr>
                <w:sz w:val="20"/>
                <w:szCs w:val="20"/>
                <w:color w:val="auto"/>
              </w:rPr>
            </w:pPr>
            <w:r>
              <w:rPr>
                <w:rFonts w:ascii="Arial" w:cs="Arial" w:eastAsia="Arial" w:hAnsi="Arial"/>
                <w:sz w:val="18"/>
                <w:szCs w:val="18"/>
                <w:color w:val="auto"/>
              </w:rPr>
              <w:t>FOR, AGAINST or ABSTAIN</w:t>
            </w:r>
          </w:p>
        </w:tc>
        <w:tc>
          <w:tcPr>
            <w:tcW w:w="1720" w:type="dxa"/>
            <w:vAlign w:val="bottom"/>
          </w:tcPr>
          <w:p>
            <w:pPr>
              <w:ind w:left="100"/>
              <w:spacing w:after="0"/>
              <w:rPr>
                <w:sz w:val="20"/>
                <w:szCs w:val="20"/>
                <w:color w:val="auto"/>
              </w:rPr>
            </w:pPr>
            <w:r>
              <w:rPr>
                <w:rFonts w:ascii="Arial" w:cs="Arial" w:eastAsia="Arial" w:hAnsi="Arial"/>
                <w:sz w:val="18"/>
                <w:szCs w:val="18"/>
                <w:color w:val="auto"/>
              </w:rPr>
              <w:t>Majority of votes</w:t>
            </w:r>
          </w:p>
        </w:tc>
        <w:tc>
          <w:tcPr>
            <w:tcW w:w="1880" w:type="dxa"/>
            <w:vAlign w:val="bottom"/>
          </w:tcPr>
          <w:p>
            <w:pPr>
              <w:ind w:left="220"/>
              <w:spacing w:after="0"/>
              <w:rPr>
                <w:sz w:val="20"/>
                <w:szCs w:val="20"/>
                <w:color w:val="auto"/>
              </w:rPr>
            </w:pPr>
            <w:r>
              <w:rPr>
                <w:rFonts w:ascii="Arial" w:cs="Arial" w:eastAsia="Arial" w:hAnsi="Arial"/>
                <w:sz w:val="18"/>
                <w:szCs w:val="18"/>
                <w:color w:val="auto"/>
              </w:rPr>
              <w:t>No effect – not</w:t>
            </w:r>
          </w:p>
        </w:tc>
        <w:tc>
          <w:tcPr>
            <w:tcW w:w="1980" w:type="dxa"/>
            <w:vAlign w:val="bottom"/>
          </w:tcPr>
          <w:p>
            <w:pPr>
              <w:ind w:left="240"/>
              <w:spacing w:after="0"/>
              <w:rPr>
                <w:sz w:val="20"/>
                <w:szCs w:val="20"/>
                <w:color w:val="auto"/>
              </w:rPr>
            </w:pPr>
            <w:r>
              <w:rPr>
                <w:rFonts w:ascii="Arial" w:cs="Arial" w:eastAsia="Arial" w:hAnsi="Arial"/>
                <w:sz w:val="18"/>
                <w:szCs w:val="18"/>
                <w:color w:val="auto"/>
              </w:rPr>
              <w:t>No effect – broker</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Appointment of Deloitte &amp;</w:t>
            </w:r>
          </w:p>
        </w:tc>
        <w:tc>
          <w:tcPr>
            <w:tcW w:w="288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cast</w:t>
            </w:r>
          </w:p>
        </w:tc>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counted as a vote</w:t>
            </w: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w w:val="99"/>
              </w:rPr>
              <w:t>discretionary voting is</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Touche LLP</w:t>
            </w: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The Board recommends a vote</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permitted only to the</w:t>
            </w:r>
          </w:p>
        </w:tc>
      </w:tr>
      <w:tr>
        <w:trPr>
          <w:trHeight w:val="203"/>
        </w:trPr>
        <w:tc>
          <w:tcPr>
            <w:tcW w:w="2780" w:type="dxa"/>
            <w:vAlign w:val="bottom"/>
          </w:tcPr>
          <w:p>
            <w:pPr>
              <w:spacing w:after="0"/>
              <w:rPr>
                <w:sz w:val="17"/>
                <w:szCs w:val="17"/>
                <w:color w:val="auto"/>
              </w:rPr>
            </w:pP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“FOR” the ratification</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extent beneficial</w:t>
            </w:r>
          </w:p>
        </w:tc>
      </w:tr>
      <w:tr>
        <w:trPr>
          <w:trHeight w:val="203"/>
        </w:trPr>
        <w:tc>
          <w:tcPr>
            <w:tcW w:w="27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owners have not</w:t>
            </w:r>
          </w:p>
        </w:tc>
      </w:tr>
      <w:tr>
        <w:trPr>
          <w:trHeight w:val="203"/>
        </w:trPr>
        <w:tc>
          <w:tcPr>
            <w:tcW w:w="27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been provided with</w:t>
            </w:r>
          </w:p>
        </w:tc>
      </w:tr>
      <w:tr>
        <w:trPr>
          <w:trHeight w:val="203"/>
        </w:trPr>
        <w:tc>
          <w:tcPr>
            <w:tcW w:w="27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Mr. Radoff’s proxy</w:t>
            </w:r>
          </w:p>
        </w:tc>
      </w:tr>
      <w:tr>
        <w:trPr>
          <w:trHeight w:val="221"/>
        </w:trPr>
        <w:tc>
          <w:tcPr>
            <w:tcW w:w="2780" w:type="dxa"/>
            <w:vAlign w:val="bottom"/>
            <w:tcBorders>
              <w:bottom w:val="single" w:sz="8" w:color="231F20"/>
            </w:tcBorders>
          </w:tcPr>
          <w:p>
            <w:pPr>
              <w:spacing w:after="0"/>
              <w:rPr>
                <w:sz w:val="19"/>
                <w:szCs w:val="19"/>
                <w:color w:val="auto"/>
              </w:rPr>
            </w:pPr>
          </w:p>
        </w:tc>
        <w:tc>
          <w:tcPr>
            <w:tcW w:w="2880" w:type="dxa"/>
            <w:vAlign w:val="bottom"/>
            <w:tcBorders>
              <w:bottom w:val="single" w:sz="8" w:color="231F20"/>
            </w:tcBorders>
          </w:tcPr>
          <w:p>
            <w:pPr>
              <w:spacing w:after="0"/>
              <w:rPr>
                <w:sz w:val="19"/>
                <w:szCs w:val="19"/>
                <w:color w:val="auto"/>
              </w:rPr>
            </w:pPr>
          </w:p>
        </w:tc>
        <w:tc>
          <w:tcPr>
            <w:tcW w:w="1720" w:type="dxa"/>
            <w:vAlign w:val="bottom"/>
            <w:tcBorders>
              <w:bottom w:val="single" w:sz="8" w:color="231F20"/>
            </w:tcBorders>
          </w:tcPr>
          <w:p>
            <w:pPr>
              <w:spacing w:after="0"/>
              <w:rPr>
                <w:sz w:val="19"/>
                <w:szCs w:val="19"/>
                <w:color w:val="auto"/>
              </w:rPr>
            </w:pPr>
          </w:p>
        </w:tc>
        <w:tc>
          <w:tcPr>
            <w:tcW w:w="1880" w:type="dxa"/>
            <w:vAlign w:val="bottom"/>
            <w:tcBorders>
              <w:bottom w:val="single" w:sz="8" w:color="231F20"/>
            </w:tcBorders>
          </w:tcPr>
          <w:p>
            <w:pPr>
              <w:spacing w:after="0"/>
              <w:rPr>
                <w:sz w:val="19"/>
                <w:szCs w:val="19"/>
                <w:color w:val="auto"/>
              </w:rPr>
            </w:pPr>
          </w:p>
        </w:tc>
        <w:tc>
          <w:tcPr>
            <w:tcW w:w="1980" w:type="dxa"/>
            <w:vAlign w:val="bottom"/>
            <w:tcBorders>
              <w:bottom w:val="single" w:sz="8" w:color="231F20"/>
            </w:tcBorders>
          </w:tcPr>
          <w:p>
            <w:pPr>
              <w:ind w:left="240"/>
              <w:spacing w:after="0"/>
              <w:rPr>
                <w:sz w:val="20"/>
                <w:szCs w:val="20"/>
                <w:color w:val="auto"/>
              </w:rPr>
            </w:pPr>
            <w:r>
              <w:rPr>
                <w:rFonts w:ascii="Arial" w:cs="Arial" w:eastAsia="Arial" w:hAnsi="Arial"/>
                <w:sz w:val="18"/>
                <w:szCs w:val="18"/>
                <w:color w:val="auto"/>
              </w:rPr>
              <w:t>materials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“Broker Non-Vote”?</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If you own shares through a broker, bank or other holder of record, you may instruct such holder of record how to vote your shares. A “broker non-vote” occurs when you fail to provide such holder of record with voting instructions and such holder does not have the discretionary authority to vote your shares on a particular proposal. To the extent that Mr. Radoff has provided you with his proxy materials through such holder, such holder will not have discretionary voting authority to vote on your behalf on any of the proposals presented at the Annual Meeting. If, however, Mr. Radoff has not provided his proxy materials to you through your broker, bank or other holder of record, then such holder may be able to vote upon Proposal 4 on your behalf absent your specific voting instructions. It is possible that such holder may choose not to exercise discretionary authority with respect to Proposal 4. In that case, if you do not instruct the holder how to vote with respect to Proposal 4, the holder may not vote with respect to such proposal. Therefore, we encourage you to instruct your broker, bank or other holder of record to vote your shares by executing and returning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card or by voting via the Internet or by telephone by following the instructions provided on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form.</w:t>
      </w:r>
    </w:p>
    <w:p>
      <w:pPr>
        <w:spacing w:after="0" w:line="38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 xml:space="preserve">What if I return my </w:t>
      </w:r>
      <w:r>
        <w:rPr>
          <w:rFonts w:ascii="Arial" w:cs="Arial" w:eastAsia="Arial" w:hAnsi="Arial"/>
          <w:sz w:val="18"/>
          <w:szCs w:val="18"/>
          <w:b w:val="1"/>
          <w:bCs w:val="1"/>
          <w:i w:val="1"/>
          <w:iCs w:val="1"/>
          <w:u w:val="single" w:color="auto"/>
          <w:color w:val="auto"/>
        </w:rPr>
        <w:t>WHITE</w:t>
      </w:r>
      <w:r>
        <w:rPr>
          <w:rFonts w:ascii="Arial" w:cs="Arial" w:eastAsia="Arial" w:hAnsi="Arial"/>
          <w:sz w:val="18"/>
          <w:szCs w:val="18"/>
          <w:b w:val="1"/>
          <w:bCs w:val="1"/>
          <w:i w:val="1"/>
          <w:iCs w:val="1"/>
          <w:color w:val="auto"/>
        </w:rPr>
        <w:t xml:space="preserve"> proxy but do not vote for some of the matters listed on my proxy card? What if I give voting instructions for fewer than nine candidates or for more than nine candidates?</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 xml:space="preserve">If you return a signed </w:t>
      </w:r>
      <w:r>
        <w:rPr>
          <w:rFonts w:ascii="Arial" w:cs="Arial" w:eastAsia="Arial" w:hAnsi="Arial"/>
          <w:sz w:val="17"/>
          <w:szCs w:val="17"/>
          <w:b w:val="1"/>
          <w:bCs w:val="1"/>
          <w:u w:val="single" w:color="auto"/>
          <w:color w:val="auto"/>
        </w:rPr>
        <w:t>WHITE</w:t>
      </w:r>
      <w:r>
        <w:rPr>
          <w:rFonts w:ascii="Arial" w:cs="Arial" w:eastAsia="Arial" w:hAnsi="Arial"/>
          <w:sz w:val="17"/>
          <w:szCs w:val="17"/>
          <w:color w:val="auto"/>
        </w:rPr>
        <w:t xml:space="preserve"> proxy card or </w:t>
      </w:r>
      <w:r>
        <w:rPr>
          <w:rFonts w:ascii="Arial" w:cs="Arial" w:eastAsia="Arial" w:hAnsi="Arial"/>
          <w:sz w:val="17"/>
          <w:szCs w:val="17"/>
          <w:b w:val="1"/>
          <w:bCs w:val="1"/>
          <w:u w:val="single" w:color="auto"/>
          <w:color w:val="auto"/>
        </w:rPr>
        <w:t>WHITE</w:t>
      </w:r>
      <w:r>
        <w:rPr>
          <w:rFonts w:ascii="Arial" w:cs="Arial" w:eastAsia="Arial" w:hAnsi="Arial"/>
          <w:sz w:val="17"/>
          <w:szCs w:val="17"/>
          <w:color w:val="auto"/>
        </w:rPr>
        <w:t xml:space="preserve"> voting instruction form without indicating your vote (and the proxy is not revoked), your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nine directors nominated by the Board and listed in this Proxy Statement (Proposal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non-binding advisory vote on the Company’s named executive officers’ compensation (Proposal 2),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to approve the Genesco Inc. Fourth Amended and Restated 2020 Equity Incentive Plan (Proposal 3)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to ratify the appointment of Deloitte &amp; Touche LLP as independent registered public accounting firm to the Company for the current fiscal year (Proposal 4).</w:t>
      </w:r>
    </w:p>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You are permitted to vote for fewer than nine nominees for director. If you vote for fewer than nine nominees for director, your shares will only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those nominees you have so marked. No discretionary authority is available to vote shares represented by an undervoted proxy card for the remaining director seats up for election. If you are a registered holder and submit a validly executed proxy card but vote </w:t>
      </w:r>
      <w:r>
        <w:rPr>
          <w:rFonts w:ascii="Arial" w:cs="Arial" w:eastAsia="Arial" w:hAnsi="Arial"/>
          <w:sz w:val="18"/>
          <w:szCs w:val="18"/>
          <w:b w:val="1"/>
          <w:bCs w:val="1"/>
          <w:color w:val="auto"/>
        </w:rPr>
        <w:t xml:space="preserve">“FOR” </w:t>
      </w:r>
      <w:r>
        <w:rPr>
          <w:rFonts w:ascii="Arial" w:cs="Arial" w:eastAsia="Arial" w:hAnsi="Arial"/>
          <w:sz w:val="18"/>
          <w:szCs w:val="18"/>
          <w:color w:val="auto"/>
        </w:rPr>
        <w:t>more than nine nominees, all of your votes with respect to the election of directors will be invalid and will not be counted. Votes on</w:t>
      </w:r>
      <w:r>
        <w:rPr>
          <w:rFonts w:ascii="Arial" w:cs="Arial" w:eastAsia="Arial" w:hAnsi="Arial"/>
          <w:sz w:val="18"/>
          <w:szCs w:val="18"/>
          <w:b w:val="1"/>
          <w:bCs w:val="1"/>
          <w:color w:val="auto"/>
        </w:rPr>
        <w:t xml:space="preserve"> </w:t>
      </w:r>
      <w:r>
        <w:rPr>
          <w:rFonts w:ascii="Arial" w:cs="Arial" w:eastAsia="Arial" w:hAnsi="Arial"/>
          <w:sz w:val="18"/>
          <w:szCs w:val="18"/>
          <w:color w:val="auto"/>
        </w:rPr>
        <w:t>other matters included on the proxy card for which there is no overvote can be counted, and can be counted for purposes of determining a quorum.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Mr. Radoff withdraws or abandons his solicitation or fails to comply with the universal proxy rules?</w:t>
      </w:r>
    </w:p>
    <w:p>
      <w:pPr>
        <w:spacing w:after="0" w:line="21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In the event that Mr. Radoff withdraws his nominees, abandons his solicitation, or fails to comply with the universal proxy rules after a shareholder has already granted proxy authority, shareholders can still use a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or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form to submit a later-dated vote by the Internet, telephone, or mail. In the event that Mr. Radoff withdraws his nominees, abandons his solicitation, or fails to comply with the universal proxy rules, any votes cast in favor of the Radoff Nominees will be disregarded and not counted, whether such vote is provided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or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form or on Mr. Radoff’s [●] proxy card or [●] voting instruction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plurality voting work?</w:t>
      </w:r>
    </w:p>
    <w:p>
      <w:pPr>
        <w:spacing w:after="0" w:line="210"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As described previously, Mr. Radoff has nominated the Radoff Nominees for election as directors at the Annual Meeting in opposition to the nominees recommended by the Board. As a result, assuming the Radoff Nominees are in fact proposed for election at the Annual Meeting and all such nominations have not been withdrawn by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Radoff, the election of directors will be considered a contested election and, as provided by the Company’s Second Amended and Restated Bylaws, directors will be elected on a plurality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means that the nine director nominees receiving the greatest number of votes cast FOR their election will be elected.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Meeting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counts the votes?</w:t>
      </w:r>
    </w:p>
    <w:p>
      <w:pPr>
        <w:spacing w:after="0" w:line="21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Our independent inspector of elections, [●] (the “Independent Inspector of Elections”), will tabulate the votes cast by each proxy and in person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will the Company announce the results of the voting at the Annual Meeting?</w:t>
      </w:r>
    </w:p>
    <w:p>
      <w:pPr>
        <w:spacing w:after="0" w:line="21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Given that we expect the Annual Meeting to be a contested meeting, we may not announce preliminary results of the voting at the Annual Meeting. We will publicly disclose preliminary results of voting at the Annual Meeting based on the preliminary report of the Independent Inspector of Elections on a Current Report on Form 8-K filed with the SEC within four business days following the Annual Meeting, and final results as certified by the Independent Inspector of Elections as soon as practicable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BACKGROUND TO THE SOLICITATION</w:t>
      </w:r>
    </w:p>
    <w:p>
      <w:pPr>
        <w:spacing w:after="0" w:line="212" w:lineRule="exact"/>
        <w:rPr>
          <w:sz w:val="20"/>
          <w:szCs w:val="20"/>
          <w:color w:val="auto"/>
        </w:rPr>
      </w:pPr>
    </w:p>
    <w:p>
      <w:pPr>
        <w:jc w:val="both"/>
        <w:ind w:right="400" w:firstLine="749"/>
        <w:spacing w:after="0" w:line="253" w:lineRule="auto"/>
        <w:rPr>
          <w:sz w:val="20"/>
          <w:szCs w:val="20"/>
          <w:color w:val="auto"/>
        </w:rPr>
      </w:pPr>
      <w:r>
        <w:rPr>
          <w:rFonts w:ascii="Arial" w:cs="Arial" w:eastAsia="Arial" w:hAnsi="Arial"/>
          <w:sz w:val="18"/>
          <w:szCs w:val="18"/>
          <w:color w:val="auto"/>
        </w:rPr>
        <w:t>On March 16, 2026, a representative of Bradley Radoff sent an email to the Company’s investor relations team, identifying Mr. Radoff as a shareholder and requesting a meeting with representatives of the Company. This was the first time the Company had heard from Mr. Radoff. The Company responded to Mr. Radoff and arranged a meeting.</w:t>
      </w:r>
    </w:p>
    <w:p>
      <w:pPr>
        <w:spacing w:after="0" w:line="169"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On March 30, 2026, representatives from the Company’s investor relations team met virtually with Mr. Radoff, and Mr. Radoff asked questions about the Company’s strategy and operations.</w:t>
      </w:r>
    </w:p>
    <w:p>
      <w:pPr>
        <w:spacing w:after="0" w:line="154" w:lineRule="exact"/>
        <w:rPr>
          <w:sz w:val="20"/>
          <w:szCs w:val="20"/>
          <w:color w:val="auto"/>
        </w:rPr>
      </w:pPr>
    </w:p>
    <w:p>
      <w:pPr>
        <w:ind w:right="360" w:firstLine="749"/>
        <w:spacing w:after="0" w:line="247" w:lineRule="auto"/>
        <w:rPr>
          <w:sz w:val="20"/>
          <w:szCs w:val="20"/>
          <w:color w:val="auto"/>
        </w:rPr>
      </w:pPr>
      <w:r>
        <w:rPr>
          <w:rFonts w:ascii="Arial" w:cs="Arial" w:eastAsia="Arial" w:hAnsi="Arial"/>
          <w:sz w:val="18"/>
          <w:szCs w:val="18"/>
          <w:color w:val="auto"/>
        </w:rPr>
        <w:t>Two weeks later, on April 13, 2026, Mr. Radoff notified the Company that he was a part of an investor group that would soon be filing a Schedule 13D, disclosing collective ownership of nearly 8% of the Company’s outstanding shares. Mr. Radoff also requested a meeting with Mimi Vaughn, Board Chair, President, Chief Executive Officer and Interim Chief Financial Officer of the Company. The Company responded to Mr. Radoff and arranged a meeting with Ms. Vaughn.</w:t>
      </w:r>
    </w:p>
    <w:p>
      <w:pPr>
        <w:spacing w:after="0" w:line="174"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color w:val="auto"/>
        </w:rPr>
        <w:t>That same day, representatives from Olshan Frome Wolosky LLP (“Olshan”), counsel to Mr. Radoff and Jumana Capital Investments LLC (“Jumana”), requested the Company’s form of director questionnaire, as required for director nominations pursuant to Article II, Section 6 of the Company’s Second Amended and Restated Bylaws. The Company provided the requested director questionnaire to Olshan on April 17, 2026.</w:t>
      </w:r>
    </w:p>
    <w:p>
      <w:pPr>
        <w:spacing w:after="0" w:line="174" w:lineRule="exact"/>
        <w:rPr>
          <w:sz w:val="20"/>
          <w:szCs w:val="20"/>
          <w:color w:val="auto"/>
        </w:rPr>
      </w:pPr>
    </w:p>
    <w:p>
      <w:pPr>
        <w:ind w:right="1040" w:firstLine="749"/>
        <w:spacing w:after="0" w:line="271" w:lineRule="auto"/>
        <w:rPr>
          <w:sz w:val="20"/>
          <w:szCs w:val="20"/>
          <w:color w:val="auto"/>
        </w:rPr>
      </w:pPr>
      <w:r>
        <w:rPr>
          <w:rFonts w:ascii="Arial" w:cs="Arial" w:eastAsia="Arial" w:hAnsi="Arial"/>
          <w:sz w:val="18"/>
          <w:szCs w:val="18"/>
          <w:color w:val="auto"/>
        </w:rPr>
        <w:t>On April 15, 2026, Mr. Radoff and Jumana jointly filed a Schedule 13D with the SEC, disclosing collective ownership of approximately 7.64% of the Company’s outstanding shares.</w:t>
      </w:r>
    </w:p>
    <w:p>
      <w:pPr>
        <w:spacing w:after="0" w:line="154"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On April 21, 2026, Ms. Vaughn held a virtual meeting with Mr. Radoff and Adam Hirsch, Managing Director at Jumana. At the meeting, Messrs. Radoff and Hirsch suggested the Company could consider a sale of some of its businesses, a sale and leaseback of its real estate, a sale of the entire Company, increased share repurchases and changes to the Board. They did not provide any details on these topics, nor were they willing to identify any suggested candidates or any specific skill sets for the Board. Ms. Vaughn indicated that the Company was open to continuing to engage with Messrs. Radoff and Hirsch to better understand their views.</w:t>
      </w:r>
    </w:p>
    <w:p>
      <w:pPr>
        <w:spacing w:after="0" w:line="176" w:lineRule="exact"/>
        <w:rPr>
          <w:sz w:val="20"/>
          <w:szCs w:val="20"/>
          <w:color w:val="auto"/>
        </w:rPr>
      </w:pPr>
    </w:p>
    <w:p>
      <w:pPr>
        <w:ind w:right="160" w:firstLine="749"/>
        <w:spacing w:after="0" w:line="247" w:lineRule="auto"/>
        <w:rPr>
          <w:sz w:val="20"/>
          <w:szCs w:val="20"/>
          <w:color w:val="auto"/>
        </w:rPr>
      </w:pPr>
      <w:r>
        <w:rPr>
          <w:rFonts w:ascii="Arial" w:cs="Arial" w:eastAsia="Arial" w:hAnsi="Arial"/>
          <w:sz w:val="18"/>
          <w:szCs w:val="18"/>
          <w:color w:val="auto"/>
        </w:rPr>
        <w:t>On April 24, 2026, Olshan delivered to the Company a formal notice of nomination (the “Nomination Notice”) from Mr. Radoff, stating that Mr. Radoff intended to nominate four director candidates for election at the Annual Meeting: Westervelt T. Ballard, Jr., Glen W. Herrick, Kashif Molwani and Paula J. Poskon. Until delivery of the Nomination Notice, Mr. Radoff had not identified the names or profiles of any of these individuals to the Company.</w:t>
      </w:r>
    </w:p>
    <w:p>
      <w:pPr>
        <w:spacing w:after="0" w:line="174" w:lineRule="exact"/>
        <w:rPr>
          <w:sz w:val="20"/>
          <w:szCs w:val="20"/>
          <w:color w:val="auto"/>
        </w:rPr>
      </w:pPr>
    </w:p>
    <w:p>
      <w:pPr>
        <w:ind w:right="60" w:firstLine="749"/>
        <w:spacing w:after="0" w:line="271" w:lineRule="auto"/>
        <w:rPr>
          <w:sz w:val="20"/>
          <w:szCs w:val="20"/>
          <w:color w:val="auto"/>
        </w:rPr>
      </w:pPr>
      <w:r>
        <w:rPr>
          <w:rFonts w:ascii="Arial" w:cs="Arial" w:eastAsia="Arial" w:hAnsi="Arial"/>
          <w:sz w:val="18"/>
          <w:szCs w:val="18"/>
          <w:color w:val="auto"/>
        </w:rPr>
        <w:t>On April 27, 2026, Mr. Radoff and Jumana filed an amendment to their Schedule 13D, disclosing an increased collective ownership of approximately 8.06% of the Company’s outstanding shares and disclosing Mr. Radoff’s nomination of his director candidates.</w:t>
      </w:r>
    </w:p>
    <w:p>
      <w:pPr>
        <w:spacing w:after="0" w:line="154"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color w:val="auto"/>
        </w:rPr>
        <w:t>On April 28, 2026, Scott Becker, the Company’s Senior Vice President, General Counsel and Corporate Secretary, emailed Mr. Radoff that the Company was in receipt of his Nomination Notice and that the Board would review the director candidates in accordance with its established procedures. Mr. Becker also offered to arrange another meeting with Ms. Vaughn to further discuss Mr. Radoff’s perspectives on the Company. In response to Mr. Becker’s invitation, Mr. Radoff requested to meet with Greg Sandfort, the Board’s lead independent director, and any other “non-legacy”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May 1, 2026, Mr. Becker indicated that Mr. Sandfort and Ms. Vaughn would be available for a meeting with Mr. Radoff.</w:t>
      </w:r>
    </w:p>
    <w:p>
      <w:pPr>
        <w:spacing w:after="0" w:line="212"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On May 1, 2026, Mr. Radoff declined the offer to meet, claiming that Ms. Vaughn’s attendance at a meeting with Mr. Sandfort would be “inappropriate.”</w:t>
      </w:r>
    </w:p>
    <w:p>
      <w:pPr>
        <w:spacing w:after="0" w:line="154"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On May 4, 2026, Mr. Becker sent an email to Mr. Radoff suggesting a follow-up meeting with Ms. Vaughn, in which Mr. Sandfort would also participate if Mr. Radoff so desired. Mr. Becker’s email also asked to set up interviews of Mr. Radoff’s nominees with the Board’s Nominating and Governance Committee (the “Nominating and Governance Committee”). The same day, Mr. Radoff responded that he and Mr. Hirsch were open to a follow-up meeting with Ms. Vaughn, but that they also wanted to meet with Mr. Sandfort without Ms. Vaughn. Mr. Radoff said that he would only make his nominees available for interviews after he met with Mr. Sandfort.</w:t>
      </w:r>
    </w:p>
    <w:p>
      <w:pPr>
        <w:spacing w:after="0" w:line="176"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On May 7, 2026, Ms. Vaughn and Darryl MacQuarrie, the Company’s Senior Director of Financial Planning and Analysis, had a call with Messrs. Radoff and Hirsch. Mr. Radoff provided high level feedback on ways in which the Company could potentially create more value. When asked what Mr. Radoff wanted the Company to do specifically, he stated that it was premature to talk about his platform. He said that he would make his nominees available at the right time and under a framework. At the end of the call, Ms. Vaughn agreed to check Mr. Sandfort’s availability for a meeting with Messrs. Radoff and Hirsch.</w:t>
      </w:r>
    </w:p>
    <w:p>
      <w:pPr>
        <w:spacing w:after="0" w:line="176" w:lineRule="exact"/>
        <w:rPr>
          <w:sz w:val="20"/>
          <w:szCs w:val="20"/>
          <w:color w:val="auto"/>
        </w:rPr>
      </w:pPr>
    </w:p>
    <w:p>
      <w:pPr>
        <w:ind w:right="100" w:firstLine="749"/>
        <w:spacing w:after="0" w:line="244" w:lineRule="auto"/>
        <w:rPr>
          <w:sz w:val="20"/>
          <w:szCs w:val="20"/>
          <w:color w:val="auto"/>
        </w:rPr>
      </w:pPr>
      <w:r>
        <w:rPr>
          <w:rFonts w:ascii="Arial" w:cs="Arial" w:eastAsia="Arial" w:hAnsi="Arial"/>
          <w:sz w:val="18"/>
          <w:szCs w:val="18"/>
          <w:color w:val="auto"/>
        </w:rPr>
        <w:t>On May 14, 2026, Messrs. Becker and Sandfort held a virtual meeting with Messrs. Radoff and Hirsch. At the meeting, Messrs. Radoff and Hirsch offered suggestions for the Company to consider, including refreshing the Board, separating the chair and CEO roles, increasing share repurchases, pursuing a sale-leaseback for distribution centers, and considering divestitures of businesses. When asked about arranging interviews of Mr. Radoff’s nominees with the Nominating and Governance Committee, Messrs. Radoff and Hirsch reiterated that the nominees would be made available at the right time and under a framework.</w:t>
      </w:r>
    </w:p>
    <w:p>
      <w:pPr>
        <w:spacing w:after="0" w:line="176"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On May 19, 2026, representatives of Wachtell, Lipton, Rosen &amp; Katz (“Wachtell”), counsel to the Company in connection with the contested solicitation, contacted Olshan to indicate that the Company would be willing to give Mr. Radoff a preview of the upcoming earnings release and topics to be discussed in that release, subject to Mr. Radoff executing a standard short-term non-disclosure agreement that would expire after issuance of the release and completion of the Company’s analyst call. Wachtell also repeated the Company’s request to arrange interviews with Mr. Radoff’s nominees. Later that day, Olshan replied that Mr. Radoff was not willing to enter into a non-disclosure agreement, but would agree to make his nominees available for interviews.</w:t>
      </w:r>
    </w:p>
    <w:p>
      <w:pPr>
        <w:spacing w:after="0" w:line="179"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The following day, on May 20, 2026, Olshan contacted Wachtell to communicate that Messrs. Radoff and Hirsch had decided they were willing to enter into a standard short-term non-disclosure agreement in order to receive a preview of the upcoming earnings release and topics to be discussed in that release. On May 21, 2026, the Company and Messrs. Radoff and Hirsch entered into the non-disclosure agreement.</w:t>
      </w:r>
    </w:p>
    <w:p>
      <w:pPr>
        <w:spacing w:after="0" w:line="174" w:lineRule="exact"/>
        <w:rPr>
          <w:sz w:val="20"/>
          <w:szCs w:val="20"/>
          <w:color w:val="auto"/>
        </w:rPr>
      </w:pPr>
    </w:p>
    <w:p>
      <w:pPr>
        <w:jc w:val="both"/>
        <w:ind w:right="120" w:firstLine="749"/>
        <w:spacing w:after="0" w:line="253" w:lineRule="auto"/>
        <w:rPr>
          <w:sz w:val="20"/>
          <w:szCs w:val="20"/>
          <w:color w:val="auto"/>
        </w:rPr>
      </w:pPr>
      <w:r>
        <w:rPr>
          <w:rFonts w:ascii="Arial" w:cs="Arial" w:eastAsia="Arial" w:hAnsi="Arial"/>
          <w:sz w:val="18"/>
          <w:szCs w:val="18"/>
          <w:color w:val="auto"/>
        </w:rPr>
        <w:t>On May 24, 2026, the Company provided Messrs. Radoff and Hirsch with a draft of the upcoming earnings release pursuant to the non-disclosure agreement. On May 26, 2026, Ms. Vaughn and Mr. Becker met virtually with Messrs. Radoff and Hirsch to discuss the draft earnings release, Messrs. Radoff and Hirsch's feedback and related topics.</w:t>
      </w:r>
    </w:p>
    <w:p>
      <w:pPr>
        <w:spacing w:after="0" w:line="169"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On May 27 and May 28, 2026, Joanna Barsh, Chair of the Nominating and Governance Committee, Mr. Sandfort, lead independent director, and Mary E. Meixelsperger, Chair of the Audit Committee, interviewed each of Mr. Radoff’s nominees by videoconference, with a focus on understanding the background, skills and experiences that each of them could bring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0" w:firstLine="749"/>
        <w:spacing w:after="0" w:line="301" w:lineRule="auto"/>
        <w:rPr>
          <w:sz w:val="20"/>
          <w:szCs w:val="20"/>
          <w:color w:val="auto"/>
        </w:rPr>
      </w:pPr>
      <w:r>
        <w:rPr>
          <w:rFonts w:ascii="Arial" w:cs="Arial" w:eastAsia="Arial" w:hAnsi="Arial"/>
          <w:sz w:val="17"/>
          <w:szCs w:val="17"/>
          <w:color w:val="auto"/>
        </w:rPr>
        <w:t>On May 29, 2026, the Company held its first quarter earnings call, during which the Company reported its seventh consecutive quarter of positive comparable sales and raised its full-year adjusted earnings per share guidance to a range of $2.00 to $2.40.</w:t>
      </w:r>
    </w:p>
    <w:p>
      <w:pPr>
        <w:spacing w:after="0" w:line="131" w:lineRule="exact"/>
        <w:rPr>
          <w:sz w:val="20"/>
          <w:szCs w:val="20"/>
          <w:color w:val="auto"/>
        </w:rPr>
      </w:pPr>
    </w:p>
    <w:p>
      <w:pPr>
        <w:ind w:right="520" w:firstLine="749"/>
        <w:spacing w:after="0" w:line="271" w:lineRule="auto"/>
        <w:rPr>
          <w:sz w:val="20"/>
          <w:szCs w:val="20"/>
          <w:color w:val="auto"/>
        </w:rPr>
      </w:pPr>
      <w:r>
        <w:rPr>
          <w:rFonts w:ascii="Arial" w:cs="Arial" w:eastAsia="Arial" w:hAnsi="Arial"/>
          <w:sz w:val="18"/>
          <w:szCs w:val="18"/>
          <w:color w:val="auto"/>
        </w:rPr>
        <w:t>Throughout the next few days, Wachtell and Olshan spoke several times to see whether they could find a mutually agreeable resolution and were unable to do so.</w:t>
      </w:r>
    </w:p>
    <w:p>
      <w:pPr>
        <w:spacing w:after="0" w:line="140" w:lineRule="exact"/>
        <w:rPr>
          <w:sz w:val="20"/>
          <w:szCs w:val="20"/>
          <w:color w:val="auto"/>
        </w:rPr>
      </w:pPr>
    </w:p>
    <w:p>
      <w:pPr>
        <w:ind w:right="140" w:firstLine="749"/>
        <w:spacing w:after="0" w:line="247" w:lineRule="auto"/>
        <w:rPr>
          <w:sz w:val="20"/>
          <w:szCs w:val="20"/>
          <w:color w:val="auto"/>
        </w:rPr>
      </w:pPr>
      <w:r>
        <w:rPr>
          <w:rFonts w:ascii="Arial" w:cs="Arial" w:eastAsia="Arial" w:hAnsi="Arial"/>
          <w:sz w:val="18"/>
          <w:szCs w:val="18"/>
          <w:color w:val="auto"/>
        </w:rPr>
        <w:t>On June 1, 2026, the Board of Directors convened a special meeting to, among other things, discuss Mr. Radoff’s director nominees. The Board determined that, based upon the optimal size of the Board and the skills and experiences already represented on the Board, it would not be in the best interests of the Company and its shareholders to add any of Mr. Radoff’s nominees to the Board at that time.</w:t>
      </w:r>
    </w:p>
    <w:p>
      <w:pPr>
        <w:spacing w:after="0" w:line="160" w:lineRule="exact"/>
        <w:rPr>
          <w:sz w:val="20"/>
          <w:szCs w:val="20"/>
          <w:color w:val="auto"/>
        </w:rPr>
      </w:pPr>
    </w:p>
    <w:p>
      <w:pPr>
        <w:ind w:right="840" w:firstLine="749"/>
        <w:spacing w:after="0" w:line="271" w:lineRule="auto"/>
        <w:rPr>
          <w:sz w:val="20"/>
          <w:szCs w:val="20"/>
          <w:color w:val="auto"/>
        </w:rPr>
      </w:pPr>
      <w:r>
        <w:rPr>
          <w:rFonts w:ascii="Arial" w:cs="Arial" w:eastAsia="Arial" w:hAnsi="Arial"/>
          <w:sz w:val="18"/>
          <w:szCs w:val="18"/>
          <w:color w:val="auto"/>
        </w:rPr>
        <w:t>That same day, via Olshan, Mr. Radoff requested that the Company share its calculation of the average price of its share repurchases. Wachtell provided the requested information to Olshan on June 2, 2026.</w:t>
      </w:r>
    </w:p>
    <w:p>
      <w:pPr>
        <w:spacing w:after="0" w:line="140"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On June 1, 2026, Mr. Hirsch contacted Ms. Vaughn to ask her to meet with Akbar Mohamed, founder of Jumana. On June 2, 2026, Ms. Vaughn replied and scheduled the meeting with Mr. Mohamed. Later on that same day, Mr. Radoff and Ms. Vaughn exchanged e-mails about share buybacks.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June 3, 2026, the Company filed a preliminary proxy statement.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June 8, 2026, Mr. Radoff filed a preliminary proxy statement.</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June 11, 2026, the Company filed this revised preliminary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ELECTION OF DIRECTORS</w:t>
      </w:r>
    </w:p>
    <w:p>
      <w:pPr>
        <w:spacing w:after="0" w:line="194"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The Board currently has nine directors, all of which are standing for re-election at the Annual Meeting. The nine directors standing for re-election at the Annual Meeting will hold office until the next annual meeting of shareholders and/or until their successors are elected and qualified. A plurality of the votes cast by the holders of shares entitled to vote in the election is required to elect a director. All of the nominees are presently serving as directors, and all have agreed to serve if elected. All nominees have previously been elected by the Company’s shareholders. The shares represented by valid proxies will be voted FOR the election of the following nominees, unless the proxies specify otherwise. If any nominee becomes unable or unwilling to serve prior to the Annual Meeting, the Board may reduce the number of directors comprising the Board, as permitted by the Company’s Second Amended and Restated Bylaws (the “Bylaws”), or the proxies will be voted for a substitute nominee recommended by the Board.</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Board unanimously recommends that the shareholders vote FOR all of the director nominees.</w:t>
      </w:r>
    </w:p>
    <w:p>
      <w:pPr>
        <w:spacing w:after="0" w:line="212" w:lineRule="exact"/>
        <w:rPr>
          <w:sz w:val="20"/>
          <w:szCs w:val="20"/>
          <w:color w:val="auto"/>
        </w:rPr>
      </w:pPr>
    </w:p>
    <w:p>
      <w:pPr>
        <w:ind w:right="40" w:firstLine="382"/>
        <w:spacing w:after="0" w:line="259" w:lineRule="auto"/>
        <w:rPr>
          <w:sz w:val="20"/>
          <w:szCs w:val="20"/>
          <w:color w:val="auto"/>
        </w:rPr>
      </w:pPr>
      <w:r>
        <w:rPr>
          <w:rFonts w:ascii="Arial" w:cs="Arial" w:eastAsia="Arial" w:hAnsi="Arial"/>
          <w:sz w:val="17"/>
          <w:szCs w:val="17"/>
          <w:b w:val="1"/>
          <w:bCs w:val="1"/>
          <w:color w:val="auto"/>
        </w:rPr>
        <w:t xml:space="preserve">Mr. Radoff has notified the Company of his intent to nominate four nominees for election as directors at the Annual Meeting. The Board does not endorse any Radoff Nominee and unanimously recommends that you disregard any proxy card that may be sent to you by Mr. Radoff. Voting to “withhold” with respect to any Radoff Nominee on its proxy card is not the same as voting for the Board’s nominees, because a vote to “withhold” with respect to any Radoff Nominee on its proxy card will revoke any previous </w:t>
      </w:r>
      <w:r>
        <w:rPr>
          <w:rFonts w:ascii="Arial" w:cs="Arial" w:eastAsia="Arial" w:hAnsi="Arial"/>
          <w:sz w:val="17"/>
          <w:szCs w:val="17"/>
          <w:b w:val="1"/>
          <w:bCs w:val="1"/>
          <w:u w:val="single" w:color="auto"/>
          <w:color w:val="auto"/>
        </w:rPr>
        <w:t>WHITE</w:t>
      </w:r>
      <w:r>
        <w:rPr>
          <w:rFonts w:ascii="Arial" w:cs="Arial" w:eastAsia="Arial" w:hAnsi="Arial"/>
          <w:sz w:val="17"/>
          <w:szCs w:val="17"/>
          <w:b w:val="1"/>
          <w:bCs w:val="1"/>
          <w:color w:val="auto"/>
        </w:rPr>
        <w:t xml:space="preserve"> proxy card submitted by you. If you have already voted using a proxy card sent to you by Mr. Radoff, you have every right to change your vote and we urge you to revoke that proxy by voting the enclosed </w:t>
      </w:r>
      <w:r>
        <w:rPr>
          <w:rFonts w:ascii="Arial" w:cs="Arial" w:eastAsia="Arial" w:hAnsi="Arial"/>
          <w:sz w:val="17"/>
          <w:szCs w:val="17"/>
          <w:b w:val="1"/>
          <w:bCs w:val="1"/>
          <w:u w:val="single" w:color="auto"/>
          <w:color w:val="auto"/>
        </w:rPr>
        <w:t>WHITE</w:t>
      </w:r>
      <w:r>
        <w:rPr>
          <w:rFonts w:ascii="Arial" w:cs="Arial" w:eastAsia="Arial" w:hAnsi="Arial"/>
          <w:sz w:val="17"/>
          <w:szCs w:val="17"/>
          <w:b w:val="1"/>
          <w:bCs w:val="1"/>
          <w:color w:val="auto"/>
        </w:rPr>
        <w:t xml:space="preserve"> proxy card by telephone or by Internet, or by signing, dating and returning it promptly. Only the latest dated validly executed proxy that you submit will be counted.</w:t>
      </w:r>
    </w:p>
    <w:p>
      <w:pPr>
        <w:spacing w:after="0" w:line="143"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Although the Company is required to include all nominees for election on its universal proxy card, for additional information regarding the Radoff Nominees, including the information required by Item 7 of Schedule 14A and any other related information, please refer to Mr. Radoff’s proxy statement, which is accessible without cost at www.sec.gov. The Company is not responsible for the accuracy or completeness of any information provided by or relating to Mr. Radoff or the Radoff Nominees contained in solicitation materials filed or disseminated by or on behalf of Mr. Radoff or any other statements Mr. Radoff may make.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Nominees</w:t>
      </w:r>
    </w:p>
    <w:p>
      <w:pPr>
        <w:spacing w:after="0" w:line="212"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All the Company’s directors have demonstrated business acumen, the ability to exercise sound business judgment, and a commitment to serve the Company as directors. They also bring a variety of professional backgrounds and leadership experience that contribute to the effectiveness of the Board in fulfilling its responsibilities to the Company. Set forth below is biographical information about each director and a discussion of factors in his or her experience that the Board views as supporting his or her continued service on the Board.</w:t>
      </w:r>
    </w:p>
    <w:p>
      <w:pPr>
        <w:spacing w:after="0" w:line="174" w:lineRule="exact"/>
        <w:rPr>
          <w:sz w:val="20"/>
          <w:szCs w:val="20"/>
          <w:color w:val="auto"/>
        </w:rPr>
      </w:pPr>
    </w:p>
    <w:p>
      <w:pPr>
        <w:ind w:right="140" w:firstLine="382"/>
        <w:spacing w:after="0" w:line="255" w:lineRule="auto"/>
        <w:rPr>
          <w:sz w:val="20"/>
          <w:szCs w:val="20"/>
          <w:color w:val="auto"/>
        </w:rPr>
      </w:pPr>
      <w:r>
        <w:rPr>
          <w:rFonts w:ascii="Arial" w:cs="Arial" w:eastAsia="Arial" w:hAnsi="Arial"/>
          <w:sz w:val="17"/>
          <w:szCs w:val="17"/>
          <w:color w:val="auto"/>
        </w:rPr>
        <w:t xml:space="preserve">JOANNA BARSH, 73, </w:t>
      </w:r>
      <w:r>
        <w:rPr>
          <w:rFonts w:ascii="Arial" w:cs="Arial" w:eastAsia="Arial" w:hAnsi="Arial"/>
          <w:sz w:val="17"/>
          <w:szCs w:val="17"/>
          <w:i w:val="1"/>
          <w:iCs w:val="1"/>
          <w:color w:val="auto"/>
        </w:rPr>
        <w:t>Independent Consultant; Director Emerita, McKinsey &amp; Company.</w:t>
      </w:r>
      <w:r>
        <w:rPr>
          <w:rFonts w:ascii="Arial" w:cs="Arial" w:eastAsia="Arial" w:hAnsi="Arial"/>
          <w:sz w:val="17"/>
          <w:szCs w:val="17"/>
          <w:color w:val="auto"/>
        </w:rPr>
        <w:t xml:space="preserve"> Ms. Barsh joined Genesco's Board in November 2013. She served as a senior partner emeritus of McKinsey &amp; Company, a global management consulting firm, from March 2013 through March 2026, following more than 30 years with that firm, where she had been a senior partner since 1994. She is the author of several books on leadership and continues to conduct research on talent management within the U.S. and in Latin America. Ms. Barsh has counseled companies and organizations around the world in the retail, consumer products, direct selling, private equity, and media sectors on strategic and operational issues. She has been a strong advocate for women for over two decades, having worked with </w:t>
      </w:r>
      <w:r>
        <w:rPr>
          <w:rFonts w:ascii="Arial" w:cs="Arial" w:eastAsia="Arial" w:hAnsi="Arial"/>
          <w:sz w:val="17"/>
          <w:szCs w:val="17"/>
          <w:i w:val="1"/>
          <w:iCs w:val="1"/>
          <w:color w:val="auto"/>
        </w:rPr>
        <w:t>The Wall Street</w:t>
      </w:r>
      <w:r>
        <w:rPr>
          <w:rFonts w:ascii="Arial" w:cs="Arial" w:eastAsia="Arial" w:hAnsi="Arial"/>
          <w:sz w:val="17"/>
          <w:szCs w:val="17"/>
          <w:color w:val="auto"/>
        </w:rPr>
        <w:t xml:space="preserve"> </w:t>
      </w:r>
      <w:r>
        <w:rPr>
          <w:rFonts w:ascii="Arial" w:cs="Arial" w:eastAsia="Arial" w:hAnsi="Arial"/>
          <w:sz w:val="17"/>
          <w:szCs w:val="17"/>
          <w:i w:val="1"/>
          <w:iCs w:val="1"/>
          <w:color w:val="auto"/>
        </w:rPr>
        <w:t>Journal</w:t>
      </w:r>
      <w:r>
        <w:rPr>
          <w:rFonts w:ascii="Arial" w:cs="Arial" w:eastAsia="Arial" w:hAnsi="Arial"/>
          <w:sz w:val="17"/>
          <w:szCs w:val="17"/>
          <w:color w:val="auto"/>
        </w:rPr>
        <w:t>, the U.S. Chamber of Commerce,</w:t>
      </w:r>
      <w:r>
        <w:rPr>
          <w:rFonts w:ascii="Arial" w:cs="Arial" w:eastAsia="Arial" w:hAnsi="Arial"/>
          <w:sz w:val="17"/>
          <w:szCs w:val="17"/>
          <w:i w:val="1"/>
          <w:iCs w:val="1"/>
          <w:color w:val="auto"/>
        </w:rPr>
        <w:t xml:space="preserve"> Fortune</w:t>
      </w:r>
      <w:r>
        <w:rPr>
          <w:rFonts w:ascii="Arial" w:cs="Arial" w:eastAsia="Arial" w:hAnsi="Arial"/>
          <w:sz w:val="17"/>
          <w:szCs w:val="17"/>
          <w:color w:val="auto"/>
        </w:rPr>
        <w:t>, Danone's Eve Program, and Monterrey Tech. The Board believes that Ms. Barsh's</w:t>
      </w:r>
      <w:r>
        <w:rPr>
          <w:rFonts w:ascii="Arial" w:cs="Arial" w:eastAsia="Arial" w:hAnsi="Arial"/>
          <w:sz w:val="17"/>
          <w:szCs w:val="17"/>
          <w:i w:val="1"/>
          <w:iCs w:val="1"/>
          <w:color w:val="auto"/>
        </w:rPr>
        <w:t xml:space="preserve"> </w:t>
      </w:r>
      <w:r>
        <w:rPr>
          <w:rFonts w:ascii="Arial" w:cs="Arial" w:eastAsia="Arial" w:hAnsi="Arial"/>
          <w:sz w:val="17"/>
          <w:szCs w:val="17"/>
          <w:color w:val="auto"/>
        </w:rPr>
        <w:t>expertise gained through more than three decades of helping management teams and boards identify market opportunities, chart and implement strategies, identify and execute business transformations and navigate industry transitions, as well as her extensive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on advancing women and people of color in the workplace, provide valuable insight to Genesco's Board and management.</w:t>
      </w:r>
    </w:p>
    <w:p>
      <w:pPr>
        <w:spacing w:after="0" w:line="212" w:lineRule="exact"/>
        <w:rPr>
          <w:sz w:val="20"/>
          <w:szCs w:val="20"/>
          <w:color w:val="auto"/>
        </w:rPr>
      </w:pPr>
    </w:p>
    <w:p>
      <w:pPr>
        <w:ind w:right="100" w:firstLine="382"/>
        <w:spacing w:after="0" w:line="238" w:lineRule="auto"/>
        <w:rPr>
          <w:sz w:val="20"/>
          <w:szCs w:val="20"/>
          <w:color w:val="auto"/>
        </w:rPr>
      </w:pPr>
      <w:r>
        <w:rPr>
          <w:rFonts w:ascii="Arial" w:cs="Arial" w:eastAsia="Arial" w:hAnsi="Arial"/>
          <w:sz w:val="18"/>
          <w:szCs w:val="18"/>
          <w:color w:val="auto"/>
        </w:rPr>
        <w:t xml:space="preserve">MATTHEW M. BILUNAS, 53, </w:t>
      </w:r>
      <w:r>
        <w:rPr>
          <w:rFonts w:ascii="Arial" w:cs="Arial" w:eastAsia="Arial" w:hAnsi="Arial"/>
          <w:sz w:val="18"/>
          <w:szCs w:val="18"/>
          <w:i w:val="1"/>
          <w:iCs w:val="1"/>
          <w:color w:val="auto"/>
        </w:rPr>
        <w:t>Senior Executive Vice President, Chief Financial Officer, Best Buy Co., Inc.</w:t>
      </w:r>
      <w:r>
        <w:rPr>
          <w:rFonts w:ascii="Arial" w:cs="Arial" w:eastAsia="Arial" w:hAnsi="Arial"/>
          <w:sz w:val="18"/>
          <w:szCs w:val="18"/>
          <w:color w:val="auto"/>
        </w:rPr>
        <w:t xml:space="preserve"> Matt Bilunas is the chief financial officer and senior executive vice president of enterprise strategy for Best Buy Co., Inc (“Best Buy”) (NYSE: BBY). He is responsible for overseeing all aspects of global finance, including audit, procurement and financial services, as well as enterprise strategy and real estate. Since joining Best Buy in 2006, Mr. Bilunas has served in a variety of financial leadership roles, both in the field and at the corporate campus. He started as a territory finance director in Los Angeles and has worked in the company’s domestic and international businesses. Mr. Bilunas has been a key leader during Best Buy’s transformation. Prior to becoming CFO, he was senior vice president of enterprise and merchandise finance. He also has held finance roles in retail, e-commerce and marketing. Before joining Best Buy, Mr. Bilunas worked at Carlson Inc., NRG Energy Inc. (NYSE: NRG), Bandag Inc., and KPMG. He holds a bachelor’s degree in accounting from Iowa State University. The Board believes that Mr. Bilunas’ experience as a chief financial officer and his expertise and knowledge of accounting, auditing, internal control over financial reporting and investor relations by publicly-traded companies are valuable to the Board and to the Company.</w:t>
      </w:r>
    </w:p>
    <w:p>
      <w:pPr>
        <w:spacing w:after="0" w:line="186"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 xml:space="preserve">CAROLYN BOJANOWSKI, 48, </w:t>
      </w:r>
      <w:r>
        <w:rPr>
          <w:rFonts w:ascii="Arial" w:cs="Arial" w:eastAsia="Arial" w:hAnsi="Arial"/>
          <w:sz w:val="18"/>
          <w:szCs w:val="18"/>
          <w:i w:val="1"/>
          <w:iCs w:val="1"/>
          <w:color w:val="auto"/>
        </w:rPr>
        <w:t>Executive Vice President Merchandising, Sephora USA, a division of LVMH Moët Hennessy Louis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Vuitton SE. </w:t>
      </w:r>
      <w:r>
        <w:rPr>
          <w:rFonts w:ascii="Arial" w:cs="Arial" w:eastAsia="Arial" w:hAnsi="Arial"/>
          <w:sz w:val="18"/>
          <w:szCs w:val="18"/>
          <w:color w:val="auto"/>
        </w:rPr>
        <w:t>During her 21-year tenure at Sephora USA, a division of LVMH Moët Hennessy Louis Vuitton SE, where she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merchandising since September 2022, Ms. Bojanowski has made transformative contributions in omni-channel retailing, e-commerce, merchandising, marketing, and brand and product development. She is currently a member of the company’s North American Operating Committee and is responsible for sales through all of Sephora’s channels, including Sephora stores, Sephora.com and Sephora inside Kohl’s. From June 2020 to September 2022, Ms. Bojanowski served as senior vice president, general manager e-commerce; from March 2020 to June 2020, she served as senior vice president, dotcom merchandising and gift cards; and from January 2017 to March 2020, she served as vice president, Sephora.com merchandising. Ms. Bojanowski has led the company’s dotcom merchandising and marketing, and e-commerce delivery strategy, created new digital partnerships, introduced new payment methods, launched buy online pick up in store and same day delivery capabilities, and elevated the dotcom client experience in both the U.S. and Canada. A seasoned operator and accomplished strategist, Ms. Bojanowski has extensive experience working with more than 200 brands and driving growth and innovation at Sephora. The Board believes that Ms. Bojanowski’s experience in merchandising, marketing and brand development, as well as her experience in digital and e-commerce, is valuable to the Board and to the Company.</w:t>
      </w:r>
    </w:p>
    <w:p>
      <w:pPr>
        <w:spacing w:after="0" w:line="180"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 xml:space="preserve">JOHN F. LAMBROS, 60, </w:t>
      </w:r>
      <w:r>
        <w:rPr>
          <w:rFonts w:ascii="Arial" w:cs="Arial" w:eastAsia="Arial" w:hAnsi="Arial"/>
          <w:sz w:val="18"/>
          <w:szCs w:val="18"/>
          <w:i w:val="1"/>
          <w:iCs w:val="1"/>
          <w:color w:val="auto"/>
        </w:rPr>
        <w:t>Managing Director and Co-Head U.S. Technology Group, Head Global Digital Media &amp; Entertainment,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Houlihan Lokey. </w:t>
      </w:r>
      <w:r>
        <w:rPr>
          <w:rFonts w:ascii="Arial" w:cs="Arial" w:eastAsia="Arial" w:hAnsi="Arial"/>
          <w:sz w:val="18"/>
          <w:szCs w:val="18"/>
          <w:color w:val="auto"/>
        </w:rPr>
        <w:t>Mr. Lambros is managing director and co-head U.S. Technology Group, and head global digital media &amp; entertainment at</w:t>
      </w:r>
      <w:r>
        <w:rPr>
          <w:rFonts w:ascii="Arial" w:cs="Arial" w:eastAsia="Arial" w:hAnsi="Arial"/>
          <w:sz w:val="18"/>
          <w:szCs w:val="18"/>
          <w:i w:val="1"/>
          <w:iCs w:val="1"/>
          <w:color w:val="auto"/>
        </w:rPr>
        <w:t xml:space="preserve"> </w:t>
      </w:r>
      <w:r>
        <w:rPr>
          <w:rFonts w:ascii="Arial" w:cs="Arial" w:eastAsia="Arial" w:hAnsi="Arial"/>
          <w:sz w:val="18"/>
          <w:szCs w:val="18"/>
          <w:color w:val="auto"/>
        </w:rPr>
        <w:t>Houlihan Lokey. He previously served as president of GCA-U.S., a global investment bank, serving as the head of its digital media banking practice. He also served as a member of its board of directors and executive committee and served as a member of the board of directors of GCA Corporation, its parent company (TYO: 2174). Mr. Lambros has been an active advisor to and operator in the digital media and emerging technology markets. As an investment banker, Mr. Lambros has led more than 250 public and private market financings, merger and acquisition transactions, recapitalizations, joint ventures and senior and subordinated debt financings. From 2000 to 2003, he was senior vice president of business development for Into Networks, a broadband technology company. From 1993 to 2000, Mr. Lambros was a banker at Morgan Stanley &amp; Co. (NYSE: MS), where he served as a vice president and member of the global communications group focused on advising emerging telecommunications, media and technology clients. The Board considers Mr. Lambros’ experience in corporate finance, digital media, emerging technology sectors, as well as his experience with strategic portfolio reviews, M&amp;A, transaction matters and capital markets to be beneficial to Genesco’s Board.</w:t>
      </w:r>
    </w:p>
    <w:p>
      <w:pPr>
        <w:spacing w:after="0" w:line="183" w:lineRule="exact"/>
        <w:rPr>
          <w:sz w:val="20"/>
          <w:szCs w:val="20"/>
          <w:color w:val="auto"/>
        </w:rPr>
      </w:pPr>
    </w:p>
    <w:p>
      <w:pPr>
        <w:ind w:right="100" w:firstLine="382"/>
        <w:spacing w:after="0" w:line="271" w:lineRule="auto"/>
        <w:rPr>
          <w:sz w:val="20"/>
          <w:szCs w:val="20"/>
          <w:color w:val="auto"/>
        </w:rPr>
      </w:pPr>
      <w:r>
        <w:rPr>
          <w:rFonts w:ascii="Arial" w:cs="Arial" w:eastAsia="Arial" w:hAnsi="Arial"/>
          <w:sz w:val="18"/>
          <w:szCs w:val="18"/>
          <w:color w:val="auto"/>
        </w:rPr>
        <w:t xml:space="preserve">THURGOOD MARSHALL, JR., 69, </w:t>
      </w:r>
      <w:r>
        <w:rPr>
          <w:rFonts w:ascii="Arial" w:cs="Arial" w:eastAsia="Arial" w:hAnsi="Arial"/>
          <w:sz w:val="18"/>
          <w:szCs w:val="18"/>
          <w:i w:val="1"/>
          <w:iCs w:val="1"/>
          <w:color w:val="auto"/>
        </w:rPr>
        <w:t>Retired Partner, Morgan, Lewis &amp; Bockius LLP.</w:t>
      </w:r>
      <w:r>
        <w:rPr>
          <w:rFonts w:ascii="Arial" w:cs="Arial" w:eastAsia="Arial" w:hAnsi="Arial"/>
          <w:sz w:val="18"/>
          <w:szCs w:val="18"/>
          <w:color w:val="auto"/>
        </w:rPr>
        <w:t xml:space="preserve"> Mr. Marshall, who joined Genesco’s Board in 2012, was a partner in the Washington, D.C. office of the law firm of Morgan, Lewis &amp;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Bockius LLP until his retirement in September 2019. He serves on the board of EN+ Group (LSE:ENPL &amp; MOEX:ENPG), a publicly traded multinational producer of hydropower and low-carbon aluminum. He also serves on the board of CoreCivic Inc. (NYSE: CXW), a publicly-traded, full-service corrections management and real estate solutions provider. He is a former board member of the Ethics Compliance and Certification Institute, the United States Postal Service and the Ford Foundation. Mr. Marshall works at the intersection of law, business, politics and policy. He has practiced law, held senior government appointments, and he serves on an array of corporate and non-profit boards. Mr. Marshall’s professional background includes service in all three branches of the federal government and in the private sector. Prior to joining a predecessor of Morgan, Lewis &amp; Bockius LLP as a partner in 2001, he served in roles including Assistant to the President and Cabinet Secretary from 1997 to 2001, co-chair of the White House Olympic Task Force in connection with the 2002 Winter Olympics, director of legislative affairs and deputy counsel to the Vice President, counsel to the Senate Judiciary Committee, the Committee on Commerce, Science &amp; Transportation, and the Governmental Affairs Committee, and as a judicial clerk to the Honorable Barrington D. Parker of the U.S. District Court for the District of Columbia. The Board believes that Mr. Marshall’s extensive experience in government service, insight into regulatory affairs, and his expertise in corporate governance and oversight, ethics and risk management and stakeholder relations gained through service as a director in for-profit, non-profit, and public sectors, bring unique and valuable perspective to Genesco.</w:t>
      </w:r>
    </w:p>
    <w:p>
      <w:pPr>
        <w:spacing w:after="0" w:line="170" w:lineRule="exact"/>
        <w:rPr>
          <w:sz w:val="20"/>
          <w:szCs w:val="20"/>
          <w:color w:val="auto"/>
        </w:rPr>
      </w:pPr>
    </w:p>
    <w:p>
      <w:pPr>
        <w:ind w:firstLine="374"/>
        <w:spacing w:after="0" w:line="237" w:lineRule="auto"/>
        <w:rPr>
          <w:sz w:val="20"/>
          <w:szCs w:val="20"/>
          <w:color w:val="auto"/>
        </w:rPr>
      </w:pPr>
      <w:r>
        <w:rPr>
          <w:rFonts w:ascii="Arial" w:cs="Arial" w:eastAsia="Arial" w:hAnsi="Arial"/>
          <w:sz w:val="18"/>
          <w:szCs w:val="18"/>
          <w:color w:val="auto"/>
        </w:rPr>
        <w:t>ANGEL R. MARTINEZ, 71, Co-</w:t>
      </w:r>
      <w:r>
        <w:rPr>
          <w:rFonts w:ascii="Arial" w:cs="Arial" w:eastAsia="Arial" w:hAnsi="Arial"/>
          <w:sz w:val="18"/>
          <w:szCs w:val="18"/>
          <w:i w:val="1"/>
          <w:iCs w:val="1"/>
          <w:color w:val="auto"/>
        </w:rPr>
        <w:t>Chief Executive Officer and Director, Oofos</w:t>
      </w:r>
      <w:r>
        <w:rPr>
          <w:rFonts w:ascii="Arial" w:cs="Arial" w:eastAsia="Arial" w:hAnsi="Arial"/>
          <w:sz w:val="18"/>
          <w:szCs w:val="18"/>
          <w:color w:val="auto"/>
        </w:rPr>
        <w:t>. Mr. Martinez was named co-chief executive officer of Oofos, a recovery footwear brand, in October 2025, after joining the Oofos board of directors in February 2025. He previously served as chief executive officer and president of Deckers Brands (formerly known as Deckers Outdoor Corporation) (NYSE: DECK), a footwear designer and distributor whose brands include UGG, Teva, Hoka and Koolaburra, from April 2005 until his retirement in June 2016, as executive chairman of the board from 2008 until June 2016, and as non-executive chairman of the board from June 2016 until September 2017. Prior to joining Deckers, Mr. Martinez was co-founder of Keen LLC, an outdoor footwear manufacturer, and served as its president, chief executive officer and vice chairman from April 2003 to March 2005. Prior thereto, he served as executive vice president and chief marketing officer of Reebok International Ltd. and as chief executive officer and president of The Rockport Company, a subsidiary of Reebok International Ltd. He currently serves on the board of directors and is a member of the audit committee of Korn Ferry (NYSE: KFY) and served on the board of directors and as a member of the compensation committee of Tupperware Brands Corporation (NYSE: TUP) from 1998 to 2020. The Board believes that Mr. Martinez’s 40 years of experience in the retail footwear industry and his operational and strategic knowledge, including his expertise in capital allocation, navigating and leading industry transitions and business transformation, and human capital management, gained through his experience as a leader and board member of other publicly-traded companies brings valuable insight to the Board and the Company.</w:t>
      </w:r>
    </w:p>
    <w:p>
      <w:pPr>
        <w:spacing w:after="0" w:line="189"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 xml:space="preserve">MARY E. MEIXELSPERGER, 65, </w:t>
      </w:r>
      <w:r>
        <w:rPr>
          <w:rFonts w:ascii="Arial" w:cs="Arial" w:eastAsia="Arial" w:hAnsi="Arial"/>
          <w:sz w:val="18"/>
          <w:szCs w:val="18"/>
          <w:i w:val="1"/>
          <w:iCs w:val="1"/>
          <w:color w:val="auto"/>
        </w:rPr>
        <w:t>Retired Chief Financial Officer, Valvoline Inc.</w:t>
      </w:r>
      <w:r>
        <w:rPr>
          <w:rFonts w:ascii="Arial" w:cs="Arial" w:eastAsia="Arial" w:hAnsi="Arial"/>
          <w:sz w:val="18"/>
          <w:szCs w:val="18"/>
          <w:color w:val="auto"/>
        </w:rPr>
        <w:t xml:space="preserve"> Mary E. Meixelsperger was chief financial officer of Valvoline Inc. (NYSE: VVV) and served in that role from 2016 to 2025. Valvoline is a leading provider of automotive preventative maintenance services in its more than 1,900 retail stores throughout the United States and Canada. Prior to joining Valvoline Inc., Ms. Meixelsperger was senior vice president and chief financial officer of DSW Inc. (NYSE: DSW), now operating as Designer Brands Inc. (NYSE: DBI), one of North America's largest designers, producers and retailers of footwear and accessories, from April 2014 to June 2016, and held the roles of chief financial officer, controller and treasurer at Shopko Stores from 2006 to 2014. Ms. Meixelsperger also serves as a director of a wholly-owned subsidiary of Valvoline Inc. and served as a director of Valvoline Cummins Private Ltd., a joint venture between Valvoline Inc. and Cummins India from 2017 to 2020. She also served as Immediate Past Chairperson of the United Way of the Bluegrass until June 2025. Ms. Meixelsperger has over thirty years of experience in various aspects of finance, accounting, risk management, business development, strategic planning, and information technology, and has served in senior leadership roles at several companies, including shoe retailer, DSW, and automotive services company, Valvoline. The Board believes that Ms. Meixelsperger's decades of experience as a chief financial officer, her expertise and knowledge of accounting, auditing, and internal control over financial reporting by publicly-traded companies, and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experience with omni-channel strategy and the specialty footwear retail industry will be valuable to the Board and to the Company.</w:t>
      </w:r>
    </w:p>
    <w:p>
      <w:pPr>
        <w:spacing w:after="0" w:line="212" w:lineRule="exact"/>
        <w:rPr>
          <w:sz w:val="20"/>
          <w:szCs w:val="20"/>
          <w:color w:val="auto"/>
        </w:rPr>
      </w:pPr>
    </w:p>
    <w:p>
      <w:pPr>
        <w:ind w:firstLine="374"/>
        <w:spacing w:after="0" w:line="237" w:lineRule="auto"/>
        <w:rPr>
          <w:sz w:val="20"/>
          <w:szCs w:val="20"/>
          <w:color w:val="auto"/>
        </w:rPr>
      </w:pPr>
      <w:r>
        <w:rPr>
          <w:rFonts w:ascii="Arial" w:cs="Arial" w:eastAsia="Arial" w:hAnsi="Arial"/>
          <w:sz w:val="18"/>
          <w:szCs w:val="18"/>
          <w:color w:val="auto"/>
        </w:rPr>
        <w:t xml:space="preserve">GREGORY A. SANDFORT, 70, </w:t>
      </w:r>
      <w:r>
        <w:rPr>
          <w:rFonts w:ascii="Arial" w:cs="Arial" w:eastAsia="Arial" w:hAnsi="Arial"/>
          <w:sz w:val="18"/>
          <w:szCs w:val="18"/>
          <w:i w:val="1"/>
          <w:iCs w:val="1"/>
          <w:color w:val="auto"/>
        </w:rPr>
        <w:t>Lead Independent Director; Former Chief Executive Officer and Director, Tractor Supply Company.</w:t>
      </w:r>
      <w:r>
        <w:rPr>
          <w:rFonts w:ascii="Arial" w:cs="Arial" w:eastAsia="Arial" w:hAnsi="Arial"/>
          <w:sz w:val="18"/>
          <w:szCs w:val="18"/>
          <w:color w:val="auto"/>
        </w:rPr>
        <w:t xml:space="preserve"> Gregory A. Sandfort served as chief executive officer of Tractor Supply Company (Nasdaq: TSCO) (“Tractor Supply”) from May 2016 to January 2020 and as a member of the board of directors of Tractor Supply from February 2013 to May 2020. Following his retirement, he served as strategic advisor and consultant to Tractor Supply from January to August 2020. Mr. Sandfort served as president and chief executive officer of Tractor Supply from December 2012 to May 2016 and as president and chief operating officer of Tractor Supply from February 2012. Mr. Sandfort also previously served in the roles of president and chief merchandising officer and executive vice president – chief merchandising officer of Tractor Supply. Mr. Sandfort served as president and chief operating officer at Michaels Stores, Inc. from March 2006 to August 2007 and as executive vice president – general merchandise manager at Michaels Stores, Inc. from January 2004 to February 2006. Mr. Sandfort has also served as a director of WD-40 Company (Nasdaq: WDFC) since 2011 and as Chair of the Board of WD-40 Company since October 2020. He was also formerly a director of Kirkland’s, Inc. (Nasdaq: KIRK). With over 40 years of experience in the retail industry, Mr. Sandfort brings a wealth of knowledge regarding all facets of Genesco’s industry and retail, including merchandising, marketing, brand management, operations, strategic planning, human resource management and logistics. The Board considers his broad-based experience in the retail industry, his expertise in capital allocation and his understanding of customer dynamics and shifting consumer preferences and ability to leverage such understanding to successfully lead business transformations to be valuable to the Board and to the Company.</w:t>
      </w:r>
    </w:p>
    <w:p>
      <w:pPr>
        <w:spacing w:after="0" w:line="188"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MIMI E. VAUGHN</w:t>
      </w:r>
      <w:r>
        <w:rPr>
          <w:rFonts w:ascii="Arial" w:cs="Arial" w:eastAsia="Arial" w:hAnsi="Arial"/>
          <w:sz w:val="18"/>
          <w:szCs w:val="18"/>
          <w:b w:val="1"/>
          <w:bCs w:val="1"/>
          <w:color w:val="auto"/>
        </w:rPr>
        <w:t>,</w:t>
      </w:r>
      <w:r>
        <w:rPr>
          <w:rFonts w:ascii="Arial" w:cs="Arial" w:eastAsia="Arial" w:hAnsi="Arial"/>
          <w:sz w:val="18"/>
          <w:szCs w:val="18"/>
          <w:color w:val="auto"/>
        </w:rPr>
        <w:t xml:space="preserve"> 60, </w:t>
      </w:r>
      <w:r>
        <w:rPr>
          <w:rFonts w:ascii="Arial" w:cs="Arial" w:eastAsia="Arial" w:hAnsi="Arial"/>
          <w:sz w:val="18"/>
          <w:szCs w:val="18"/>
          <w:i w:val="1"/>
          <w:iCs w:val="1"/>
          <w:color w:val="auto"/>
        </w:rPr>
        <w:t>Board Chair, President, Chief Executive Officer and Interim Chief Financial Officer</w:t>
      </w:r>
      <w:r>
        <w:rPr>
          <w:rFonts w:ascii="Arial" w:cs="Arial" w:eastAsia="Arial" w:hAnsi="Arial"/>
          <w:sz w:val="18"/>
          <w:szCs w:val="18"/>
          <w:color w:val="auto"/>
        </w:rPr>
        <w:t>. Ms. Vaughn joined the Company in September 2003 as vice president of strategy and business development. She was named senior vice president, strategy and business development in October 2006, senior vice president of strategy and shared services in April 2009 and senior vice president – finance and chief financial officer in February 2015. In May 2019, Ms. Vaughn was named senior vice president and chief operating officer and continued to serve as senior vice president-finance and chief financial officer until her successor was appointed in June 2019. In October 2019, Ms. Vaughn was appointed to become president and chief executive officer of the Company on February 2, 2020 and was appointed as a director effective October 30, 2019. As of March 6, 2026, Ms. Vaughn became the Company's interim chief financial officer until the Company names a successor. Ms. Vaughn has also served as a director of Five Below, Inc. (Nasdaq: FIVE) since September 2023. Prior to joining the Company, Ms. Vaughn was executive vice president of business development and marketing, and acting chief financial officer from 2000 to 2001, for Link2Gov Corporation in Nashville. From 1993 to 1999, she was a consultant at McKinsey &amp; Company in Atlanta. Ms. Vaughn brings to the Board proven and critical experience and leadership developed by serving in multiple positions with the Company for more than 20 years. With her background in strategy and corporate finance, and her experience in the retail industry, the Board believes Ms. Vaughn is the appropriate person to lead the Company in executing its footwear first strategy.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Board Composition</w:t>
      </w:r>
    </w:p>
    <w:p>
      <w:pPr>
        <w:spacing w:after="0" w:line="212"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The following matrix provides information regarding the members of our Board nominated for election at the Annual Meeting, including demographic information for, and certain qualifications and experience possessed by, the members of our Board, which our Board believes are relevant to our business and industry and provide a range of viewpoints that are invaluable for our Board’s discussions and decision-making processes. The matrix does not encompass all of the qualifications, experiences or attributes of the members of our Board, and the fact that a particular qualification, experience or attribute is not listed does not mean that a director does not possess it. In addition, the absence of a particular qualification, experience or attribute with respect to any of the members of our Board does not mean the director in question is unable to contribute to the decision-making process in that area. The type and degree of qualification and experience listed below may vary among the members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Qualifications and Experience</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Barsh</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Bilunas</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Bojanwoski</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Lambros</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Marshall</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Martinez</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Meixelsperger</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Sandfort</w:t>
            </w:r>
          </w:p>
        </w:tc>
        <w:tc>
          <w:tcPr>
            <w:tcW w:w="12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Vaughn</w:t>
            </w:r>
          </w:p>
        </w:tc>
      </w:tr>
      <w:tr>
        <w:trPr>
          <w:trHeight w:val="146"/>
        </w:trPr>
        <w:tc>
          <w:tcPr>
            <w:tcW w:w="3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Public Company Leadership (CEO or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71"/>
        </w:trPr>
        <w:tc>
          <w:tcPr>
            <w:tcW w:w="3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Board Experience)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r>
      <w:tr>
        <w:trPr>
          <w:trHeight w:val="153"/>
        </w:trPr>
        <w:tc>
          <w:tcPr>
            <w:tcW w:w="3260" w:type="dxa"/>
            <w:vAlign w:val="bottom"/>
          </w:tcPr>
          <w:p>
            <w:pPr>
              <w:spacing w:after="0" w:line="153" w:lineRule="exact"/>
              <w:rPr>
                <w:sz w:val="20"/>
                <w:szCs w:val="20"/>
                <w:color w:val="auto"/>
              </w:rPr>
            </w:pPr>
            <w:r>
              <w:rPr>
                <w:rFonts w:ascii="Arial" w:cs="Arial" w:eastAsia="Arial" w:hAnsi="Arial"/>
                <w:sz w:val="14"/>
                <w:szCs w:val="14"/>
                <w:color w:val="auto"/>
              </w:rPr>
              <w:t>Senior Leadership Experience (C-Suite</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1"/>
        </w:trPr>
        <w:tc>
          <w:tcPr>
            <w:tcW w:w="3260" w:type="dxa"/>
            <w:vAlign w:val="bottom"/>
          </w:tcPr>
          <w:p>
            <w:pPr>
              <w:ind w:left="120"/>
              <w:spacing w:after="0"/>
              <w:rPr>
                <w:sz w:val="20"/>
                <w:szCs w:val="20"/>
                <w:color w:val="auto"/>
              </w:rPr>
            </w:pPr>
            <w:r>
              <w:rPr>
                <w:rFonts w:ascii="Arial" w:cs="Arial" w:eastAsia="Arial" w:hAnsi="Arial"/>
                <w:sz w:val="14"/>
                <w:szCs w:val="14"/>
                <w:color w:val="auto"/>
              </w:rPr>
              <w:t>Executive or Equivalent)</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Operations Management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Retail or Consumer Facing Industries</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eCommerce or Digital Experience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r>
      <w:tr>
        <w:trPr>
          <w:trHeight w:val="153"/>
        </w:trPr>
        <w:tc>
          <w:tcPr>
            <w:tcW w:w="3260" w:type="dxa"/>
            <w:vAlign w:val="bottom"/>
          </w:tcPr>
          <w:p>
            <w:pPr>
              <w:spacing w:after="0" w:line="153" w:lineRule="exact"/>
              <w:rPr>
                <w:sz w:val="20"/>
                <w:szCs w:val="20"/>
                <w:color w:val="auto"/>
              </w:rPr>
            </w:pPr>
            <w:r>
              <w:rPr>
                <w:rFonts w:ascii="Arial" w:cs="Arial" w:eastAsia="Arial" w:hAnsi="Arial"/>
                <w:sz w:val="14"/>
                <w:szCs w:val="14"/>
                <w:color w:val="auto"/>
              </w:rPr>
              <w:t>Financial, Transactional, Accounting or</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1"/>
        </w:trPr>
        <w:tc>
          <w:tcPr>
            <w:tcW w:w="3260" w:type="dxa"/>
            <w:vAlign w:val="bottom"/>
          </w:tcPr>
          <w:p>
            <w:pPr>
              <w:ind w:left="120"/>
              <w:spacing w:after="0"/>
              <w:rPr>
                <w:sz w:val="20"/>
                <w:szCs w:val="20"/>
                <w:color w:val="auto"/>
              </w:rPr>
            </w:pPr>
            <w:r>
              <w:rPr>
                <w:rFonts w:ascii="Arial" w:cs="Arial" w:eastAsia="Arial" w:hAnsi="Arial"/>
                <w:sz w:val="14"/>
                <w:szCs w:val="14"/>
                <w:color w:val="auto"/>
              </w:rPr>
              <w:t>Regulatory Compliance</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Information Security Experience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3260" w:type="dxa"/>
            <w:vAlign w:val="bottom"/>
          </w:tcPr>
          <w:p>
            <w:pPr>
              <w:spacing w:after="0"/>
              <w:rPr>
                <w:sz w:val="20"/>
                <w:szCs w:val="20"/>
                <w:color w:val="auto"/>
              </w:rPr>
            </w:pPr>
            <w:r>
              <w:rPr>
                <w:rFonts w:ascii="Arial" w:cs="Arial" w:eastAsia="Arial" w:hAnsi="Arial"/>
                <w:sz w:val="14"/>
                <w:szCs w:val="14"/>
                <w:b w:val="1"/>
                <w:bCs w:val="1"/>
                <w:color w:val="auto"/>
              </w:rPr>
              <w:t>Demographics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Gender Diverse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Racially/Ethnically Diverse</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Years of Service</w:t>
            </w:r>
          </w:p>
        </w:tc>
        <w:tc>
          <w:tcPr>
            <w:tcW w:w="8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13</w:t>
            </w:r>
          </w:p>
        </w:tc>
        <w:tc>
          <w:tcPr>
            <w:tcW w:w="82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4</w:t>
            </w:r>
          </w:p>
        </w:tc>
        <w:tc>
          <w:tcPr>
            <w:tcW w:w="10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w:t>
            </w:r>
          </w:p>
        </w:tc>
        <w:tc>
          <w:tcPr>
            <w:tcW w:w="8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5</w:t>
            </w:r>
          </w:p>
        </w:tc>
        <w:tc>
          <w:tcPr>
            <w:tcW w:w="82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14</w:t>
            </w:r>
          </w:p>
        </w:tc>
        <w:tc>
          <w:tcPr>
            <w:tcW w:w="8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w:t>
            </w: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w:t>
            </w:r>
          </w:p>
        </w:tc>
        <w:tc>
          <w:tcPr>
            <w:tcW w:w="8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w:t>
            </w:r>
          </w:p>
        </w:tc>
        <w:tc>
          <w:tcPr>
            <w:tcW w:w="88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6</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Board Refreshment</w:t>
      </w:r>
    </w:p>
    <w:p>
      <w:pPr>
        <w:spacing w:after="0" w:line="212" w:lineRule="exact"/>
        <w:rPr>
          <w:sz w:val="20"/>
          <w:szCs w:val="20"/>
          <w:color w:val="auto"/>
        </w:rPr>
      </w:pPr>
    </w:p>
    <w:p>
      <w:pPr>
        <w:ind w:right="180" w:firstLine="382"/>
        <w:spacing w:after="0" w:line="242" w:lineRule="auto"/>
        <w:rPr>
          <w:sz w:val="20"/>
          <w:szCs w:val="20"/>
          <w:color w:val="auto"/>
        </w:rPr>
      </w:pPr>
      <w:r>
        <w:rPr>
          <w:rFonts w:ascii="Arial" w:cs="Arial" w:eastAsia="Arial" w:hAnsi="Arial"/>
          <w:sz w:val="18"/>
          <w:szCs w:val="18"/>
          <w:color w:val="auto"/>
        </w:rPr>
        <w:t>The Board believes that its members, as a group, should possess skills and qualifications that best enable it to formulate and oversee the implementation of the Company’s footwear first strategy, including diversity in professional and personal experience, background and other factors of diversity that promote fresh perspectives and new ideas. The retail industry has rapidly evolved over the last decade with significant growth in omni-channel and e-commerce operations, and as a result, the appropriate skill set for our leadership has evolved with it. The Board has therefore also evolved over the years to best serve the short- and long-term needs of the Company and its shareholders, with an increased focus on leadership with branded, digital and technological expertise.</w:t>
      </w:r>
    </w:p>
    <w:p>
      <w:pPr>
        <w:spacing w:after="0" w:line="179" w:lineRule="exact"/>
        <w:rPr>
          <w:sz w:val="20"/>
          <w:szCs w:val="20"/>
          <w:color w:val="auto"/>
        </w:rPr>
      </w:pPr>
    </w:p>
    <w:p>
      <w:pPr>
        <w:ind w:right="340" w:firstLine="374"/>
        <w:spacing w:after="0"/>
        <w:rPr>
          <w:sz w:val="20"/>
          <w:szCs w:val="20"/>
          <w:color w:val="auto"/>
        </w:rPr>
      </w:pPr>
      <w:r>
        <w:rPr>
          <w:rFonts w:ascii="Arial" w:cs="Arial" w:eastAsia="Arial" w:hAnsi="Arial"/>
          <w:sz w:val="18"/>
          <w:szCs w:val="18"/>
          <w:color w:val="auto"/>
        </w:rPr>
        <w:t>In order to address evolving needs, our Board has an ongoing refreshment program, actively assessing itself against the Company’s current and expected future needs and seeking the advice of outside experts and its shareholders. The Board has been substantially refreshed since 2019, with seven of our nine directors being newly appointed or elected to the Board during that period. During the same period, a new board chair, a new lead independent director and three new committee chairs have been appointed. The Board and its nominating and governance committee have welcomed, sought and considered, and will continue to welcome, seek and consider as necessary, potential director nominations from multiple and diverse sources and stakeholders, including shareholders, external advisors, independent directors, non-independent directors, industry participants, officers and employees, consultants and search firms.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12" w:lineRule="exact"/>
        <w:rPr>
          <w:sz w:val="20"/>
          <w:szCs w:val="20"/>
          <w:color w:val="auto"/>
        </w:rPr>
      </w:pPr>
    </w:p>
    <w:p>
      <w:pPr>
        <w:ind w:right="300" w:firstLine="382"/>
        <w:spacing w:after="0" w:line="247" w:lineRule="auto"/>
        <w:rPr>
          <w:sz w:val="20"/>
          <w:szCs w:val="20"/>
          <w:color w:val="auto"/>
        </w:rPr>
      </w:pPr>
      <w:r>
        <w:rPr>
          <w:rFonts w:ascii="Arial" w:cs="Arial" w:eastAsia="Arial" w:hAnsi="Arial"/>
          <w:sz w:val="18"/>
          <w:szCs w:val="18"/>
          <w:color w:val="auto"/>
        </w:rPr>
        <w:t>The Board has determined that Ms. Barsh, Mr. Bilunas, Ms. Bojanowski, Mr. Lambros, Mr. Marshall, Mr. Martinez, Ms. Meixelsperger and Mr. Sandfort are each independent under applicable SEC and NYSE rules. No arrangement or understanding exists between any director or executive officer of the Company and any other person pursuant to which any of them were selected as a director or executive officer.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212" w:lineRule="exact"/>
        <w:rPr>
          <w:sz w:val="20"/>
          <w:szCs w:val="20"/>
          <w:color w:val="auto"/>
        </w:rPr>
      </w:pPr>
    </w:p>
    <w:p>
      <w:pPr>
        <w:ind w:right="40" w:firstLine="382"/>
        <w:spacing w:after="0" w:line="242" w:lineRule="auto"/>
        <w:rPr>
          <w:sz w:val="20"/>
          <w:szCs w:val="20"/>
          <w:color w:val="auto"/>
        </w:rPr>
      </w:pPr>
      <w:r>
        <w:rPr>
          <w:rFonts w:ascii="Arial" w:cs="Arial" w:eastAsia="Arial" w:hAnsi="Arial"/>
          <w:sz w:val="18"/>
          <w:szCs w:val="18"/>
          <w:color w:val="auto"/>
        </w:rPr>
        <w:t>The Company has adopted a director resignation policy which provides that each director shall submit a conditional offer of resignation effective if, in an uncontested election, a director fails to receive the vote of a majority of shares voting in the election of directors. Should that occur, the nominating and governance committee will consider the resignation and will recommend to the Board whether to accept or reject the tendered resignation. In considering whether to accept or reject the tendered resignation, the nominating and governance committee will consider factors deemed relevant by the members of the nominating and governance committee including, without limitation, the stated reasons why shareholders voted “against” the director, the length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service and qualifications of the director whose resignation has been tendered, the director’s contributions to the Company and the Board and/or its committees during prior service, the director’s compliance with the Company's Corporate Governance Guidelines (the "Corporate Governance Guidelines"), the need for the presence of directors with a broad range of experiences and backgrounds on the Board and the Company’s compliance with applicable laws, regulation and the listing standards of the NYSE. Following the Board’s decision on the acceptance or rejection of the nominating and governance committee’s recommendation, the Company will promptly and publicly disclose the Board’s decision whether to accept the resignation as tendered (providing an explanation of the process by which the decision was reached and, if applicable, the reasons for rejecting the tendered resignation) in a Current Report on Form 8-K filed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12" w:lineRule="exact"/>
        <w:rPr>
          <w:sz w:val="20"/>
          <w:szCs w:val="20"/>
          <w:color w:val="auto"/>
        </w:rPr>
      </w:pPr>
    </w:p>
    <w:p>
      <w:pPr>
        <w:jc w:val="both"/>
        <w:ind w:right="20" w:firstLine="382"/>
        <w:spacing w:after="0" w:line="253" w:lineRule="auto"/>
        <w:rPr>
          <w:sz w:val="20"/>
          <w:szCs w:val="20"/>
          <w:color w:val="auto"/>
        </w:rPr>
      </w:pPr>
      <w:r>
        <w:rPr>
          <w:rFonts w:ascii="Arial" w:cs="Arial" w:eastAsia="Arial" w:hAnsi="Arial"/>
          <w:sz w:val="18"/>
          <w:szCs w:val="18"/>
          <w:color w:val="auto"/>
        </w:rPr>
        <w:t>The Company is not aware of any related-party transactions since the beginning of the last fiscal year between the Company and any of its directors, executive officers, 5% shareholders or their family members that are required to be disclosed under Item 404 of Regulation S-K (“Item 404”) under the Securities Exchange Act of 1934, as amended (the “Exchange Act”).</w:t>
      </w:r>
    </w:p>
    <w:p>
      <w:pPr>
        <w:spacing w:after="0" w:line="169" w:lineRule="exact"/>
        <w:rPr>
          <w:sz w:val="20"/>
          <w:szCs w:val="20"/>
          <w:color w:val="auto"/>
        </w:rPr>
      </w:pPr>
    </w:p>
    <w:p>
      <w:pPr>
        <w:ind w:right="160" w:firstLine="382"/>
        <w:spacing w:after="0" w:line="271" w:lineRule="auto"/>
        <w:rPr>
          <w:sz w:val="20"/>
          <w:szCs w:val="20"/>
          <w:color w:val="auto"/>
        </w:rPr>
      </w:pPr>
      <w:r>
        <w:rPr>
          <w:rFonts w:ascii="Arial" w:cs="Arial" w:eastAsia="Arial" w:hAnsi="Arial"/>
          <w:sz w:val="18"/>
          <w:szCs w:val="18"/>
          <w:color w:val="auto"/>
        </w:rPr>
        <w:t>Each year, the Company requires its directors and executive officers to complete a comprehensive questionnaire, one of the purposes of which is to disclose any related-party transactions with the Company, including any potential Item 404 transactions.</w:t>
      </w:r>
    </w:p>
    <w:p>
      <w:pPr>
        <w:spacing w:after="0" w:line="154"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The Board has adopted a written policy which provides that any transaction between the Company and any of its directors, nominees for director, executive officers, or significant shareholders or affiliates thereof, must be in the best interest of the Company and must be approved and ratified by the audit committee or, in certain circumstances, the Board. Any member of the audit committee or the Board, if necessary, will recuse himself or herself and abstain from voting on the approval or ratification of the related party transaction. The Company does not have a history of engaging in related party transactions with its directors or executive officers or their respective related persons or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212" w:lineRule="exact"/>
        <w:rPr>
          <w:sz w:val="20"/>
          <w:szCs w:val="20"/>
          <w:color w:val="auto"/>
        </w:rPr>
      </w:pPr>
    </w:p>
    <w:p>
      <w:pPr>
        <w:ind w:right="40" w:firstLine="382"/>
        <w:spacing w:after="0" w:line="239" w:lineRule="auto"/>
        <w:rPr>
          <w:sz w:val="20"/>
          <w:szCs w:val="20"/>
          <w:color w:val="auto"/>
        </w:rPr>
      </w:pPr>
      <w:r>
        <w:rPr>
          <w:rFonts w:ascii="Arial" w:cs="Arial" w:eastAsia="Arial" w:hAnsi="Arial"/>
          <w:sz w:val="18"/>
          <w:szCs w:val="18"/>
          <w:color w:val="auto"/>
        </w:rPr>
        <w:t>The Board met seven times during Fiscal 2026. Additionally, the chief executive officer and lead independent director communicate with members of the Board periodically throughout the year via telephone and email. The chief executive officer also provides a written monthly business update on the Company to the Board. No director was present at fewer than 75% of the total number of meetings of the Board and the committees of the Board on which he or she served during Fiscal 2026. The Board has standing audit, nominating and governance and compensation committees. All committees are composed entirely of independent directors. A copy of the written charter for each committee is available on the Investor Relations section of the Company’s website, www.genesco.com. Each committee’s charter has been adopted by the Board and provides the functions and responsibilities of each committee. It is the policy of the Board that no current or former employee of the Company will serve on the audit, nominating and governance or compensation committee. A description of each Board committee and its membership follows.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Members: </w:t>
      </w:r>
      <w:r>
        <w:rPr>
          <w:rFonts w:ascii="Arial" w:cs="Arial" w:eastAsia="Arial" w:hAnsi="Arial"/>
          <w:sz w:val="18"/>
          <w:szCs w:val="18"/>
          <w:color w:val="auto"/>
        </w:rPr>
        <w:t>Mary E. Meixelsperger (chairperson), Matthew M. Bilunas and Gregory A. Sandfort</w:t>
      </w:r>
    </w:p>
    <w:p>
      <w:pPr>
        <w:spacing w:after="0" w:line="185" w:lineRule="exact"/>
        <w:rPr>
          <w:sz w:val="20"/>
          <w:szCs w:val="20"/>
          <w:color w:val="auto"/>
        </w:rPr>
      </w:pPr>
    </w:p>
    <w:p>
      <w:pPr>
        <w:ind w:right="40" w:firstLine="382"/>
        <w:spacing w:after="0" w:line="244" w:lineRule="auto"/>
        <w:rPr>
          <w:sz w:val="20"/>
          <w:szCs w:val="20"/>
          <w:color w:val="auto"/>
        </w:rPr>
      </w:pPr>
      <w:r>
        <w:rPr>
          <w:rFonts w:ascii="Arial" w:cs="Arial" w:eastAsia="Arial" w:hAnsi="Arial"/>
          <w:sz w:val="18"/>
          <w:szCs w:val="18"/>
          <w:color w:val="auto"/>
        </w:rPr>
        <w:t>The Company has a separately designated standing audit committee established in accordance with Section 3(a)(58)(A) of the Exchange Act. The audit committee is currently composed of three independent directors (as defined under the applicable rules of the NYSE and SEC) and operates under a written charter adopted by the Board. The audit committee assists the Board in monitoring (i) the integrity of the Company’s financial statements, (ii) the effectiveness of the Company’s internal controls over financial reporting, (iii) the effectiveness of the Company’s systems of internal accounting and financial controls, (iv) the Company’s compliance with legal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regulatory requirements and its ethics programs as established by management and the Board, (v) the qualifications and independence of the Company’s registered public accounting firm, (vi) the performance of the Company’s internal audit function and independent registered public accountants and (vii) the Company’s policies with respect to risk assessment and risk management, including the risk of fraud, technology and information security, including cybersecurity and data privacy. The audit committee met 15 times in Fiscal 2026. The Board has determined that Ms. Meixelsperger and Messrs. Bilunas and Sandfort each qualify as an “audit committee financial expert,” as defined in Item 407(d) of Regulation S-K under the Exchange Act, and is “independent,” as defined by the NYSE rules and Rule 10A-3 under the Exchange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Members: </w:t>
      </w:r>
      <w:r>
        <w:rPr>
          <w:rFonts w:ascii="Arial" w:cs="Arial" w:eastAsia="Arial" w:hAnsi="Arial"/>
          <w:sz w:val="18"/>
          <w:szCs w:val="18"/>
          <w:color w:val="auto"/>
        </w:rPr>
        <w:t>Joanna Barsh (chairperson), Carolyn Bojanowski, Thurgood Marshall, Jr. and Angel R. Martinez</w:t>
      </w:r>
    </w:p>
    <w:p>
      <w:pPr>
        <w:spacing w:after="0" w:line="171" w:lineRule="exact"/>
        <w:rPr>
          <w:sz w:val="20"/>
          <w:szCs w:val="20"/>
          <w:color w:val="auto"/>
        </w:rPr>
      </w:pPr>
    </w:p>
    <w:p>
      <w:pPr>
        <w:ind w:right="60" w:firstLine="382"/>
        <w:spacing w:after="0" w:line="239" w:lineRule="auto"/>
        <w:rPr>
          <w:sz w:val="20"/>
          <w:szCs w:val="20"/>
          <w:color w:val="auto"/>
        </w:rPr>
      </w:pPr>
      <w:r>
        <w:rPr>
          <w:rFonts w:ascii="Arial" w:cs="Arial" w:eastAsia="Arial" w:hAnsi="Arial"/>
          <w:sz w:val="18"/>
          <w:szCs w:val="18"/>
          <w:color w:val="auto"/>
        </w:rPr>
        <w:t>The nominating and governance committee is currently composed of four directors who are independent under applicable NYSE rules. The functions of the nominating and governance committee include (i) identifying candidates qualified to serve on the Board, (ii) developing and reviewing governance policies and principles for the Company, (iii) overseeing the evaluation of the performance of the Board and management, and (iv) making recommendations to the Board with respect to (a) the size of the Board, (b) candidates for election to the Board, (c) the designation of committees of the Board, their functions and members, (d) the succession of the executive officers of the Company, (e) Board policies and procedures and other matters of corporate governance, (f) the qualifications of incumbent directors as nominees for re-election, and (f) oversight of the Company’s corporate responsibility strategy. The nominating and governance committee, in recognition of the importance of corporate responsibility matters, has established a subcommittee focused on such matters. Further information on the nominating and governance committee is set forth under the caption “Corporate Governance” below. The nominating and governance committee met four times in Fiscal 2026.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Members: </w:t>
      </w:r>
      <w:r>
        <w:rPr>
          <w:rFonts w:ascii="Arial" w:cs="Arial" w:eastAsia="Arial" w:hAnsi="Arial"/>
          <w:sz w:val="18"/>
          <w:szCs w:val="18"/>
          <w:color w:val="auto"/>
        </w:rPr>
        <w:t>John F. Lambros (chairperson), Joanna Barsh and Gregory A. Sandfort</w:t>
      </w:r>
    </w:p>
    <w:p>
      <w:pPr>
        <w:spacing w:after="0" w:line="171" w:lineRule="exact"/>
        <w:rPr>
          <w:sz w:val="20"/>
          <w:szCs w:val="20"/>
          <w:color w:val="auto"/>
        </w:rPr>
      </w:pPr>
    </w:p>
    <w:p>
      <w:pPr>
        <w:ind w:firstLine="374"/>
        <w:spacing w:after="0" w:line="237" w:lineRule="auto"/>
        <w:rPr>
          <w:sz w:val="20"/>
          <w:szCs w:val="20"/>
          <w:color w:val="auto"/>
        </w:rPr>
      </w:pPr>
      <w:r>
        <w:rPr>
          <w:rFonts w:ascii="Arial" w:cs="Arial" w:eastAsia="Arial" w:hAnsi="Arial"/>
          <w:sz w:val="18"/>
          <w:szCs w:val="18"/>
          <w:color w:val="auto"/>
        </w:rPr>
        <w:t>The compensation committee is currently composed of three directors who are independent under applicable NYSE rules. The functions of the compensation committee include (i) reviewing and determining the compensation and incentive arrangements of certain officers of the Company and other management employees reporting directly to the chief executive officer, (ii) making recommendations to the Board with respect to the compensation of directors, (iii) reviewing and providing assistance and recommendations to the Board with respect to (a) management incentive compensation plans and (b) the establishment, modification or amendment of any employee benefit plan (as that term is defined in the Employee Retirement Income Security Act of 1974, as amended) to the extent that action taken by the Board is required, (iv) serving as the primary means of communication between the administrator of the Company’s employee benefit plans and the Board, (v) administering the Genesco Inc. Third Amended and Restated 2020 Equity Incentive Plan (together with any prior iterations of the Company’s 2020 Equity Incentive Plan, the “Amended and Restated 2020 Equity Incentive Plan”), (vi) overseeing and monitoring the Company’s compensation recoupment policies and procedures and (vii) reviewing and making recommendations to the Board with respect to the Compensation Discussion and Analysis and the compensation committee report required by SEC regulations for inclusion in the Company’s proxy statement. In fulfilling its responsibilities, the compensation committee may delegate any or all of its responsibilities to a subcommittee of the compensation committee, consisting of one or more independent members of the compensation committee. The compensation committee met 11 times in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212" w:lineRule="exact"/>
        <w:rPr>
          <w:sz w:val="20"/>
          <w:szCs w:val="20"/>
          <w:color w:val="auto"/>
        </w:rPr>
      </w:pPr>
    </w:p>
    <w:p>
      <w:pPr>
        <w:ind w:right="100" w:firstLine="382"/>
        <w:spacing w:after="0" w:line="253" w:lineRule="auto"/>
        <w:rPr>
          <w:sz w:val="20"/>
          <w:szCs w:val="20"/>
          <w:color w:val="auto"/>
        </w:rPr>
      </w:pPr>
      <w:r>
        <w:rPr>
          <w:rFonts w:ascii="Arial" w:cs="Arial" w:eastAsia="Arial" w:hAnsi="Arial"/>
          <w:sz w:val="18"/>
          <w:szCs w:val="18"/>
          <w:color w:val="auto"/>
        </w:rPr>
        <w:t>The members of the nominating and governance committee satisfy the independence requirements of the NYSE. In addition, the Board has adopted a policy pursuant to which no former employee of the Company will be eligible to serve as a member of the nominating and governance committee.</w:t>
      </w:r>
    </w:p>
    <w:p>
      <w:pPr>
        <w:spacing w:after="0" w:line="169" w:lineRule="exact"/>
        <w:rPr>
          <w:sz w:val="20"/>
          <w:szCs w:val="20"/>
          <w:color w:val="auto"/>
        </w:rPr>
      </w:pPr>
    </w:p>
    <w:p>
      <w:pPr>
        <w:ind w:firstLine="382"/>
        <w:spacing w:after="0" w:line="236" w:lineRule="auto"/>
        <w:rPr>
          <w:sz w:val="20"/>
          <w:szCs w:val="20"/>
          <w:color w:val="auto"/>
        </w:rPr>
      </w:pPr>
      <w:r>
        <w:rPr>
          <w:rFonts w:ascii="Arial" w:cs="Arial" w:eastAsia="Arial" w:hAnsi="Arial"/>
          <w:sz w:val="18"/>
          <w:szCs w:val="18"/>
          <w:color w:val="auto"/>
        </w:rPr>
        <w:t>The nominating and governance committee and the Board will consider nominees for the Board recommended by shareholders if shareholders comply with the Company’s advance notice requirements. The Company’s Bylaws provide that a shareholder who wishes to nominate a person for election as a director at an annual meeting of shareholders must deliver written notice complying with the requirements set forth in the Bylaws to the Secretary of the Company. To be eligible to submit the required notice, the shareholder must be a shareholder of record both on the date the notice is submitted and at the record date for the annual meeting and entitled to receive notice of and to vote at the annual meeting. This notice must contain, as to each nominee, certain specified information, including the nominee’s name, age, business and residence addresses, his or her principal occupation or employment, a description of all direct or indirect compensation or other material agreements, arrangements, understandings and relationships during the past three years between or among the nominee, the shareholder making the nomination, any other shareholders proposing it, and affiliates or associates of such shareholders, as such terms are defined in Rule 12b-2 under the Exchange Act, and any other information relating to such person that would be required to be disclosed in a proxy statement meeting the requirements of Regulation 14A under the Exchange Act if such person had been nominated by the Board. It must also include the written consent of such person to being named as a nominee in soliciting material and to serving as a director, if elected, and a fully completed and signed questionnaire, in a form provided by the Company, regarding such person’s background and qualifications to serve as a director. The notice must also include certain information regarding the shareholder making the nomination, any other shareholders proposing it, and affiliates or associates of such shareholders, including names and addresses, the number and class of shares held of record by such shareholders, and information about derivative securities and other economic interests related to any of the Company’s securities held by any of such persons. In the case of an annual meeting to be held on the fourth Thursday in the month of June or within thirty days thereafter, the notice must be delivered not less than sixty nor more than ninety days prior to the fourth Thursday in June. In the case of an annual meeting which is being held on any other date other than the fourth Thursday in the month of June or within thirty days thereafter (or in the case of any special meeting), the notice must be delivered within ten days after the earlier of the date on which notice of the meeting is first mailed to shareholders or the date on which public disclosure is first made of the date of such meeting. There are no differences in the process pursuant to which the nominating and governance committee is to evaluate prospective nominees based on whether the nominee is recommended by a shareholder.</w:t>
      </w:r>
    </w:p>
    <w:p>
      <w:pPr>
        <w:spacing w:after="0" w:line="192" w:lineRule="exact"/>
        <w:rPr>
          <w:sz w:val="20"/>
          <w:szCs w:val="20"/>
          <w:color w:val="auto"/>
        </w:rPr>
      </w:pPr>
    </w:p>
    <w:p>
      <w:pPr>
        <w:ind w:right="40" w:firstLine="382"/>
        <w:spacing w:after="0" w:line="242" w:lineRule="auto"/>
        <w:rPr>
          <w:sz w:val="20"/>
          <w:szCs w:val="20"/>
          <w:color w:val="auto"/>
        </w:rPr>
      </w:pPr>
      <w:r>
        <w:rPr>
          <w:rFonts w:ascii="Arial" w:cs="Arial" w:eastAsia="Arial" w:hAnsi="Arial"/>
          <w:sz w:val="18"/>
          <w:szCs w:val="18"/>
          <w:color w:val="auto"/>
        </w:rPr>
        <w:t>Upon receipt of a recommendation from any source, including shareholders, the nominating and governance committee will take into account whether a Board vacancy exists or is expected or whether expansion of the Board is desirable. In making this determination, the nominating and governance committee may solicit the views of all directors. If the nominating and governance committee determines that the addition of a director is desirable, it will assess whether the candidate presented should be nominated for Board membership. While the nominating and governance committee may consider whatever factors it deems appropriate in its assessment of a candidate for Board membership, candidates nominated to serve as directors will, at a minimum, in the nominating and governance committee’s judgment:</w:t>
      </w:r>
    </w:p>
    <w:p>
      <w:pPr>
        <w:spacing w:after="0" w:line="179" w:lineRule="exact"/>
        <w:rPr>
          <w:sz w:val="20"/>
          <w:szCs w:val="20"/>
          <w:color w:val="auto"/>
        </w:rPr>
      </w:pPr>
    </w:p>
    <w:p>
      <w:pPr>
        <w:ind w:left="760" w:right="26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be able to represent the interests of the Company and all of its shareholders and not be disposed by affiliation or interest to favor any individual, group or class of shareholders or other constituency;</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agree to follow all policies and procedures applicable to the Board, including all provisions set forth in any committee charters;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right="80" w:hanging="378"/>
        <w:spacing w:after="0" w:line="252"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possess the background and demonstrated ability to contribute to the Board’s performance of its collective responsibilities, through senior executive management experience, relevant professional or academic distinction, or a record of relevant civic and community leadership;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be able to devote the time and attention necessary to serve effectively as a director.</w:t>
      </w:r>
    </w:p>
    <w:p>
      <w:pPr>
        <w:spacing w:after="0" w:line="224" w:lineRule="exact"/>
        <w:rPr>
          <w:sz w:val="20"/>
          <w:szCs w:val="20"/>
          <w:color w:val="auto"/>
        </w:rPr>
      </w:pPr>
    </w:p>
    <w:p>
      <w:pPr>
        <w:ind w:right="40" w:firstLine="382"/>
        <w:spacing w:after="0" w:line="239" w:lineRule="auto"/>
        <w:rPr>
          <w:sz w:val="20"/>
          <w:szCs w:val="20"/>
          <w:color w:val="auto"/>
        </w:rPr>
      </w:pPr>
      <w:r>
        <w:rPr>
          <w:rFonts w:ascii="Arial" w:cs="Arial" w:eastAsia="Arial" w:hAnsi="Arial"/>
          <w:sz w:val="18"/>
          <w:szCs w:val="18"/>
          <w:color w:val="auto"/>
        </w:rPr>
        <w:t>The nominating and governance committee may also take into consideration whether a candidate’s background and skills meet any specific needs of the Board that the nominating and governance committee has identified and will take into account diversity in professional and personal experience, skills, background, race, gender and other factors of diversity that it considers appropriate. The nominating and governance committee will preliminarily assess the candidate’s qualifications with input from the chief executive officer. If, based upon its preliminary assessment, the nominating and governance committee believes that a candidate is likely to meet the criteria for Board membership, the chairperson will advise the candidate of the nominating and governance committee’s preliminary interest and, if the candidate expresses sufficient interest to the chairperson, with the assistance of the Corporate Secretary’s office, will arrange interviews of the candidate with a search firm, if appropriate, and with members of the nominating and governance committee and with the chief executive officer, either in person or by telephone. Following interviews of the candidate, the nominating and governance committee will formally consider whether to recommend to the Board that it nominate the candidate for election to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12"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In connection with the appointment of Ms. Vaughn as president and chief executive officer, and following a transitional period during which the retiring chairman and chief executive officer served as executive chairman, Ms. Vaughn was appointed chair of the Board, effective July 1, 2020. Having observed no differences in the functioning of the Board or the performance of the Company that it considers attributable to the separation or conjunction of the two offices of chief executive officer and chair of the Board, and with the appointment of a strong lead independent director in Mr. Sandfort, the Board has retained flexibility in the Corporate Governance Guidelines with respect to the structure of the Board leadership. The Corporate Governance Guidelines provide that the Board will select the chair and the chief executive officer in the manner that it determines to be in the best interests of the Company’s shareholders.</w:t>
      </w:r>
    </w:p>
    <w:p>
      <w:pPr>
        <w:spacing w:after="0" w:line="185" w:lineRule="exact"/>
        <w:rPr>
          <w:sz w:val="20"/>
          <w:szCs w:val="20"/>
          <w:color w:val="auto"/>
        </w:rPr>
      </w:pPr>
    </w:p>
    <w:p>
      <w:pPr>
        <w:ind w:right="60" w:firstLine="382"/>
        <w:spacing w:after="0" w:line="271" w:lineRule="auto"/>
        <w:rPr>
          <w:sz w:val="20"/>
          <w:szCs w:val="20"/>
          <w:color w:val="auto"/>
        </w:rPr>
      </w:pPr>
      <w:r>
        <w:rPr>
          <w:rFonts w:ascii="Arial" w:cs="Arial" w:eastAsia="Arial" w:hAnsi="Arial"/>
          <w:sz w:val="18"/>
          <w:szCs w:val="18"/>
          <w:color w:val="auto"/>
        </w:rPr>
        <w:t>The Corporate Governance Guidelines also provide that if the positions of chair and chief executive officer are held by the same person or if the chair is otherwise employed by the Company, the Board will elect a lead independent director, with the following responsibilities:</w:t>
      </w:r>
    </w:p>
    <w:p>
      <w:pPr>
        <w:spacing w:after="0" w:line="15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 consultation with the chair, approve the annual calendar for all meetings of the Board and standing committees;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the chair with input as to the preparation of the agendas for the Board;</w:t>
      </w:r>
    </w:p>
    <w:p>
      <w:pPr>
        <w:spacing w:after="0" w:line="224" w:lineRule="exact"/>
        <w:rPr>
          <w:rFonts w:ascii="Times New Roman" w:cs="Times New Roman" w:eastAsia="Times New Roman" w:hAnsi="Times New Roman"/>
          <w:sz w:val="18"/>
          <w:szCs w:val="18"/>
          <w:color w:val="auto"/>
        </w:rPr>
      </w:pPr>
    </w:p>
    <w:p>
      <w:pPr>
        <w:ind w:left="760" w:right="22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advise the chair as to the quality, quantity and timeliness of the flow of information from Company management that is necessary for the independent directors to effectively and responsibly perform their duties;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coordinate the development of the agenda for and preside over executive sessions of the Board’s independent directors;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act as principal liaison between the independent directors and the chair on material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right="20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evaluate, along with the independent members of the full Board, the chief executive officer’s performance and meet with the chief executive officer to discuss the evaluation;</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act as a liaison to shareholders who request direct communication with the Board; and</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perform such other roles and responsibilities as may be assigned from time to time by the nominating and governance committee or the full Board.</w:t>
      </w:r>
    </w:p>
    <w:p>
      <w:pPr>
        <w:spacing w:after="0" w:line="154" w:lineRule="exact"/>
        <w:rPr>
          <w:sz w:val="20"/>
          <w:szCs w:val="20"/>
          <w:color w:val="auto"/>
        </w:rPr>
      </w:pPr>
    </w:p>
    <w:p>
      <w:pPr>
        <w:ind w:right="140" w:firstLine="382"/>
        <w:spacing w:after="0" w:line="271" w:lineRule="auto"/>
        <w:rPr>
          <w:sz w:val="20"/>
          <w:szCs w:val="20"/>
          <w:color w:val="auto"/>
        </w:rPr>
      </w:pPr>
      <w:r>
        <w:rPr>
          <w:rFonts w:ascii="Arial" w:cs="Arial" w:eastAsia="Arial" w:hAnsi="Arial"/>
          <w:sz w:val="18"/>
          <w:szCs w:val="18"/>
          <w:color w:val="auto"/>
        </w:rPr>
        <w:t>Historically, the Board has believed that having a chair who is also a member of the Company’s management team, whether or not the offices of chair and chief executive officer are held by the same person, has been highly effective for Genesco.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212"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The Board views the identification and management of risk as a primary responsibility of the Company’s chief executive officer, who reports directly to the Board. In addition to general review and discussion of various aspects of risk management throughout the year, at least once annually, the Board receives a report from management of the Company with an overall assessment of the Company’s risk management processes and systems, including the identification of major risks associated with the Company’s business and strategies, a description of the Company’s approach to monitoring and managing each category of risk, and an assessment of residual exposures and whether and how they may be more effectively mitigated. The identification of major risks is based upon a survey of directors, executive management, the heads of staff and shared services functions, and managers with responsibility for major operational functions within the Company’s operating divisions, which occurs at least every two years. The Board completed an enterprise risk management assessment in Fiscal 2026.</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Board’s review in Fiscal 2026 of the Company’s risk management processes and systems focused on risks associated with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business and strategies in the following major categories:</w:t>
      </w:r>
    </w:p>
    <w:p>
      <w:pPr>
        <w:spacing w:after="0" w:line="19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and financial risk, competition, growth opportunities, credit, liquidity and capital resources, and customer dynamics.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Integrity and compliance risk, including accounting and financial reporting, legal compliance, and corporate governance matters.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Operational risk, supply chain, and workforce-related risks.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data privacy, cybersecurity and artificial intelligence.</w:t>
      </w:r>
    </w:p>
    <w:p>
      <w:pPr>
        <w:spacing w:after="0" w:line="224" w:lineRule="exact"/>
        <w:rPr>
          <w:rFonts w:ascii="Times New Roman" w:cs="Times New Roman" w:eastAsia="Times New Roman" w:hAnsi="Times New Roman"/>
          <w:sz w:val="18"/>
          <w:szCs w:val="18"/>
          <w:color w:val="auto"/>
        </w:rPr>
      </w:pPr>
    </w:p>
    <w:p>
      <w:pPr>
        <w:ind w:left="760" w:right="60" w:hanging="378"/>
        <w:spacing w:after="0" w:line="270"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Catastrophic event risk, including facility losses and disruptions from natural disasters, pandemics, climate change, new or ongoing geopolitical conflicts or other causes.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corporate responsibility matters.</w:t>
      </w:r>
    </w:p>
    <w:p>
      <w:pPr>
        <w:spacing w:after="0" w:line="224"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In addition to the Board’s ongoing oversight of risk management and the annual review with the Board of the Company’s risk management processes and systems, specific risk categories fall within the oversight of individual committees of the Board. For example, the audit committee has oversight of most of the risks falling within the integrity and compliance risk categories, which it addresses primarily through its ongoing review of internal controls over accounting and financial reporting pursuant to Section 404 of the Sarbanes-Oxley Act of 2002. The audit committee also monitors the Company’s policies with respect to the risk of fraud, technology and information security, including cybersecurity, data privacy and artificial intelligence, by obtaining and reviewing reports on data management, security and privacy initiatives and significant existing and emerging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Additionally, the nominating and governance committee has direct oversight of governance-related risks and corporate responsibility matters, and the compensation committee has direct oversight of certain aspects of workforce-related risks as well as risks arising from compensation policies and practices. Further, the full Board considers strategic and financial risk in its regular review of the Company’s strategic and operating plans and in connection with its authorization of specific transactions.</w:t>
      </w:r>
    </w:p>
    <w:p>
      <w:pPr>
        <w:spacing w:after="0" w:line="174" w:lineRule="exact"/>
        <w:rPr>
          <w:sz w:val="20"/>
          <w:szCs w:val="20"/>
          <w:color w:val="auto"/>
        </w:rPr>
      </w:pPr>
    </w:p>
    <w:p>
      <w:pPr>
        <w:ind w:right="60" w:firstLine="382"/>
        <w:spacing w:after="0" w:line="275" w:lineRule="auto"/>
        <w:rPr>
          <w:sz w:val="20"/>
          <w:szCs w:val="20"/>
          <w:color w:val="auto"/>
        </w:rPr>
      </w:pPr>
      <w:r>
        <w:rPr>
          <w:rFonts w:ascii="Arial" w:cs="Arial" w:eastAsia="Arial" w:hAnsi="Arial"/>
          <w:sz w:val="17"/>
          <w:szCs w:val="17"/>
          <w:color w:val="auto"/>
        </w:rPr>
        <w:t>In connection with its annual review of the Company’s compensation programs, in February 2024, the compensation committee specifically considered whether risks arising from the Company’s compensation policies and practices for employees are reasonably likely to have a material adverse effect on the Company. In its analysis, the compensation committee considered, among other things, the following:</w:t>
      </w:r>
    </w:p>
    <w:p>
      <w:pPr>
        <w:spacing w:after="0" w:line="152" w:lineRule="exact"/>
        <w:rPr>
          <w:sz w:val="20"/>
          <w:szCs w:val="20"/>
          <w:color w:val="auto"/>
        </w:rPr>
      </w:pPr>
    </w:p>
    <w:p>
      <w:pPr>
        <w:ind w:left="760" w:right="760" w:hanging="378"/>
        <w:spacing w:after="0" w:line="300" w:lineRule="auto"/>
        <w:tabs>
          <w:tab w:leader="none" w:pos="7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equity-based, long-term incentive component of the Company’s executive compensation also discussed in “Compensation Discussion and Analysis,” which is designed to prevent excessive risks by rewarding sustainable performance; and</w:t>
      </w:r>
    </w:p>
    <w:p>
      <w:pPr>
        <w:spacing w:after="0" w:line="13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anti-hedging policy and share ownership requirements.</w:t>
      </w:r>
    </w:p>
    <w:p>
      <w:pPr>
        <w:spacing w:after="0" w:line="224" w:lineRule="exact"/>
        <w:rPr>
          <w:sz w:val="20"/>
          <w:szCs w:val="20"/>
          <w:color w:val="auto"/>
        </w:rPr>
      </w:pPr>
    </w:p>
    <w:p>
      <w:pPr>
        <w:ind w:right="340" w:firstLine="382"/>
        <w:spacing w:after="0" w:line="271" w:lineRule="auto"/>
        <w:rPr>
          <w:sz w:val="20"/>
          <w:szCs w:val="20"/>
          <w:color w:val="auto"/>
        </w:rPr>
      </w:pPr>
      <w:r>
        <w:rPr>
          <w:rFonts w:ascii="Arial" w:cs="Arial" w:eastAsia="Arial" w:hAnsi="Arial"/>
          <w:sz w:val="18"/>
          <w:szCs w:val="18"/>
          <w:color w:val="auto"/>
        </w:rPr>
        <w:t>As a result of its analysis, the compensation committee determined that the Company’s compensation policies and practices are not reasonably likely to have a material adverse effect on the Company.</w:t>
      </w:r>
    </w:p>
    <w:p>
      <w:pPr>
        <w:spacing w:after="0" w:line="154" w:lineRule="exact"/>
        <w:rPr>
          <w:sz w:val="20"/>
          <w:szCs w:val="20"/>
          <w:color w:val="auto"/>
        </w:rPr>
      </w:pPr>
    </w:p>
    <w:p>
      <w:pPr>
        <w:ind w:right="120" w:firstLine="382"/>
        <w:spacing w:after="0" w:line="253" w:lineRule="auto"/>
        <w:rPr>
          <w:sz w:val="20"/>
          <w:szCs w:val="20"/>
          <w:color w:val="auto"/>
        </w:rPr>
      </w:pPr>
      <w:r>
        <w:rPr>
          <w:rFonts w:ascii="Arial" w:cs="Arial" w:eastAsia="Arial" w:hAnsi="Arial"/>
          <w:sz w:val="18"/>
          <w:szCs w:val="18"/>
          <w:color w:val="auto"/>
        </w:rPr>
        <w:t>The members of the Board’s committees believe that they have sufficient access to the members of management with direct responsibility for the management of risks within their oversight to be able to understand and monitor such risks effectively. Each committee regularly reports to the full Board on matters related to the categories of risk within its oversight.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12" w:lineRule="exact"/>
        <w:rPr>
          <w:sz w:val="20"/>
          <w:szCs w:val="20"/>
          <w:color w:val="auto"/>
        </w:rPr>
      </w:pPr>
    </w:p>
    <w:p>
      <w:pPr>
        <w:jc w:val="both"/>
        <w:ind w:right="200" w:firstLine="374"/>
        <w:spacing w:after="0" w:line="247" w:lineRule="auto"/>
        <w:rPr>
          <w:sz w:val="20"/>
          <w:szCs w:val="20"/>
          <w:color w:val="auto"/>
        </w:rPr>
      </w:pPr>
      <w:r>
        <w:rPr>
          <w:rFonts w:ascii="Arial" w:cs="Arial" w:eastAsia="Arial" w:hAnsi="Arial"/>
          <w:sz w:val="18"/>
          <w:szCs w:val="18"/>
          <w:color w:val="auto"/>
        </w:rPr>
        <w:t>Cybersecurity is one of our most critical risks. For many activities important to our business, we depend on the confidentiality, integrity and availability of information systems and data, some of which are provided or managed by third parties. We have strategically integrated cybersecurity risk management into our broader enterprise risk management function to promote a company-wide culture of cybersecurity risk management.</w:t>
      </w:r>
    </w:p>
    <w:p>
      <w:pPr>
        <w:spacing w:after="0" w:line="174" w:lineRule="exact"/>
        <w:rPr>
          <w:sz w:val="20"/>
          <w:szCs w:val="20"/>
          <w:color w:val="auto"/>
        </w:rPr>
      </w:pPr>
    </w:p>
    <w:p>
      <w:pPr>
        <w:ind w:right="400" w:firstLine="374"/>
        <w:spacing w:after="0" w:line="253" w:lineRule="auto"/>
        <w:rPr>
          <w:sz w:val="20"/>
          <w:szCs w:val="20"/>
          <w:color w:val="auto"/>
        </w:rPr>
      </w:pPr>
      <w:r>
        <w:rPr>
          <w:rFonts w:ascii="Arial" w:cs="Arial" w:eastAsia="Arial" w:hAnsi="Arial"/>
          <w:sz w:val="18"/>
          <w:szCs w:val="18"/>
          <w:color w:val="auto"/>
        </w:rPr>
        <w:t>Management is responsible for the day-to-day handling of risks facing the Company, while the Board, as a whole and through its committees, oversees risk management, including cybersecurity risks and risks related to artificial intelligence. The Board has delegated certain risk management responsibilities with respect to cybersecurity to the audit committee.</w:t>
      </w:r>
    </w:p>
    <w:p>
      <w:pPr>
        <w:spacing w:after="0" w:line="169" w:lineRule="exact"/>
        <w:rPr>
          <w:sz w:val="20"/>
          <w:szCs w:val="20"/>
          <w:color w:val="auto"/>
        </w:rPr>
      </w:pPr>
    </w:p>
    <w:p>
      <w:pPr>
        <w:ind w:firstLine="374"/>
        <w:spacing w:after="0" w:line="244" w:lineRule="auto"/>
        <w:rPr>
          <w:sz w:val="20"/>
          <w:szCs w:val="20"/>
          <w:color w:val="auto"/>
        </w:rPr>
      </w:pPr>
      <w:r>
        <w:rPr>
          <w:rFonts w:ascii="Arial" w:cs="Arial" w:eastAsia="Arial" w:hAnsi="Arial"/>
          <w:sz w:val="18"/>
          <w:szCs w:val="18"/>
          <w:color w:val="auto"/>
        </w:rPr>
        <w:t>On behalf of the Board, the audit committee provides oversight of our management of cybersecurity risk. The audit committee regularly reviews our cybersecurity risks, incidents, audits, assessments, crisis readiness, awareness activities and compliance with cybersecurity and privacy laws and regulations. Our vice president, chief information security and privacy officer, jointly with our senior vice president, chief strategy and digital officer brief the audit committee quarterly, and more often, if necessary, on active and emerging cybersecurity threats and efforts to strengthen our defenses against these threats.</w:t>
      </w:r>
    </w:p>
    <w:p>
      <w:pPr>
        <w:spacing w:after="0" w:line="176" w:lineRule="exact"/>
        <w:rPr>
          <w:sz w:val="20"/>
          <w:szCs w:val="20"/>
          <w:color w:val="auto"/>
        </w:rPr>
      </w:pPr>
    </w:p>
    <w:p>
      <w:pPr>
        <w:ind w:right="140" w:firstLine="374"/>
        <w:spacing w:after="0" w:line="266" w:lineRule="auto"/>
        <w:rPr>
          <w:sz w:val="20"/>
          <w:szCs w:val="20"/>
          <w:color w:val="auto"/>
        </w:rPr>
      </w:pPr>
      <w:r>
        <w:rPr>
          <w:rFonts w:ascii="Arial" w:cs="Arial" w:eastAsia="Arial" w:hAnsi="Arial"/>
          <w:sz w:val="17"/>
          <w:szCs w:val="17"/>
          <w:color w:val="auto"/>
        </w:rPr>
        <w:t>Our information security and privacy teams reduce first and third-party risk by maintaining a proactive security posture aligned with current threats, detecting cybersecurity events and responding quickly, and building procedures to rapidly recover. These teams are managed by the vice president, chief information security and privacy officer, who reports to the senior vice president, chief strategy and digital officer. Our cybersecurity leaders collectively have more than 25 years of relevant experience and multiple professional certifications.</w:t>
      </w:r>
    </w:p>
    <w:p>
      <w:pPr>
        <w:spacing w:after="0" w:line="159"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Internal and third-party risks are reviewed, monitored, and managed by our cybersecurity and privacy teams, audited by an internal audit team and various external experts, and tracked within an Enterprise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Management framework. We regularly engage third-party experts to assess the effectiveness of our cybersecurity programs. Biennially, an external independent consultancy team conducts an assessment of our cybersecurity program using the inputs from accepted cybersecurity frameworks. Targeted assessments are conducted regularly by internal and third-party experts to ensure compliance with specific federal and state laws and regulations. We continue to participate in the VISA TIP program and AMEX STEP program around our PCI DSS compliance.</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processes for identifying and managing first and third-party risks from cybersecurity threats include:</w:t>
      </w:r>
    </w:p>
    <w:p>
      <w:pPr>
        <w:spacing w:after="0" w:line="21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Continuous monitoring of our systems and network for cybersecurity events;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Regular testing of our Security Incident Response Plan, Business Continuity plans, and Disaster Recovery plans;</w:t>
      </w:r>
    </w:p>
    <w:p>
      <w:pPr>
        <w:spacing w:after="0" w:line="224" w:lineRule="exact"/>
        <w:rPr>
          <w:rFonts w:ascii="Times New Roman" w:cs="Times New Roman" w:eastAsia="Times New Roman" w:hAnsi="Times New Roman"/>
          <w:sz w:val="18"/>
          <w:szCs w:val="18"/>
          <w:color w:val="auto"/>
        </w:rPr>
      </w:pPr>
    </w:p>
    <w:p>
      <w:pPr>
        <w:ind w:left="760" w:right="700" w:hanging="378"/>
        <w:spacing w:after="0" w:line="270"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Required annual security training for our employees with access to email, as well as tailored training for employees in more sensitive roles; and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Periodic testing to ensure the security training is effective.</w:t>
      </w:r>
    </w:p>
    <w:p>
      <w:pPr>
        <w:spacing w:after="0" w:line="224" w:lineRule="exact"/>
        <w:rPr>
          <w:sz w:val="20"/>
          <w:szCs w:val="20"/>
          <w:color w:val="auto"/>
        </w:rPr>
      </w:pPr>
    </w:p>
    <w:p>
      <w:pPr>
        <w:ind w:right="180" w:firstLine="382"/>
        <w:spacing w:after="0" w:line="242" w:lineRule="auto"/>
        <w:rPr>
          <w:sz w:val="20"/>
          <w:szCs w:val="20"/>
          <w:color w:val="auto"/>
        </w:rPr>
      </w:pPr>
      <w:r>
        <w:rPr>
          <w:rFonts w:ascii="Arial" w:cs="Arial" w:eastAsia="Arial" w:hAnsi="Arial"/>
          <w:sz w:val="18"/>
          <w:szCs w:val="18"/>
          <w:color w:val="auto"/>
        </w:rPr>
        <w:t>External managed security services providers and industry-leading security tools continuously monitor our systems and network for cybersecurity threats. Our cybersecurity teams evaluate the escalated threats, and if necessary, take steps to contain and recover from pervasive threats in accordance with our Security Incident Response Plan. The plan includes reporting and escalation procedures to inform the executive committee, audit committee, and full Board, as appropriate to enable them to carry out their oversight responsibilities, and to ensure timely compliance with applicable reporting rules. Our Business Continuity Management and Disaster Recovery plans include procedures for business recovery and are tested regularly.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Corporate Strategy</w:t>
      </w:r>
    </w:p>
    <w:p>
      <w:pPr>
        <w:spacing w:after="0" w:line="212" w:lineRule="exact"/>
        <w:rPr>
          <w:sz w:val="20"/>
          <w:szCs w:val="20"/>
          <w:color w:val="auto"/>
        </w:rPr>
      </w:pPr>
    </w:p>
    <w:p>
      <w:pPr>
        <w:ind w:right="120" w:firstLine="382"/>
        <w:spacing w:after="0" w:line="242" w:lineRule="auto"/>
        <w:rPr>
          <w:sz w:val="20"/>
          <w:szCs w:val="20"/>
          <w:color w:val="auto"/>
        </w:rPr>
      </w:pPr>
      <w:r>
        <w:rPr>
          <w:rFonts w:ascii="Arial" w:cs="Arial" w:eastAsia="Arial" w:hAnsi="Arial"/>
          <w:sz w:val="18"/>
          <w:szCs w:val="18"/>
          <w:color w:val="auto"/>
        </w:rPr>
        <w:t>The Board is actively involved in guiding, overseeing and reviewing the Company’s corporate strategy. Our Board played a critical role in forming our footwear first strategy and continues active oversight and review of our strategy. Strategic business issues, including developments in our industry, opportunities for growth, multi-year strategic plans, investments, capital allocation and strategic alternatives to drive shareholder value, including M&amp;A-related decisions, are discussed as a part of our standard procedure at our Board meetings. The Board also discusses corporate strategy throughout the year with management, both formally and informally, and during executive sessions of the Board, as appropriate.</w:t>
      </w:r>
    </w:p>
    <w:p>
      <w:pPr>
        <w:spacing w:after="0" w:line="179" w:lineRule="exact"/>
        <w:rPr>
          <w:sz w:val="20"/>
          <w:szCs w:val="20"/>
          <w:color w:val="auto"/>
        </w:rPr>
      </w:pPr>
    </w:p>
    <w:p>
      <w:pPr>
        <w:ind w:right="160" w:firstLine="382"/>
        <w:spacing w:after="0" w:line="244" w:lineRule="auto"/>
        <w:rPr>
          <w:sz w:val="20"/>
          <w:szCs w:val="20"/>
          <w:color w:val="auto"/>
        </w:rPr>
      </w:pPr>
      <w:r>
        <w:rPr>
          <w:rFonts w:ascii="Arial" w:cs="Arial" w:eastAsia="Arial" w:hAnsi="Arial"/>
          <w:sz w:val="18"/>
          <w:szCs w:val="18"/>
          <w:color w:val="auto"/>
        </w:rPr>
        <w:t>The Board recurrently discusses the Company’s performance and results relative to our operating plan and expectations at each quarterly Board meeting and during ad hoc updates throughout the year. At most Board meetings, senior Company management makes presentations to the Board with respect to each of our divisions to facilitate a further in-depth and comprehensive discussion and review of the Company’s strategic and operational plans, initiatives and goals over the short-and long-term, as well as paths, options and alternatives to achieving such goals.</w:t>
      </w:r>
    </w:p>
    <w:p>
      <w:pPr>
        <w:spacing w:after="0" w:line="176"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Board and committee-level discussions are also regularly infused with strategic and business themes. For example, headwinds and tailwinds for the industry and each of our businesses and the Company’s strategies with respect thereto are discussed at each meeting. At each regular Board meeting a detailed presentation of at least one of the Company’s divisions and its business is discussed in depth, including performance, competitive landscape, strategic direction and necessary investments to fuel growth. Risks associated with the business strategy and plans to mitigate those risks are also discussed. Our nominating and governance committee’s discussions and nomination decisions are guided by the Board’s views on the skill sets needed to further the Company’s strategy. Likewise, the compensation committee’s compensation decisions take into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management’s contributions toward implementing the Company’s strategy, and the audit committee provides oversight of the Company’s capital expenditures which are part of the Company’s strategic investments and evaluates risks to the Company’s strategy as part of its Enterprise Risk Management process. The Board also regularly considers, with the assistance of outside advisors, various strategic alternatives for the Company’s businesses and the Company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Highlights</w:t>
      </w:r>
    </w:p>
    <w:p>
      <w:pPr>
        <w:spacing w:after="0" w:line="212"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Throughout our 100+ year history, Genesco has made it a priority to operate with high ethical standards and to serve all of our stakeholders. In furtherance of this priority, the Company formed in Fiscal 2022 a subcommittee of our nominating and governance committee (the “Corporate Responsibility Subcommittee”) to provide oversight of the Company’s environmental, health and safety; employee engagement; corporate social responsibility; and corporate governance and sustainability initiatives (“Corporate Responsibility matters”). Ms. Barsh and Mr. Marshall are members of the Corporate Responsibility Subcommittee. The Corporate Responsibility Subcommittee met three times in Fiscal 2026. The responsibilities of the Corporate Responsibility Subcommittee include the following:</w:t>
      </w:r>
    </w:p>
    <w:p>
      <w:pPr>
        <w:spacing w:after="0" w:line="179"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Assist in setting strategies for corporate responsibility matters;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Recommend policies and practices in furtherance of those strategies;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Oversee monitoring and reporting with respect to corporate responsibility matters;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Report to and advise the Board on shareholder concerns and proposals regarding corporate responsibility matters.</w:t>
      </w:r>
    </w:p>
    <w:p>
      <w:pPr>
        <w:spacing w:after="0" w:line="224" w:lineRule="exact"/>
        <w:rPr>
          <w:sz w:val="20"/>
          <w:szCs w:val="20"/>
          <w:color w:val="auto"/>
        </w:rPr>
      </w:pPr>
    </w:p>
    <w:p>
      <w:pPr>
        <w:ind w:firstLine="382"/>
        <w:spacing w:after="0" w:line="244" w:lineRule="auto"/>
        <w:rPr>
          <w:sz w:val="20"/>
          <w:szCs w:val="20"/>
          <w:color w:val="auto"/>
        </w:rPr>
      </w:pPr>
      <w:r>
        <w:rPr>
          <w:rFonts w:ascii="Arial" w:cs="Arial" w:eastAsia="Arial" w:hAnsi="Arial"/>
          <w:sz w:val="18"/>
          <w:szCs w:val="18"/>
          <w:color w:val="auto"/>
        </w:rPr>
        <w:t>The Company recognizes that as a retail and branded footwear, apparel and accessories business, its operations touch every corner of the globe. The Company and its Board are committed to delivering value to its shareholders while minimizing its impact on the planet and doing its part to support its employees, customers and suppliers, and the communities in which the Company operates. As a result, while the Company has always kept these stakeholders top of mind, the Company has intensified its efforts in recent years in the areas of climate change, responsible sourcing, and employee engagement.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 Change, Responsible Sourcing and Human Rights</w:t>
      </w:r>
    </w:p>
    <w:p>
      <w:pPr>
        <w:spacing w:after="0" w:line="210" w:lineRule="exact"/>
        <w:rPr>
          <w:sz w:val="20"/>
          <w:szCs w:val="20"/>
          <w:color w:val="auto"/>
        </w:rPr>
      </w:pPr>
    </w:p>
    <w:p>
      <w:pPr>
        <w:ind w:right="180" w:firstLine="382"/>
        <w:spacing w:after="0" w:line="247" w:lineRule="auto"/>
        <w:rPr>
          <w:sz w:val="20"/>
          <w:szCs w:val="20"/>
          <w:color w:val="auto"/>
        </w:rPr>
      </w:pPr>
      <w:r>
        <w:rPr>
          <w:rFonts w:ascii="Arial" w:cs="Arial" w:eastAsia="Arial" w:hAnsi="Arial"/>
          <w:sz w:val="18"/>
          <w:szCs w:val="18"/>
          <w:color w:val="auto"/>
        </w:rPr>
        <w:t>Genesco takes the responsibility of combating climate change seriously. That is why the Company is working to minimize its environmental footprint across all segments of its operations. During Fiscal 2026, we completed our fourth measurements or baselines for our greenhouse gas emissions. The Company has identified six key areas that it believes will give the Company the most efficient strategy for bringing about real, effective change:</w:t>
      </w:r>
    </w:p>
    <w:p>
      <w:pPr>
        <w:spacing w:after="0" w:line="174" w:lineRule="exact"/>
        <w:rPr>
          <w:sz w:val="20"/>
          <w:szCs w:val="20"/>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Greenhouse Gas Emissions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Non-renewable Energy Consumption</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Optimizing Freight Operations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Packing Materials and Waste</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Diverting Waste from Landfills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Water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60" w:firstLine="382"/>
        <w:spacing w:after="0" w:line="247" w:lineRule="auto"/>
        <w:rPr>
          <w:sz w:val="20"/>
          <w:szCs w:val="20"/>
          <w:color w:val="auto"/>
        </w:rPr>
      </w:pPr>
      <w:r>
        <w:rPr>
          <w:rFonts w:ascii="Arial" w:cs="Arial" w:eastAsia="Arial" w:hAnsi="Arial"/>
          <w:sz w:val="18"/>
          <w:szCs w:val="18"/>
          <w:color w:val="auto"/>
        </w:rPr>
        <w:t>Genesco is also committed to responsible, ethical sourcing. The Company partners with vendors who share its priorities of health and safety, social responsibility and environmental stewardship. The Company has a zero tolerance policy for forced labor, child labor or human trafficking. Genesco published its first Vendor Code of Conduct in 2024 and requires its vendors to comply with a code of ethics which meets international health and safety standards.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w:t>
      </w:r>
    </w:p>
    <w:p>
      <w:pPr>
        <w:spacing w:after="0" w:line="210" w:lineRule="exact"/>
        <w:rPr>
          <w:sz w:val="20"/>
          <w:szCs w:val="20"/>
          <w:color w:val="auto"/>
        </w:rPr>
      </w:pPr>
    </w:p>
    <w:p>
      <w:pPr>
        <w:ind w:firstLine="382"/>
        <w:spacing w:after="0" w:line="237" w:lineRule="auto"/>
        <w:rPr>
          <w:sz w:val="20"/>
          <w:szCs w:val="20"/>
          <w:color w:val="auto"/>
        </w:rPr>
      </w:pPr>
      <w:r>
        <w:rPr>
          <w:rFonts w:ascii="Arial" w:cs="Arial" w:eastAsia="Arial" w:hAnsi="Arial"/>
          <w:sz w:val="18"/>
          <w:szCs w:val="18"/>
          <w:color w:val="auto"/>
        </w:rPr>
        <w:t>The Board has oversight of the Company’s ongoing corporate responsibility efforts with guidance from the Corporate Responsibility Subcommittee, management and a representative employee council. The Company seeks to cultivate a respectful and inclusive work environment in which employee engagement is leveraged to maximize employee potential and achieve business objectives. The Company is committed to creating a workplace reflecting a highly qualified and engaged team – one with different backgrounds, perspectives, ideas and skill sets. The Board and the Company believe that the more perspectives we share, the better we will be. As of January 2026, the majority of its U.S. workforce was female and the majority was also racially/ethnically diverse. Women also serve in several key leadership roles, including chair of the Board, chair of the audit committee, chair of the nominating and governance committee, president, chief executive officer and interim chief financial officer, senior vice president and chief human resources officer, vice president of finance and corporate controller, vice president of data analytics, senior vice president of real estate and store planning, director of corporate relations, deputy general counsel – commercial operations, as well as chief product officer of the Schuh group, senior vice president of strategy and transformation, executive vice president and chief marketing officer, vice president and general manager, Canada of the Journeys Group, and vice president, product development, apparel and accessories, vice president GMM and vice president of stores at Johnston &amp; Murphy Group. Six of our nine Board nominees are diverse, four of our nine Board nominees are gender diverse, three of our nine Board nominees are racially diverse and three of our five Board leadership positions are held by women. Still, we are committed to further improving the Company and the communities it serves and is actively working to implement new initiatives that will result in an even more effective team. We have established an employee council to provide guidance and feedback about how we create a more empowered and engaged workforce. The Company provides multiple avenues to solicit employee feedback.</w:t>
      </w:r>
    </w:p>
    <w:p>
      <w:pPr>
        <w:spacing w:after="0" w:line="184" w:lineRule="exact"/>
        <w:rPr>
          <w:sz w:val="20"/>
          <w:szCs w:val="20"/>
          <w:color w:val="auto"/>
        </w:rPr>
      </w:pPr>
    </w:p>
    <w:p>
      <w:pPr>
        <w:ind w:right="40" w:firstLine="382"/>
        <w:spacing w:after="0" w:line="253" w:lineRule="auto"/>
        <w:rPr>
          <w:sz w:val="20"/>
          <w:szCs w:val="20"/>
          <w:color w:val="auto"/>
        </w:rPr>
      </w:pPr>
      <w:r>
        <w:rPr>
          <w:rFonts w:ascii="Arial" w:cs="Arial" w:eastAsia="Arial" w:hAnsi="Arial"/>
          <w:sz w:val="18"/>
          <w:szCs w:val="18"/>
          <w:color w:val="auto"/>
        </w:rPr>
        <w:t>Genesco strives to continue to create a culture where engaged talent can grow and succeed. The Company routinely conducts annual employee engagement surveys, and it remains committed to listening to and learning from its employees. The Company is also committed to its employees’ personal and professional development and well-being, including taking the following actions:</w:t>
      </w:r>
    </w:p>
    <w:p>
      <w:pPr>
        <w:spacing w:after="0" w:line="169" w:lineRule="exact"/>
        <w:rPr>
          <w:sz w:val="20"/>
          <w:szCs w:val="20"/>
          <w:color w:val="auto"/>
        </w:rPr>
      </w:pPr>
    </w:p>
    <w:p>
      <w:pPr>
        <w:jc w:val="both"/>
        <w:ind w:left="760" w:hanging="378"/>
        <w:spacing w:after="0" w:line="274" w:lineRule="auto"/>
        <w:tabs>
          <w:tab w:leader="none" w:pos="76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 continues to invest in employees’ development needs through a variety of in person and hybrid training opportunities. Learning content included presentation skills, goal-setting, time management, making a pitch and influencing, innovative leadership, intentional leadership, data driven leadership, developing future leaders, managing change and coaching conversations.</w:t>
      </w:r>
    </w:p>
    <w:p>
      <w:pPr>
        <w:spacing w:after="0" w:line="153" w:lineRule="exact"/>
        <w:rPr>
          <w:rFonts w:ascii="Times New Roman" w:cs="Times New Roman" w:eastAsia="Times New Roman" w:hAnsi="Times New Roman"/>
          <w:sz w:val="17"/>
          <w:szCs w:val="17"/>
          <w:color w:val="auto"/>
        </w:rPr>
      </w:pPr>
    </w:p>
    <w:p>
      <w:pPr>
        <w:ind w:left="760" w:right="600" w:hanging="378"/>
        <w:spacing w:after="0" w:line="270"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Genesco believes it is important to give back to its own employees. The Company maintains two legacy programs to make a difference in its own employees’ lives.</w:t>
      </w:r>
    </w:p>
    <w:p>
      <w:pPr>
        <w:spacing w:after="0" w:line="154" w:lineRule="exact"/>
        <w:rPr>
          <w:rFonts w:ascii="Times New Roman" w:cs="Times New Roman" w:eastAsia="Times New Roman" w:hAnsi="Times New Roman"/>
          <w:sz w:val="18"/>
          <w:szCs w:val="18"/>
          <w:color w:val="auto"/>
        </w:rPr>
      </w:pPr>
    </w:p>
    <w:p>
      <w:pPr>
        <w:ind w:left="1140" w:right="200" w:hanging="383"/>
        <w:spacing w:after="0" w:line="270" w:lineRule="auto"/>
        <w:tabs>
          <w:tab w:leader="none" w:pos="114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Jim Gulmi/Genesco Employee Scholarship Fund to assist Genesco employees, and their children, in attending four-year colleges and universities.</w:t>
      </w:r>
    </w:p>
    <w:p>
      <w:pPr>
        <w:spacing w:after="0" w:line="154" w:lineRule="exact"/>
        <w:rPr>
          <w:rFonts w:ascii="Times New Roman" w:cs="Times New Roman" w:eastAsia="Times New Roman" w:hAnsi="Times New Roman"/>
          <w:sz w:val="18"/>
          <w:szCs w:val="18"/>
          <w:color w:val="auto"/>
        </w:rPr>
      </w:pPr>
    </w:p>
    <w:p>
      <w:pPr>
        <w:ind w:left="1140" w:right="200" w:hanging="383"/>
        <w:spacing w:after="0" w:line="270" w:lineRule="auto"/>
        <w:tabs>
          <w:tab w:leader="none" w:pos="114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Genesco Employee Emergency Fund helps Genesco employees or eligible dependents who are experiencing economic hardship as a result of certain unforeseen and unpreventable circumstances.</w:t>
      </w:r>
    </w:p>
    <w:p>
      <w:pPr>
        <w:spacing w:after="0" w:line="154" w:lineRule="exact"/>
        <w:rPr>
          <w:rFonts w:ascii="Times New Roman" w:cs="Times New Roman" w:eastAsia="Times New Roman" w:hAnsi="Times New Roman"/>
          <w:sz w:val="18"/>
          <w:szCs w:val="18"/>
          <w:color w:val="auto"/>
        </w:rPr>
      </w:pPr>
    </w:p>
    <w:p>
      <w:pPr>
        <w:ind w:left="760" w:right="160" w:hanging="378"/>
        <w:spacing w:after="0" w:line="252"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Genesco supports certain employees through a variety of health and welfare benefits, including an Employee Assistance Program which provides resources to help employees make changes to improve overall well-being, navigate life events, and reach their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82"/>
        <w:spacing w:after="0" w:line="239" w:lineRule="auto"/>
        <w:rPr>
          <w:sz w:val="20"/>
          <w:szCs w:val="20"/>
          <w:color w:val="auto"/>
        </w:rPr>
      </w:pPr>
      <w:r>
        <w:rPr>
          <w:rFonts w:ascii="Arial" w:cs="Arial" w:eastAsia="Arial" w:hAnsi="Arial"/>
          <w:sz w:val="18"/>
          <w:szCs w:val="18"/>
          <w:color w:val="auto"/>
        </w:rPr>
        <w:t>Beyond giving back to its own employees, the Board believes it is important to encourage volunteer efforts and giving back to the community. The Company supports volunteer-led community outreach and non-profit initiatives that align with the Company’s philanthropy goals, with an aim to improve the overall quality of life in the communities where its employees work and live, and beyond. Notable programs include the Cold Feet, Warm Shoes program which has been ongoing for more than 35 years (with the exception of a pause during Fiscal 2021 and Fiscal 2022 due to COVID-19), providing more than 100,000 pairs of shoes to communities in need and our “Make a Difference” Charity Golf Tournament, which has provided a cumulative benefit of over $7 million to United Way of Greater Nashville. In addition, the Company empowers employees to volunteer and make an impact in their own communities through a variety of supportive initiatives, including Genesco’s Community Service Policy providing full-time employees with 10 hours per year of paid time to perform community service and the Genesco Employee Matching Gift Program providing matching donations up to $1,000 annually to the non-profit of their choice.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Self-Evaluation Process</w:t>
      </w:r>
    </w:p>
    <w:p>
      <w:pPr>
        <w:spacing w:after="0" w:line="212" w:lineRule="exact"/>
        <w:rPr>
          <w:sz w:val="20"/>
          <w:szCs w:val="20"/>
          <w:color w:val="auto"/>
        </w:rPr>
      </w:pPr>
    </w:p>
    <w:p>
      <w:pPr>
        <w:ind w:right="60" w:firstLine="382"/>
        <w:spacing w:after="0" w:line="247" w:lineRule="auto"/>
        <w:rPr>
          <w:sz w:val="20"/>
          <w:szCs w:val="20"/>
          <w:color w:val="auto"/>
        </w:rPr>
      </w:pPr>
      <w:r>
        <w:rPr>
          <w:rFonts w:ascii="Arial" w:cs="Arial" w:eastAsia="Arial" w:hAnsi="Arial"/>
          <w:sz w:val="18"/>
          <w:szCs w:val="18"/>
          <w:color w:val="auto"/>
        </w:rPr>
        <w:t>The Board annually participates in a self-evaluation process. For Fiscal 2026, the Board conducted an evaluation in which each director was asked to assess the Board’s structure and composition, the conduct and frequency of Board and committee meetings, the performance of Board committees, and other topics related to the Board’s effectiveness and its relationship with management. The results of the evaluations were compiled and summarized and discussed by the Board in executive session.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 by Shareholders, Employees and Other Interested Parties</w:t>
      </w:r>
    </w:p>
    <w:p>
      <w:pPr>
        <w:spacing w:after="0" w:line="212" w:lineRule="exact"/>
        <w:rPr>
          <w:sz w:val="20"/>
          <w:szCs w:val="20"/>
          <w:color w:val="auto"/>
        </w:rPr>
      </w:pPr>
    </w:p>
    <w:p>
      <w:pPr>
        <w:ind w:firstLine="382"/>
        <w:spacing w:after="0" w:line="244" w:lineRule="auto"/>
        <w:rPr>
          <w:sz w:val="20"/>
          <w:szCs w:val="20"/>
          <w:color w:val="auto"/>
        </w:rPr>
      </w:pPr>
      <w:r>
        <w:rPr>
          <w:rFonts w:ascii="Arial" w:cs="Arial" w:eastAsia="Arial" w:hAnsi="Arial"/>
          <w:sz w:val="18"/>
          <w:szCs w:val="18"/>
          <w:color w:val="auto"/>
        </w:rPr>
        <w:t>The Board has established procedures for the Company’s shareholders and other interested parties to communicate with members of the Board. Shareholders and employees of the Company and other interested parties may address communications to directors, either collectively or individually (including to the lead independent director or to the non-management directors as a group), in care of the Corporate Secretary, Genesco Inc., 535 Marriott Drive, Nashville, Tennessee 37214. The Corporate Secretary’s office delivers to directors all written communications, other than commercial mailings, addressed to them.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Annual Meeting Attendance</w:t>
      </w:r>
    </w:p>
    <w:p>
      <w:pPr>
        <w:spacing w:after="0" w:line="212" w:lineRule="exact"/>
        <w:rPr>
          <w:sz w:val="20"/>
          <w:szCs w:val="20"/>
          <w:color w:val="auto"/>
        </w:rPr>
      </w:pPr>
    </w:p>
    <w:p>
      <w:pPr>
        <w:ind w:right="200" w:firstLine="382"/>
        <w:spacing w:after="0" w:line="271" w:lineRule="auto"/>
        <w:rPr>
          <w:sz w:val="20"/>
          <w:szCs w:val="20"/>
          <w:color w:val="auto"/>
        </w:rPr>
      </w:pPr>
      <w:r>
        <w:rPr>
          <w:rFonts w:ascii="Arial" w:cs="Arial" w:eastAsia="Arial" w:hAnsi="Arial"/>
          <w:sz w:val="18"/>
          <w:szCs w:val="18"/>
          <w:color w:val="auto"/>
        </w:rPr>
        <w:t>The Company encourages all directors to be present at the Annual Meeting. All of the Company’s directors were present at last year’s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Age Limit</w:t>
      </w:r>
    </w:p>
    <w:p>
      <w:pPr>
        <w:spacing w:after="0" w:line="212" w:lineRule="exact"/>
        <w:rPr>
          <w:sz w:val="20"/>
          <w:szCs w:val="20"/>
          <w:color w:val="auto"/>
        </w:rPr>
      </w:pPr>
    </w:p>
    <w:p>
      <w:pPr>
        <w:ind w:right="140" w:firstLine="382"/>
        <w:spacing w:after="0" w:line="271" w:lineRule="auto"/>
        <w:rPr>
          <w:sz w:val="20"/>
          <w:szCs w:val="20"/>
          <w:color w:val="auto"/>
        </w:rPr>
      </w:pPr>
      <w:r>
        <w:rPr>
          <w:rFonts w:ascii="Arial" w:cs="Arial" w:eastAsia="Arial" w:hAnsi="Arial"/>
          <w:sz w:val="18"/>
          <w:szCs w:val="18"/>
          <w:color w:val="auto"/>
        </w:rPr>
        <w:t>The Company’s Corporate Governance Guidelines require that any director that is over the age of 75 at the time of the annual meeting of shareholders shall not be nominated to the Board at that meeting by the nominating and governance committee.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12" w:lineRule="exact"/>
        <w:rPr>
          <w:sz w:val="20"/>
          <w:szCs w:val="20"/>
          <w:color w:val="auto"/>
        </w:rPr>
      </w:pPr>
    </w:p>
    <w:p>
      <w:pPr>
        <w:ind w:right="540" w:firstLine="382"/>
        <w:spacing w:after="0" w:line="271" w:lineRule="auto"/>
        <w:rPr>
          <w:sz w:val="20"/>
          <w:szCs w:val="20"/>
          <w:color w:val="auto"/>
        </w:rPr>
      </w:pPr>
      <w:r>
        <w:rPr>
          <w:rFonts w:ascii="Arial" w:cs="Arial" w:eastAsia="Arial" w:hAnsi="Arial"/>
          <w:sz w:val="18"/>
          <w:szCs w:val="18"/>
          <w:color w:val="auto"/>
        </w:rPr>
        <w:t>The Company is not aware of any legal proceedings related to any directors that are required to be disclosed under Item 401(f) of Regulation S-K under the Exchange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12" w:lineRule="exact"/>
        <w:rPr>
          <w:sz w:val="20"/>
          <w:szCs w:val="20"/>
          <w:color w:val="auto"/>
        </w:rPr>
      </w:pPr>
    </w:p>
    <w:p>
      <w:pPr>
        <w:ind w:right="220" w:firstLine="382"/>
        <w:spacing w:after="0" w:line="271" w:lineRule="auto"/>
        <w:rPr>
          <w:sz w:val="20"/>
          <w:szCs w:val="20"/>
          <w:color w:val="auto"/>
        </w:rPr>
      </w:pPr>
      <w:r>
        <w:rPr>
          <w:rFonts w:ascii="Arial" w:cs="Arial" w:eastAsia="Arial" w:hAnsi="Arial"/>
          <w:sz w:val="18"/>
          <w:szCs w:val="18"/>
          <w:color w:val="auto"/>
        </w:rPr>
        <w:t xml:space="preserve">The Board has adopted Corporate Governance Guidelines for the Company. They are accessible on the Investor Relations section of Company’s website, </w:t>
      </w:r>
      <w:r>
        <w:rPr>
          <w:rFonts w:ascii="Arial" w:cs="Arial" w:eastAsia="Arial" w:hAnsi="Arial"/>
          <w:sz w:val="18"/>
          <w:szCs w:val="18"/>
          <w:u w:val="single" w:color="auto"/>
          <w:color w:val="auto"/>
        </w:rPr>
        <w:t>www.genesco.com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for Employees and Directors</w:t>
      </w:r>
    </w:p>
    <w:p>
      <w:pPr>
        <w:spacing w:after="0" w:line="212" w:lineRule="exact"/>
        <w:rPr>
          <w:sz w:val="20"/>
          <w:szCs w:val="20"/>
          <w:color w:val="auto"/>
        </w:rPr>
      </w:pPr>
    </w:p>
    <w:p>
      <w:pPr>
        <w:ind w:right="20" w:firstLine="382"/>
        <w:spacing w:after="0" w:line="247" w:lineRule="auto"/>
        <w:rPr>
          <w:sz w:val="20"/>
          <w:szCs w:val="20"/>
          <w:color w:val="auto"/>
        </w:rPr>
      </w:pPr>
      <w:r>
        <w:rPr>
          <w:rFonts w:ascii="Arial" w:cs="Arial" w:eastAsia="Arial" w:hAnsi="Arial"/>
          <w:sz w:val="18"/>
          <w:szCs w:val="18"/>
          <w:color w:val="auto"/>
        </w:rPr>
        <w:t xml:space="preserve">The Company has adopted a Code of Business Conduct and Ethics for Employees, Officers and Directors that applies to all employees, officers and directors. The Company has made the Code of Business Conduct and Ethics for Employees, Officers and Directors available and intends to provide disclosure of any amendments or waivers of the code with respect to directors and executive officers within four business days after an amendment or waiver on its website, </w:t>
      </w:r>
      <w:r>
        <w:rPr>
          <w:rFonts w:ascii="Arial" w:cs="Arial" w:eastAsia="Arial" w:hAnsi="Arial"/>
          <w:sz w:val="18"/>
          <w:szCs w:val="18"/>
          <w:u w:val="single" w:color="auto"/>
          <w:color w:val="auto"/>
        </w:rPr>
        <w:t>www.genesco.com</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212" w:lineRule="exact"/>
        <w:rPr>
          <w:sz w:val="20"/>
          <w:szCs w:val="20"/>
          <w:color w:val="auto"/>
        </w:rPr>
      </w:pPr>
    </w:p>
    <w:p>
      <w:pPr>
        <w:ind w:firstLine="382"/>
        <w:spacing w:after="0" w:line="244" w:lineRule="auto"/>
        <w:rPr>
          <w:sz w:val="20"/>
          <w:szCs w:val="20"/>
          <w:color w:val="auto"/>
        </w:rPr>
      </w:pPr>
      <w:r>
        <w:rPr>
          <w:rFonts w:ascii="Arial" w:cs="Arial" w:eastAsia="Arial" w:hAnsi="Arial"/>
          <w:sz w:val="18"/>
          <w:szCs w:val="18"/>
          <w:color w:val="auto"/>
        </w:rPr>
        <w:t xml:space="preserve">The charters of the nominating and governance, compensation and audit committees, the Corporate Governance Guidelines and the Code of Business Conduct and Ethics for Employees, Officers and Directors are available on the Investor Relations section of the Company’s website, </w:t>
      </w:r>
      <w:r>
        <w:rPr>
          <w:rFonts w:ascii="Arial" w:cs="Arial" w:eastAsia="Arial" w:hAnsi="Arial"/>
          <w:sz w:val="18"/>
          <w:szCs w:val="18"/>
          <w:u w:val="single" w:color="auto"/>
          <w:color w:val="auto"/>
        </w:rPr>
        <w:t>www.genesco.com</w:t>
      </w:r>
      <w:r>
        <w:rPr>
          <w:rFonts w:ascii="Arial" w:cs="Arial" w:eastAsia="Arial" w:hAnsi="Arial"/>
          <w:sz w:val="18"/>
          <w:szCs w:val="18"/>
          <w:color w:val="auto"/>
        </w:rPr>
        <w:t>. All references to the Company’s website in this proxy statement are inactive textual references only. Print copies of these documents will be provided to any shareholder who sends a written request to the Corporate Secretary, Genesco Inc., 535 Marriott Drive, Nashville, Tennessee 37214.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OFFICERS, DIRECTORS AND</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212"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The following table sets forth the ownership, as known to the Company as of May 18, 2026 according to the most recent filings of Schedules 13G and 13D and amendments thereto, as applicable, by the beneficial owners which own beneficially more than 5% of the Company’s common stock. Percentages are calculated based on 11,103,175 outstanding shares as of May 18, 2026. None of such persons owns any equity securities of the Company other than common stock.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2"/>
        </w:trPr>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and Nature</w:t>
            </w: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2"/>
        </w:trPr>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of Beneficial</w:t>
            </w:r>
          </w:p>
        </w:tc>
        <w:tc>
          <w:tcPr>
            <w:tcW w:w="120" w:type="dxa"/>
            <w:vAlign w:val="bottom"/>
          </w:tcPr>
          <w:p>
            <w:pPr>
              <w:spacing w:after="0"/>
              <w:rPr>
                <w:sz w:val="14"/>
                <w:szCs w:val="14"/>
                <w:color w:val="auto"/>
              </w:rPr>
            </w:pPr>
          </w:p>
        </w:tc>
        <w:tc>
          <w:tcPr>
            <w:tcW w:w="1960" w:type="dxa"/>
            <w:vAlign w:val="bottom"/>
          </w:tcPr>
          <w:p>
            <w:pPr>
              <w:jc w:val="right"/>
              <w:ind w:right="568"/>
              <w:spacing w:after="0"/>
              <w:rPr>
                <w:sz w:val="20"/>
                <w:szCs w:val="20"/>
                <w:color w:val="auto"/>
              </w:rPr>
            </w:pPr>
            <w:r>
              <w:rPr>
                <w:rFonts w:ascii="Arial" w:cs="Arial" w:eastAsia="Arial" w:hAnsi="Arial"/>
                <w:sz w:val="14"/>
                <w:szCs w:val="14"/>
                <w:b w:val="1"/>
                <w:bCs w:val="1"/>
                <w:color w:val="auto"/>
              </w:rPr>
              <w:t>Percent of</w:t>
            </w:r>
          </w:p>
        </w:tc>
      </w:tr>
      <w:tr>
        <w:trPr>
          <w:trHeight w:val="171"/>
        </w:trPr>
        <w:tc>
          <w:tcPr>
            <w:tcW w:w="7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4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w:t>
            </w:r>
          </w:p>
        </w:tc>
        <w:tc>
          <w:tcPr>
            <w:tcW w:w="120" w:type="dxa"/>
            <w:vAlign w:val="bottom"/>
          </w:tcPr>
          <w:p>
            <w:pPr>
              <w:spacing w:after="0"/>
              <w:rPr>
                <w:sz w:val="14"/>
                <w:szCs w:val="14"/>
                <w:color w:val="auto"/>
              </w:rPr>
            </w:pPr>
          </w:p>
        </w:tc>
        <w:tc>
          <w:tcPr>
            <w:tcW w:w="19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Class</w:t>
            </w:r>
          </w:p>
        </w:tc>
      </w:tr>
      <w:tr>
        <w:trPr>
          <w:trHeight w:val="177"/>
        </w:trPr>
        <w:tc>
          <w:tcPr>
            <w:tcW w:w="714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Pzena Investment Management, LLC (1)</w:t>
            </w:r>
          </w:p>
        </w:tc>
        <w:tc>
          <w:tcPr>
            <w:tcW w:w="14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r>
      <w:tr>
        <w:trPr>
          <w:trHeight w:val="203"/>
        </w:trPr>
        <w:tc>
          <w:tcPr>
            <w:tcW w:w="71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320 Park Avenue, 8th Floor</w:t>
            </w:r>
          </w:p>
        </w:tc>
        <w:tc>
          <w:tcPr>
            <w:tcW w:w="14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r>
      <w:tr>
        <w:trPr>
          <w:trHeight w:val="221"/>
        </w:trPr>
        <w:tc>
          <w:tcPr>
            <w:tcW w:w="714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New York, New York 10022</w:t>
            </w:r>
          </w:p>
        </w:tc>
        <w:tc>
          <w:tcPr>
            <w:tcW w:w="202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1,100,898</w:t>
            </w:r>
          </w:p>
        </w:tc>
        <w:tc>
          <w:tcPr>
            <w:tcW w:w="20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9.9%</w:t>
            </w:r>
          </w:p>
        </w:tc>
      </w:tr>
      <w:tr>
        <w:trPr>
          <w:trHeight w:val="184"/>
        </w:trPr>
        <w:tc>
          <w:tcPr>
            <w:tcW w:w="7140" w:type="dxa"/>
            <w:vAlign w:val="bottom"/>
          </w:tcPr>
          <w:p>
            <w:pPr>
              <w:spacing w:after="0" w:line="183" w:lineRule="exact"/>
              <w:rPr>
                <w:sz w:val="20"/>
                <w:szCs w:val="20"/>
                <w:color w:val="auto"/>
              </w:rPr>
            </w:pPr>
            <w:r>
              <w:rPr>
                <w:rFonts w:ascii="Arial" w:cs="Arial" w:eastAsia="Arial" w:hAnsi="Arial"/>
                <w:sz w:val="18"/>
                <w:szCs w:val="18"/>
                <w:color w:val="auto"/>
              </w:rPr>
              <w:t>Bradley L. Radoff, Jumana Capital Investments and Christopher R. Martin (2)</w:t>
            </w: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03"/>
        </w:trPr>
        <w:tc>
          <w:tcPr>
            <w:tcW w:w="7140" w:type="dxa"/>
            <w:vAlign w:val="bottom"/>
          </w:tcPr>
          <w:p>
            <w:pPr>
              <w:ind w:left="80"/>
              <w:spacing w:after="0" w:line="202" w:lineRule="exact"/>
              <w:rPr>
                <w:sz w:val="20"/>
                <w:szCs w:val="20"/>
                <w:color w:val="auto"/>
              </w:rPr>
            </w:pPr>
            <w:r>
              <w:rPr>
                <w:rFonts w:ascii="Arial" w:cs="Arial" w:eastAsia="Arial" w:hAnsi="Arial"/>
                <w:sz w:val="18"/>
                <w:szCs w:val="18"/>
                <w:color w:val="auto"/>
              </w:rPr>
              <w:t>Bradley L. Radoff</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7140" w:type="dxa"/>
            <w:vAlign w:val="bottom"/>
          </w:tcPr>
          <w:p>
            <w:pPr>
              <w:ind w:left="80"/>
              <w:spacing w:after="0" w:line="202" w:lineRule="exact"/>
              <w:rPr>
                <w:sz w:val="20"/>
                <w:szCs w:val="20"/>
                <w:color w:val="auto"/>
              </w:rPr>
            </w:pPr>
            <w:r>
              <w:rPr>
                <w:rFonts w:ascii="Arial" w:cs="Arial" w:eastAsia="Arial" w:hAnsi="Arial"/>
                <w:sz w:val="18"/>
                <w:szCs w:val="18"/>
                <w:color w:val="auto"/>
              </w:rPr>
              <w:t>2727 Kirby Drive, Unit 29L</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7140" w:type="dxa"/>
            <w:vAlign w:val="bottom"/>
          </w:tcPr>
          <w:p>
            <w:pPr>
              <w:ind w:left="80"/>
              <w:spacing w:after="0" w:line="202" w:lineRule="exact"/>
              <w:rPr>
                <w:sz w:val="20"/>
                <w:szCs w:val="20"/>
                <w:color w:val="auto"/>
              </w:rPr>
            </w:pPr>
            <w:r>
              <w:rPr>
                <w:rFonts w:ascii="Arial" w:cs="Arial" w:eastAsia="Arial" w:hAnsi="Arial"/>
                <w:sz w:val="18"/>
                <w:szCs w:val="18"/>
                <w:color w:val="auto"/>
              </w:rPr>
              <w:t>Houston, Texas 77098</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Jumana Capital Investments and Christopher R. Martin</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1717 St. James Place, Suite 335</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1"/>
        </w:trPr>
        <w:tc>
          <w:tcPr>
            <w:tcW w:w="7140" w:type="dxa"/>
            <w:vAlign w:val="bottom"/>
          </w:tcPr>
          <w:p>
            <w:pPr>
              <w:spacing w:after="0"/>
              <w:rPr>
                <w:sz w:val="20"/>
                <w:szCs w:val="20"/>
                <w:color w:val="auto"/>
              </w:rPr>
            </w:pPr>
            <w:r>
              <w:rPr>
                <w:rFonts w:ascii="Arial" w:cs="Arial" w:eastAsia="Arial" w:hAnsi="Arial"/>
                <w:sz w:val="18"/>
                <w:szCs w:val="18"/>
                <w:color w:val="auto"/>
              </w:rPr>
              <w:t>Houston, Texas 77056</w:t>
            </w:r>
          </w:p>
        </w:tc>
        <w:tc>
          <w:tcPr>
            <w:tcW w:w="2020" w:type="dxa"/>
            <w:vAlign w:val="bottom"/>
            <w:gridSpan w:val="2"/>
          </w:tcPr>
          <w:p>
            <w:pPr>
              <w:jc w:val="right"/>
              <w:ind w:right="308"/>
              <w:spacing w:after="0"/>
              <w:rPr>
                <w:sz w:val="20"/>
                <w:szCs w:val="20"/>
                <w:color w:val="auto"/>
              </w:rPr>
            </w:pPr>
            <w:r>
              <w:rPr>
                <w:rFonts w:ascii="Arial" w:cs="Arial" w:eastAsia="Arial" w:hAnsi="Arial"/>
                <w:sz w:val="18"/>
                <w:szCs w:val="18"/>
                <w:color w:val="auto"/>
              </w:rPr>
              <w:t>875,000</w:t>
            </w:r>
          </w:p>
        </w:tc>
        <w:tc>
          <w:tcPr>
            <w:tcW w:w="2080" w:type="dxa"/>
            <w:vAlign w:val="bottom"/>
            <w:gridSpan w:val="2"/>
          </w:tcPr>
          <w:p>
            <w:pPr>
              <w:jc w:val="right"/>
              <w:ind w:right="208"/>
              <w:spacing w:after="0"/>
              <w:rPr>
                <w:sz w:val="20"/>
                <w:szCs w:val="20"/>
                <w:color w:val="auto"/>
              </w:rPr>
            </w:pPr>
            <w:r>
              <w:rPr>
                <w:rFonts w:ascii="Arial" w:cs="Arial" w:eastAsia="Arial" w:hAnsi="Arial"/>
                <w:sz w:val="18"/>
                <w:szCs w:val="18"/>
                <w:color w:val="auto"/>
              </w:rPr>
              <w:t>7.9%</w:t>
            </w:r>
          </w:p>
        </w:tc>
      </w:tr>
      <w:tr>
        <w:trPr>
          <w:trHeight w:val="184"/>
        </w:trPr>
        <w:tc>
          <w:tcPr>
            <w:tcW w:w="71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BlackRock, Inc. (3)</w:t>
            </w:r>
          </w:p>
        </w:tc>
        <w:tc>
          <w:tcPr>
            <w:tcW w:w="14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r>
      <w:tr>
        <w:trPr>
          <w:trHeight w:val="203"/>
        </w:trPr>
        <w:tc>
          <w:tcPr>
            <w:tcW w:w="71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50 Hudson Yards</w:t>
            </w:r>
          </w:p>
        </w:tc>
        <w:tc>
          <w:tcPr>
            <w:tcW w:w="14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r>
      <w:tr>
        <w:trPr>
          <w:trHeight w:val="221"/>
        </w:trPr>
        <w:tc>
          <w:tcPr>
            <w:tcW w:w="714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New York, New York 10001</w:t>
            </w:r>
          </w:p>
        </w:tc>
        <w:tc>
          <w:tcPr>
            <w:tcW w:w="202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858,377</w:t>
            </w:r>
          </w:p>
        </w:tc>
        <w:tc>
          <w:tcPr>
            <w:tcW w:w="20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7.7%</w:t>
            </w:r>
          </w:p>
        </w:tc>
      </w:tr>
      <w:tr>
        <w:trPr>
          <w:trHeight w:val="184"/>
        </w:trPr>
        <w:tc>
          <w:tcPr>
            <w:tcW w:w="7140" w:type="dxa"/>
            <w:vAlign w:val="bottom"/>
          </w:tcPr>
          <w:p>
            <w:pPr>
              <w:spacing w:after="0" w:line="183" w:lineRule="exact"/>
              <w:rPr>
                <w:sz w:val="20"/>
                <w:szCs w:val="20"/>
                <w:color w:val="auto"/>
              </w:rPr>
            </w:pPr>
            <w:r>
              <w:rPr>
                <w:rFonts w:ascii="Arial" w:cs="Arial" w:eastAsia="Arial" w:hAnsi="Arial"/>
                <w:sz w:val="18"/>
                <w:szCs w:val="18"/>
                <w:color w:val="auto"/>
              </w:rPr>
              <w:t>Dimensional Fund Advisors LP (4)</w:t>
            </w: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Building One, 6300 Bee Cave Road</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9"/>
        </w:trPr>
        <w:tc>
          <w:tcPr>
            <w:tcW w:w="7140" w:type="dxa"/>
            <w:vAlign w:val="bottom"/>
          </w:tcPr>
          <w:p>
            <w:pPr>
              <w:spacing w:after="0"/>
              <w:rPr>
                <w:sz w:val="20"/>
                <w:szCs w:val="20"/>
                <w:color w:val="auto"/>
              </w:rPr>
            </w:pPr>
            <w:r>
              <w:rPr>
                <w:rFonts w:ascii="Arial" w:cs="Arial" w:eastAsia="Arial" w:hAnsi="Arial"/>
                <w:sz w:val="18"/>
                <w:szCs w:val="18"/>
                <w:color w:val="auto"/>
              </w:rPr>
              <w:t>Austin, Texas 78746</w:t>
            </w:r>
          </w:p>
        </w:tc>
        <w:tc>
          <w:tcPr>
            <w:tcW w:w="2020" w:type="dxa"/>
            <w:vAlign w:val="bottom"/>
            <w:gridSpan w:val="2"/>
          </w:tcPr>
          <w:p>
            <w:pPr>
              <w:jc w:val="right"/>
              <w:ind w:right="308"/>
              <w:spacing w:after="0"/>
              <w:rPr>
                <w:sz w:val="20"/>
                <w:szCs w:val="20"/>
                <w:color w:val="auto"/>
              </w:rPr>
            </w:pPr>
            <w:r>
              <w:rPr>
                <w:rFonts w:ascii="Arial" w:cs="Arial" w:eastAsia="Arial" w:hAnsi="Arial"/>
                <w:sz w:val="18"/>
                <w:szCs w:val="18"/>
                <w:color w:val="auto"/>
              </w:rPr>
              <w:t>715,076</w:t>
            </w:r>
          </w:p>
        </w:tc>
        <w:tc>
          <w:tcPr>
            <w:tcW w:w="2080" w:type="dxa"/>
            <w:vAlign w:val="bottom"/>
            <w:gridSpan w:val="2"/>
          </w:tcPr>
          <w:p>
            <w:pPr>
              <w:jc w:val="right"/>
              <w:ind w:right="208"/>
              <w:spacing w:after="0"/>
              <w:rPr>
                <w:sz w:val="20"/>
                <w:szCs w:val="20"/>
                <w:color w:val="auto"/>
              </w:rPr>
            </w:pPr>
            <w:r>
              <w:rPr>
                <w:rFonts w:ascii="Arial" w:cs="Arial" w:eastAsia="Arial" w:hAnsi="Arial"/>
                <w:sz w:val="18"/>
                <w:szCs w:val="18"/>
                <w:color w:val="auto"/>
              </w:rPr>
              <w:t>6.4%</w:t>
            </w:r>
          </w:p>
        </w:tc>
      </w:tr>
    </w:tbl>
    <w:p>
      <w:pPr>
        <w:spacing w:after="0" w:line="126" w:lineRule="exact"/>
        <w:rPr>
          <w:sz w:val="20"/>
          <w:szCs w:val="20"/>
          <w:color w:val="auto"/>
        </w:rPr>
      </w:pPr>
    </w:p>
    <w:p>
      <w:pPr>
        <w:ind w:left="520" w:right="500" w:hanging="512"/>
        <w:spacing w:after="0" w:line="27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a Schedule 13G/A filed May 5, 2026, showing sole voting power with respect to 778,551 shares and sole dispositive power with respect to 1,100,898 shares.</w:t>
      </w:r>
    </w:p>
    <w:p>
      <w:pPr>
        <w:spacing w:after="0" w:line="45" w:lineRule="exact"/>
        <w:rPr>
          <w:rFonts w:ascii="Arial" w:cs="Arial" w:eastAsia="Arial" w:hAnsi="Arial"/>
          <w:sz w:val="18"/>
          <w:szCs w:val="18"/>
          <w:color w:val="auto"/>
        </w:rPr>
      </w:pPr>
    </w:p>
    <w:p>
      <w:pPr>
        <w:ind w:left="520" w:right="20" w:hanging="512"/>
        <w:spacing w:after="0" w:line="239"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a Schedule 13D/A filed April 27, 2026, by Bradley L. Radoff, Jumana Capital Investments LLC (“Jumana Capital”), and Christopher R. Martin, as a group. Mr. Radoff directly beneficially owns 420,000 shares, with sole voting power with respect to 420,000 shares and sole dispositive power with respect to 420,000 shares. Jumana Capital directly beneficially owns 455,000 shares, with shared voting power with respect to 455,000 shares and shared dispositive power with respect to 455,000 shares. Mr. Martin, as the Manager of Jumana Capital, may be deemed the beneficial owner of the 455,000 shares owned by Jumana Capital and maintains shared voting power with respect to 455,000 shares and shared dispositive power with respect to 455,000 shares. Each of Mr. Radoff, Jumana Capital and Mr. Martin may be deemed to be a member of a "group" for purposes of Section 13(d)(3) of the Securities Exchange Act of 1934, as amended, and such group may be deemed to beneficially own 875,000 shares in the aggregate. Each member of the group disclaims beneficial ownership of shares not directly owned.</w:t>
      </w:r>
    </w:p>
    <w:p>
      <w:pPr>
        <w:spacing w:after="0" w:line="75" w:lineRule="exact"/>
        <w:rPr>
          <w:rFonts w:ascii="Arial" w:cs="Arial" w:eastAsia="Arial" w:hAnsi="Arial"/>
          <w:sz w:val="18"/>
          <w:szCs w:val="18"/>
          <w:color w:val="auto"/>
        </w:rPr>
      </w:pPr>
    </w:p>
    <w:p>
      <w:pPr>
        <w:ind w:left="520" w:right="380" w:hanging="512"/>
        <w:spacing w:after="0" w:line="27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a Schedule 13G/A filed April 17, 2025, showing sole voting power with respect to 845,442 shares and sole dispositive power with respect to 858,377 shares.</w:t>
      </w:r>
    </w:p>
    <w:p>
      <w:pPr>
        <w:spacing w:after="0" w:line="45" w:lineRule="exact"/>
        <w:rPr>
          <w:rFonts w:ascii="Arial" w:cs="Arial" w:eastAsia="Arial" w:hAnsi="Arial"/>
          <w:sz w:val="18"/>
          <w:szCs w:val="18"/>
          <w:color w:val="auto"/>
        </w:rPr>
      </w:pPr>
    </w:p>
    <w:p>
      <w:pPr>
        <w:ind w:left="520" w:right="120" w:hanging="512"/>
        <w:spacing w:after="0" w:line="27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a Schedule 13G/A filed February 9, 2024, showing sole voting power with respect to 701,181 shares and sole dispositive power with respect to 715,076 shares.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Directors and Management</w:t>
      </w:r>
    </w:p>
    <w:p>
      <w:pPr>
        <w:spacing w:after="0" w:line="212"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The following table sets forth information as of May 18, 2026 regarding the beneficial ownership of the Company’s common stock by each of the Company’s directors, the persons required to be named in the Company’s summary compensation table appearing elsewhere in the proxy statement and the directors and executive officers as a group. None of such persons owns any equity securities of the Company other than common stock.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left="288"/>
              <w:spacing w:after="0"/>
              <w:rPr>
                <w:sz w:val="20"/>
                <w:szCs w:val="20"/>
                <w:color w:val="auto"/>
              </w:rPr>
            </w:pPr>
            <w:r>
              <w:rPr>
                <w:rFonts w:ascii="Arial" w:cs="Arial" w:eastAsia="Arial" w:hAnsi="Arial"/>
                <w:sz w:val="14"/>
                <w:szCs w:val="14"/>
                <w:b w:val="1"/>
                <w:bCs w:val="1"/>
                <w:color w:val="auto"/>
              </w:rPr>
              <w:t>Amount and</w:t>
            </w:r>
          </w:p>
        </w:tc>
        <w:tc>
          <w:tcPr>
            <w:tcW w:w="380" w:type="dxa"/>
            <w:vAlign w:val="bottom"/>
          </w:tcPr>
          <w:p>
            <w:pPr>
              <w:spacing w:after="0"/>
              <w:rPr>
                <w:sz w:val="14"/>
                <w:szCs w:val="14"/>
                <w:color w:val="auto"/>
              </w:rPr>
            </w:pPr>
          </w:p>
        </w:tc>
      </w:tr>
      <w:tr>
        <w:trPr>
          <w:trHeight w:val="162"/>
        </w:trPr>
        <w:tc>
          <w:tcPr>
            <w:tcW w:w="9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left="308"/>
              <w:spacing w:after="0"/>
              <w:rPr>
                <w:sz w:val="20"/>
                <w:szCs w:val="20"/>
                <w:color w:val="auto"/>
              </w:rPr>
            </w:pPr>
            <w:r>
              <w:rPr>
                <w:rFonts w:ascii="Arial" w:cs="Arial" w:eastAsia="Arial" w:hAnsi="Arial"/>
                <w:sz w:val="14"/>
                <w:szCs w:val="14"/>
                <w:b w:val="1"/>
                <w:bCs w:val="1"/>
                <w:color w:val="auto"/>
              </w:rPr>
              <w:t>Nature of</w:t>
            </w:r>
          </w:p>
        </w:tc>
        <w:tc>
          <w:tcPr>
            <w:tcW w:w="380" w:type="dxa"/>
            <w:vAlign w:val="bottom"/>
          </w:tcPr>
          <w:p>
            <w:pPr>
              <w:spacing w:after="0"/>
              <w:rPr>
                <w:sz w:val="14"/>
                <w:szCs w:val="14"/>
                <w:color w:val="auto"/>
              </w:rPr>
            </w:pPr>
          </w:p>
        </w:tc>
      </w:tr>
      <w:tr>
        <w:trPr>
          <w:trHeight w:val="162"/>
        </w:trPr>
        <w:tc>
          <w:tcPr>
            <w:tcW w:w="9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left="288"/>
              <w:spacing w:after="0"/>
              <w:rPr>
                <w:sz w:val="20"/>
                <w:szCs w:val="20"/>
                <w:color w:val="auto"/>
              </w:rPr>
            </w:pPr>
            <w:r>
              <w:rPr>
                <w:rFonts w:ascii="Arial" w:cs="Arial" w:eastAsia="Arial" w:hAnsi="Arial"/>
                <w:sz w:val="14"/>
                <w:szCs w:val="14"/>
                <w:b w:val="1"/>
                <w:bCs w:val="1"/>
                <w:color w:val="auto"/>
              </w:rPr>
              <w:t>Beneficial</w:t>
            </w:r>
          </w:p>
        </w:tc>
        <w:tc>
          <w:tcPr>
            <w:tcW w:w="380" w:type="dxa"/>
            <w:vAlign w:val="bottom"/>
          </w:tcPr>
          <w:p>
            <w:pPr>
              <w:spacing w:after="0"/>
              <w:rPr>
                <w:sz w:val="14"/>
                <w:szCs w:val="14"/>
                <w:color w:val="auto"/>
              </w:rPr>
            </w:pPr>
          </w:p>
        </w:tc>
      </w:tr>
      <w:tr>
        <w:trPr>
          <w:trHeight w:val="171"/>
        </w:trPr>
        <w:tc>
          <w:tcPr>
            <w:tcW w:w="9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220" w:type="dxa"/>
            <w:vAlign w:val="bottom"/>
          </w:tcPr>
          <w:p>
            <w:pPr>
              <w:spacing w:after="0"/>
              <w:rPr>
                <w:sz w:val="14"/>
                <w:szCs w:val="14"/>
                <w:color w:val="auto"/>
              </w:rPr>
            </w:pPr>
          </w:p>
        </w:tc>
        <w:tc>
          <w:tcPr>
            <w:tcW w:w="15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Ownership(1)(2)</w:t>
            </w:r>
          </w:p>
        </w:tc>
        <w:tc>
          <w:tcPr>
            <w:tcW w:w="380" w:type="dxa"/>
            <w:vAlign w:val="bottom"/>
            <w:tcBorders>
              <w:bottom w:val="single" w:sz="8" w:color="auto"/>
            </w:tcBorders>
          </w:tcPr>
          <w:p>
            <w:pPr>
              <w:spacing w:after="0"/>
              <w:rPr>
                <w:sz w:val="14"/>
                <w:szCs w:val="14"/>
                <w:color w:val="auto"/>
              </w:rPr>
            </w:pPr>
          </w:p>
        </w:tc>
      </w:tr>
      <w:tr>
        <w:trPr>
          <w:trHeight w:val="196"/>
        </w:trPr>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Joanna Barsh</w:t>
            </w:r>
          </w:p>
        </w:tc>
        <w:tc>
          <w:tcPr>
            <w:tcW w:w="178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45,897</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Matthew M. Bilunas</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15,101</w:t>
            </w:r>
          </w:p>
        </w:tc>
        <w:tc>
          <w:tcPr>
            <w:tcW w:w="380" w:type="dxa"/>
            <w:vAlign w:val="bottom"/>
          </w:tcPr>
          <w:p>
            <w:pPr>
              <w:spacing w:after="0"/>
              <w:rPr>
                <w:sz w:val="17"/>
                <w:szCs w:val="17"/>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Carolyn Bojanowski</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15,101</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John F. Lambros</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19,800</w:t>
            </w:r>
          </w:p>
        </w:tc>
        <w:tc>
          <w:tcPr>
            <w:tcW w:w="380" w:type="dxa"/>
            <w:vAlign w:val="bottom"/>
          </w:tcPr>
          <w:p>
            <w:pPr>
              <w:spacing w:after="0"/>
              <w:rPr>
                <w:sz w:val="17"/>
                <w:szCs w:val="17"/>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Thurgood Marshall, Jr.</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32,739</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Angel R. Martinez</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20,345</w:t>
            </w:r>
          </w:p>
        </w:tc>
        <w:tc>
          <w:tcPr>
            <w:tcW w:w="380" w:type="dxa"/>
            <w:vAlign w:val="bottom"/>
          </w:tcPr>
          <w:p>
            <w:pPr>
              <w:spacing w:after="0"/>
              <w:rPr>
                <w:sz w:val="17"/>
                <w:szCs w:val="17"/>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Mary E. Meixelsperger</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23,630</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Gregory A. Sandfort</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45,384</w:t>
            </w:r>
          </w:p>
        </w:tc>
        <w:tc>
          <w:tcPr>
            <w:tcW w:w="380" w:type="dxa"/>
            <w:vAlign w:val="bottom"/>
          </w:tcPr>
          <w:p>
            <w:pPr>
              <w:spacing w:after="0"/>
              <w:rPr>
                <w:sz w:val="17"/>
                <w:szCs w:val="17"/>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Mimi E. Vaughn</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450,328</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24,308</w:t>
            </w:r>
          </w:p>
        </w:tc>
        <w:tc>
          <w:tcPr>
            <w:tcW w:w="380" w:type="dxa"/>
            <w:vAlign w:val="bottom"/>
          </w:tcPr>
          <w:p>
            <w:pPr>
              <w:spacing w:after="0"/>
              <w:rPr>
                <w:sz w:val="17"/>
                <w:szCs w:val="17"/>
                <w:color w:val="auto"/>
              </w:rPr>
            </w:pPr>
          </w:p>
        </w:tc>
      </w:tr>
      <w:tr>
        <w:trPr>
          <w:trHeight w:val="202"/>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67,158</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97,997</w:t>
            </w:r>
          </w:p>
        </w:tc>
        <w:tc>
          <w:tcPr>
            <w:tcW w:w="380" w:type="dxa"/>
            <w:vAlign w:val="bottom"/>
          </w:tcPr>
          <w:p>
            <w:pPr>
              <w:spacing w:after="0"/>
              <w:rPr>
                <w:sz w:val="17"/>
                <w:szCs w:val="17"/>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87,371</w:t>
            </w:r>
          </w:p>
        </w:tc>
        <w:tc>
          <w:tcPr>
            <w:tcW w:w="380" w:type="dxa"/>
            <w:vAlign w:val="bottom"/>
            <w:shd w:val="clear" w:color="auto" w:fill="CCEEFF"/>
          </w:tcPr>
          <w:p>
            <w:pPr>
              <w:spacing w:after="0"/>
              <w:rPr>
                <w:sz w:val="17"/>
                <w:szCs w:val="17"/>
                <w:color w:val="auto"/>
              </w:rPr>
            </w:pPr>
          </w:p>
        </w:tc>
      </w:tr>
      <w:tr>
        <w:trPr>
          <w:trHeight w:val="239"/>
        </w:trPr>
        <w:tc>
          <w:tcPr>
            <w:tcW w:w="9080" w:type="dxa"/>
            <w:vAlign w:val="bottom"/>
          </w:tcPr>
          <w:p>
            <w:pPr>
              <w:spacing w:after="0"/>
              <w:rPr>
                <w:sz w:val="20"/>
                <w:szCs w:val="20"/>
                <w:color w:val="auto"/>
              </w:rPr>
            </w:pPr>
            <w:r>
              <w:rPr>
                <w:rFonts w:ascii="Arial" w:cs="Arial" w:eastAsia="Arial" w:hAnsi="Arial"/>
                <w:sz w:val="18"/>
                <w:szCs w:val="18"/>
                <w:color w:val="auto"/>
              </w:rPr>
              <w:t>Current Directors and Executive Officers as a Group (14 Persons)</w:t>
            </w:r>
          </w:p>
        </w:tc>
        <w:tc>
          <w:tcPr>
            <w:tcW w:w="1780" w:type="dxa"/>
            <w:vAlign w:val="bottom"/>
            <w:gridSpan w:val="2"/>
          </w:tcPr>
          <w:p>
            <w:pPr>
              <w:jc w:val="right"/>
              <w:ind w:right="8"/>
              <w:spacing w:after="0"/>
              <w:rPr>
                <w:sz w:val="20"/>
                <w:szCs w:val="20"/>
                <w:color w:val="auto"/>
              </w:rPr>
            </w:pPr>
            <w:r>
              <w:rPr>
                <w:rFonts w:ascii="Arial" w:cs="Arial" w:eastAsia="Arial" w:hAnsi="Arial"/>
                <w:sz w:val="18"/>
                <w:szCs w:val="18"/>
                <w:color w:val="auto"/>
              </w:rPr>
              <w:t>981,160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r>
    </w:tbl>
    <w:p>
      <w:pPr>
        <w:spacing w:after="0" w:line="107" w:lineRule="exact"/>
        <w:rPr>
          <w:sz w:val="20"/>
          <w:szCs w:val="20"/>
          <w:color w:val="auto"/>
        </w:rPr>
      </w:pPr>
    </w:p>
    <w:p>
      <w:pPr>
        <w:ind w:left="520" w:right="220" w:hanging="512"/>
        <w:spacing w:after="0" w:line="301"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director and officer owns less than 1% of the outstanding shares of the Company’s common stock, other than Mimi E. Vaughn, who owns approximately 4.1% of the Company’s common stock based on 11,103,175 outstanding shares as of May 18, 2026.</w:t>
      </w:r>
    </w:p>
    <w:p>
      <w:pPr>
        <w:spacing w:after="0" w:line="22" w:lineRule="exact"/>
        <w:rPr>
          <w:rFonts w:ascii="Arial" w:cs="Arial" w:eastAsia="Arial" w:hAnsi="Arial"/>
          <w:sz w:val="17"/>
          <w:szCs w:val="17"/>
          <w:color w:val="auto"/>
        </w:rPr>
      </w:pPr>
    </w:p>
    <w:p>
      <w:pPr>
        <w:ind w:left="520" w:right="80" w:hanging="512"/>
        <w:spacing w:after="0" w:line="24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are shown as beneficially owned if the person named in the table has or shares the power to vote or direct the voting of, or the power to dispose of, or direct the disposition of, such shares, which includes shares of restricted stock that remain subject to forfeiture or that vest within 60 days of May 18, 2026. See “Director Compensation” and “Executive Compensation — Summary Compensation Table” below.</w:t>
      </w:r>
    </w:p>
    <w:p>
      <w:pPr>
        <w:spacing w:after="0" w:line="65" w:lineRule="exact"/>
        <w:rPr>
          <w:rFonts w:ascii="Arial" w:cs="Arial" w:eastAsia="Arial" w:hAnsi="Arial"/>
          <w:sz w:val="18"/>
          <w:szCs w:val="18"/>
          <w:color w:val="auto"/>
        </w:rPr>
      </w:pPr>
    </w:p>
    <w:p>
      <w:pPr>
        <w:ind w:left="520" w:right="160" w:hanging="512"/>
        <w:spacing w:after="0" w:line="27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Constitutes approximately 8.8% of the outstanding shares of the Company’s common stock based on 11,103,175 outstanding shares as of May 18, 2026.</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and Executive Officer Ownership Guidelines</w:t>
      </w:r>
    </w:p>
    <w:p>
      <w:pPr>
        <w:spacing w:after="0" w:line="212" w:lineRule="exact"/>
        <w:rPr>
          <w:sz w:val="20"/>
          <w:szCs w:val="20"/>
          <w:color w:val="auto"/>
        </w:rPr>
      </w:pPr>
    </w:p>
    <w:p>
      <w:pPr>
        <w:ind w:right="240" w:firstLine="382"/>
        <w:spacing w:after="0" w:line="253" w:lineRule="auto"/>
        <w:rPr>
          <w:sz w:val="20"/>
          <w:szCs w:val="20"/>
          <w:color w:val="auto"/>
        </w:rPr>
      </w:pPr>
      <w:r>
        <w:rPr>
          <w:rFonts w:ascii="Arial" w:cs="Arial" w:eastAsia="Arial" w:hAnsi="Arial"/>
          <w:sz w:val="18"/>
          <w:szCs w:val="18"/>
          <w:color w:val="auto"/>
        </w:rPr>
        <w:t>The nominating and governance committee of the Board has adopted share ownership guidelines for directors and executive officers, including the named executive officers. The guidelines require that named executive officers hold at least the number of shares specified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38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60,000 shares</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Chief Operating Officer (if applicable)</w:t>
            </w:r>
          </w:p>
        </w:tc>
        <w:tc>
          <w:tcPr>
            <w:tcW w:w="3880" w:type="dxa"/>
            <w:vAlign w:val="bottom"/>
          </w:tcPr>
          <w:p>
            <w:pPr>
              <w:ind w:left="2360"/>
              <w:spacing w:after="0" w:line="202" w:lineRule="exact"/>
              <w:rPr>
                <w:sz w:val="20"/>
                <w:szCs w:val="20"/>
                <w:color w:val="auto"/>
              </w:rPr>
            </w:pPr>
            <w:r>
              <w:rPr>
                <w:rFonts w:ascii="Arial" w:cs="Arial" w:eastAsia="Arial" w:hAnsi="Arial"/>
                <w:sz w:val="18"/>
                <w:szCs w:val="18"/>
                <w:color w:val="auto"/>
              </w:rPr>
              <w:t>30,000 shares</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Financial Officer and Operational Senior Vice Presidents</w:t>
            </w:r>
          </w:p>
        </w:tc>
        <w:tc>
          <w:tcPr>
            <w:tcW w:w="3880" w:type="dxa"/>
            <w:vAlign w:val="bottom"/>
            <w:shd w:val="clear" w:color="auto" w:fill="CCEEFF"/>
          </w:tcPr>
          <w:p>
            <w:pPr>
              <w:ind w:left="2360"/>
              <w:spacing w:after="0" w:line="202" w:lineRule="exact"/>
              <w:rPr>
                <w:sz w:val="20"/>
                <w:szCs w:val="20"/>
                <w:color w:val="auto"/>
              </w:rPr>
            </w:pPr>
            <w:r>
              <w:rPr>
                <w:rFonts w:ascii="Arial" w:cs="Arial" w:eastAsia="Arial" w:hAnsi="Arial"/>
                <w:sz w:val="18"/>
                <w:szCs w:val="18"/>
                <w:color w:val="auto"/>
              </w:rPr>
              <w:t>20,000 shares</w:t>
            </w: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auto"/>
              </w:rPr>
              <w:t>Other Senior Vice Presidents</w:t>
            </w:r>
          </w:p>
        </w:tc>
        <w:tc>
          <w:tcPr>
            <w:tcW w:w="3880" w:type="dxa"/>
            <w:vAlign w:val="bottom"/>
          </w:tcPr>
          <w:p>
            <w:pPr>
              <w:ind w:left="2360"/>
              <w:spacing w:after="0"/>
              <w:rPr>
                <w:sz w:val="20"/>
                <w:szCs w:val="20"/>
                <w:color w:val="auto"/>
              </w:rPr>
            </w:pPr>
            <w:r>
              <w:rPr>
                <w:rFonts w:ascii="Arial" w:cs="Arial" w:eastAsia="Arial" w:hAnsi="Arial"/>
                <w:sz w:val="18"/>
                <w:szCs w:val="18"/>
                <w:color w:val="auto"/>
              </w:rPr>
              <w:t>15,000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382"/>
        <w:spacing w:after="0" w:line="244" w:lineRule="auto"/>
        <w:rPr>
          <w:sz w:val="20"/>
          <w:szCs w:val="20"/>
          <w:color w:val="auto"/>
        </w:rPr>
      </w:pPr>
      <w:r>
        <w:rPr>
          <w:rFonts w:ascii="Arial" w:cs="Arial" w:eastAsia="Arial" w:hAnsi="Arial"/>
          <w:sz w:val="18"/>
          <w:szCs w:val="18"/>
          <w:color w:val="auto"/>
        </w:rPr>
        <w:t>The guidelines allow covered executives up to five years from their appointment dates to comply with the guidelines. All executive officers complied with the guidelines through Fiscal 2026 or were within the five year window to achieve compliance. Restricted stock grants may be used to satisfy the guidelines, consistent with the intent that such awards align executive officers’ interests with those of shareholders. The value of unearned performance-vested equity awards and the “in-the-money” value of unexercised stock options do not count toward achievement of the guidelines.</w:t>
      </w:r>
    </w:p>
    <w:p>
      <w:pPr>
        <w:spacing w:after="0" w:line="176" w:lineRule="exact"/>
        <w:rPr>
          <w:sz w:val="20"/>
          <w:szCs w:val="20"/>
          <w:color w:val="auto"/>
        </w:rPr>
      </w:pPr>
    </w:p>
    <w:p>
      <w:pPr>
        <w:ind w:right="60" w:firstLine="382"/>
        <w:spacing w:after="0" w:line="253" w:lineRule="auto"/>
        <w:rPr>
          <w:sz w:val="20"/>
          <w:szCs w:val="20"/>
          <w:color w:val="auto"/>
        </w:rPr>
      </w:pPr>
      <w:r>
        <w:rPr>
          <w:rFonts w:ascii="Arial" w:cs="Arial" w:eastAsia="Arial" w:hAnsi="Arial"/>
          <w:sz w:val="18"/>
          <w:szCs w:val="18"/>
          <w:color w:val="auto"/>
        </w:rPr>
        <w:t>The guidelines require that non -employee directors hold a number of shares equal to five times their annual cash retainer. Directors are expected to achieve that ownership within five years of the director’s election to the Board. All non-employee directors have complied with the ownership guidelines or are within the five year window to achieve compliance.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 for Directors and Officers</w:t>
      </w:r>
    </w:p>
    <w:p>
      <w:pPr>
        <w:spacing w:after="0" w:line="212"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The Board has adopted a policy prohibiting hedging against future declines in the market value of the Company’s securities by directors and officers of the Company. This policy prohibits directors and officers from directly or indirectly engaging in any hedging transaction that eliminates or limits economic risk with respect to the director’s or officer’s interest in the Company’s securities, including any compensation awards the value of which are derived from, referenced to or based on the value or market price of the Company’s securities. The policy reflects the Board’s judgment that hedging transactions decrease alignment between the interests of the officers and directors and those of the shareholders, undermining the objectives underlying stock-based compensation and the share ownership policy for officers and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212" w:lineRule="exact"/>
        <w:rPr>
          <w:sz w:val="20"/>
          <w:szCs w:val="20"/>
          <w:color w:val="auto"/>
        </w:rPr>
      </w:pPr>
    </w:p>
    <w:p>
      <w:pPr>
        <w:ind w:right="120" w:firstLine="382"/>
        <w:spacing w:after="0" w:line="244" w:lineRule="auto"/>
        <w:rPr>
          <w:sz w:val="20"/>
          <w:szCs w:val="20"/>
          <w:color w:val="auto"/>
        </w:rPr>
      </w:pPr>
      <w:r>
        <w:rPr>
          <w:rFonts w:ascii="Arial" w:cs="Arial" w:eastAsia="Arial" w:hAnsi="Arial"/>
          <w:sz w:val="18"/>
          <w:szCs w:val="18"/>
          <w:color w:val="auto"/>
        </w:rPr>
        <w:t>The Company has insider trading policies and procedures that govern the purchase, sale and other dispositions of its securities by directors, officers, employees and the Company (the “Insider Trading Policy”). We believe the Insider Trading Policy is reasonably designed to promote compliance with insider trading laws, rules and regulations and applicable listing standards. The foregoing is a summary of our insider trading policies and procedures and does not purport to be complete and is qualified by reference to our Insider Trading Policy incorporated by reference in the Fiscal 2026 Annual Report on Form 10-K (the “2026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12" w:lineRule="exact"/>
        <w:rPr>
          <w:sz w:val="20"/>
          <w:szCs w:val="20"/>
          <w:color w:val="auto"/>
        </w:rPr>
      </w:pPr>
    </w:p>
    <w:p>
      <w:pPr>
        <w:ind w:right="60" w:firstLine="382"/>
        <w:spacing w:after="0" w:line="244" w:lineRule="auto"/>
        <w:rPr>
          <w:sz w:val="20"/>
          <w:szCs w:val="20"/>
          <w:color w:val="auto"/>
        </w:rPr>
      </w:pPr>
      <w:r>
        <w:rPr>
          <w:rFonts w:ascii="Arial" w:cs="Arial" w:eastAsia="Arial" w:hAnsi="Arial"/>
          <w:sz w:val="18"/>
          <w:szCs w:val="18"/>
          <w:color w:val="auto"/>
        </w:rPr>
        <w:t>Section 16(a) of the Exchange Act requires our directors, certain of our officers and persons who beneficially own more than 10% of the Company’s common stock to file with the SEC reports of stock ownership and changes in ownership (Forms 3, 4 and 5) in shares of our common stock. Based solely upon a review of copies of Forms 3, 4 and 5 for the fiscal year ended January 31, 2026, we believe that all our executive officers, directors, greater than 10% beneficial owners and other Section 16 officers complied with all filing requirements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2026 Summary Results</w:t>
      </w:r>
    </w:p>
    <w:p>
      <w:pPr>
        <w:spacing w:after="0" w:line="212"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The Company embraces a pay-for performance philosophy, and the compensation of the named executive officers for Fiscal 2026 was directly aligned with the Company’s financial performance. Journeys’ business improved significantly as a result of the strategic initiatives the Company implemented during Fiscal 2026. The Company’s net sales grew 4.8% in Fiscal 2026 with a 6% increase in comparable sales, including a 6% increase in same store sales and a 4% increase in comparable e-commerce sales. The Company has also made substantial progress in realigning its cost base. Consistent with our Fiscal 2026 performance and pay for performance philosophy, the named executive officers in the Corporate and Journeys Group business units earned bonus payments under the Company’s Fourth Amended and Restated EVA Plan (the “EVA Plan”) for the year. Payouts to the named executive officers in the Corporate business unit and Journeys Group business unit were at 51% of target and 166% of target, respectively. No PSUs from the Fiscal 2024 grant were earned for any of the Company's named executive officers as a result of performance over the three-year performance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212" w:lineRule="exact"/>
        <w:rPr>
          <w:sz w:val="20"/>
          <w:szCs w:val="20"/>
          <w:color w:val="auto"/>
        </w:rPr>
      </w:pPr>
    </w:p>
    <w:p>
      <w:pPr>
        <w:ind w:right="40" w:firstLine="382"/>
        <w:spacing w:after="0" w:line="239" w:lineRule="auto"/>
        <w:rPr>
          <w:sz w:val="20"/>
          <w:szCs w:val="20"/>
          <w:color w:val="auto"/>
        </w:rPr>
      </w:pPr>
      <w:r>
        <w:rPr>
          <w:rFonts w:ascii="Arial" w:cs="Arial" w:eastAsia="Arial" w:hAnsi="Arial"/>
          <w:sz w:val="18"/>
          <w:szCs w:val="18"/>
          <w:color w:val="auto"/>
        </w:rPr>
        <w:t>Genesco’s compensation programs are intended to attract and retain employees with skills necessary to enable the Company to achieve its financial and strategic objectives and to motivate them through the use of appropriate incentives tied to the Company’s performance and market value to achieve those objectives. The Company recognizes that the goals of employee attraction, retention and motivation must be balanced against the necessity of controlling compensation expense, with the ultimate objective of building shareholder value. With respect to senior management (executive officers and heads of the Company’s operating units and staff departments, including the principal executive officer, the principal financial officer and the additional officers listed in the Summary Compensation Table which follows this discussion, who are referred to in this discussion as the “named executive officers”), the compensation committee of the Board (the “compensation committee”) has the responsibility to design a compensation program and set levels of compensation that attempt to achieve the optimal balance between employee attraction, retention and motivation, on the one hand, and control of compensation expense, on the other.</w:t>
      </w:r>
    </w:p>
    <w:p>
      <w:pPr>
        <w:spacing w:after="0" w:line="180" w:lineRule="exact"/>
        <w:rPr>
          <w:sz w:val="20"/>
          <w:szCs w:val="20"/>
          <w:color w:val="auto"/>
        </w:rPr>
      </w:pPr>
    </w:p>
    <w:p>
      <w:pPr>
        <w:ind w:right="80" w:firstLine="382"/>
        <w:spacing w:after="0" w:line="271" w:lineRule="auto"/>
        <w:rPr>
          <w:sz w:val="20"/>
          <w:szCs w:val="20"/>
          <w:color w:val="auto"/>
        </w:rPr>
      </w:pPr>
      <w:r>
        <w:rPr>
          <w:rFonts w:ascii="Arial" w:cs="Arial" w:eastAsia="Arial" w:hAnsi="Arial"/>
          <w:sz w:val="18"/>
          <w:szCs w:val="18"/>
          <w:color w:val="auto"/>
        </w:rPr>
        <w:t>This Compensation Discussion and Analysis describes our executive compensation programs for Fiscal 2026 named executive officers who were:</w:t>
      </w:r>
    </w:p>
    <w:p>
      <w:pPr>
        <w:spacing w:after="0" w:line="154" w:lineRule="exact"/>
        <w:rPr>
          <w:sz w:val="20"/>
          <w:szCs w:val="20"/>
          <w:color w:val="auto"/>
        </w:rPr>
      </w:pPr>
    </w:p>
    <w:p>
      <w:pPr>
        <w:ind w:left="800" w:hanging="40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Mimi E. Vaughn, chair of the Board, president and chief executive officer, interim chief financial officer;</w:t>
      </w:r>
    </w:p>
    <w:p>
      <w:pPr>
        <w:spacing w:after="0" w:line="211" w:lineRule="exact"/>
        <w:rPr>
          <w:rFonts w:ascii="Arial" w:cs="Arial" w:eastAsia="Arial" w:hAnsi="Arial"/>
          <w:sz w:val="18"/>
          <w:szCs w:val="18"/>
          <w:color w:val="auto"/>
        </w:rPr>
      </w:pPr>
    </w:p>
    <w:p>
      <w:pPr>
        <w:ind w:left="760" w:right="180" w:hanging="365"/>
        <w:spacing w:after="0" w:line="253" w:lineRule="auto"/>
        <w:tabs>
          <w:tab w:leader="none" w:pos="799"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Cassandra E. Harris, former senior vice president—finance and chief financial officer of the Company. See “Compensation Discussion and Analysis—Other Compensation—Change of Control Arrangements, Severance Plans and Arrangements with Mr. Gray and Ms. Harris” for a description of the termination-related arrangements with Ms. Harris;</w:t>
      </w:r>
    </w:p>
    <w:p>
      <w:pPr>
        <w:spacing w:after="0" w:line="168" w:lineRule="exact"/>
        <w:rPr>
          <w:rFonts w:ascii="Arial" w:cs="Arial" w:eastAsia="Arial" w:hAnsi="Arial"/>
          <w:sz w:val="18"/>
          <w:szCs w:val="18"/>
          <w:color w:val="auto"/>
        </w:rPr>
      </w:pPr>
    </w:p>
    <w:p>
      <w:pPr>
        <w:ind w:left="800" w:hanging="40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Scott E. Becker, senior vice president, general counsel and corporate secretary;</w:t>
      </w:r>
    </w:p>
    <w:p>
      <w:pPr>
        <w:spacing w:after="0" w:line="211" w:lineRule="exact"/>
        <w:rPr>
          <w:rFonts w:ascii="Arial" w:cs="Arial" w:eastAsia="Arial" w:hAnsi="Arial"/>
          <w:sz w:val="18"/>
          <w:szCs w:val="18"/>
          <w:color w:val="auto"/>
        </w:rPr>
      </w:pPr>
    </w:p>
    <w:p>
      <w:pPr>
        <w:ind w:left="800" w:hanging="40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Parag D. Desai, senior vice president—chief strategy and digital officer; and</w:t>
      </w:r>
    </w:p>
    <w:p>
      <w:pPr>
        <w:spacing w:after="0" w:line="211" w:lineRule="exact"/>
        <w:rPr>
          <w:rFonts w:ascii="Arial" w:cs="Arial" w:eastAsia="Arial" w:hAnsi="Arial"/>
          <w:sz w:val="18"/>
          <w:szCs w:val="18"/>
          <w:color w:val="auto"/>
        </w:rPr>
      </w:pPr>
    </w:p>
    <w:p>
      <w:pPr>
        <w:ind w:left="800" w:hanging="40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Andrew I. Gray, senior vice president of the Company and chief executive officer, Journeys Global Retail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2025 Say on Pay Vote and Shareholder Engagement</w:t>
      </w:r>
    </w:p>
    <w:p>
      <w:pPr>
        <w:spacing w:after="0" w:line="212" w:lineRule="exact"/>
        <w:rPr>
          <w:sz w:val="20"/>
          <w:szCs w:val="20"/>
          <w:color w:val="auto"/>
        </w:rPr>
      </w:pPr>
    </w:p>
    <w:p>
      <w:pPr>
        <w:ind w:right="20" w:firstLine="382"/>
        <w:spacing w:after="0"/>
        <w:rPr>
          <w:sz w:val="20"/>
          <w:szCs w:val="20"/>
          <w:color w:val="auto"/>
        </w:rPr>
      </w:pPr>
      <w:r>
        <w:rPr>
          <w:rFonts w:ascii="Arial" w:cs="Arial" w:eastAsia="Arial" w:hAnsi="Arial"/>
          <w:sz w:val="18"/>
          <w:szCs w:val="18"/>
          <w:color w:val="auto"/>
        </w:rPr>
        <w:t>In Fiscal 2026, the Company continued its robust and ongoing shareholder engagement program. At the annual meeting of shareholders in 2025, the compensation of the named executive officers of the Company was submitted for a non-binding, advisory “say on pay” vote by shareholders. Approximately 88.0% of the votes cast were voted in favor of the compensation paid to the named executive officers. While no changes were made to the program as a result of the shareholder vote, the compensation committee considered and expects to continue to consider shareholder views on compensation philosophy and implementation as expressed in the most recent “say on pay” vote when setting compensation. The compensation committee’s focus is on motivating employees to achieve the Company’s long-term financial and strategic objectives, making changes to the compensation program if appropriate to continue to align with long-term strategy to create shareholder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Changes beginning in Fiscal 2024</w:t>
      </w:r>
    </w:p>
    <w:p>
      <w:pPr>
        <w:spacing w:after="0" w:line="212"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The Company’s executive compensation program is designed to attract, retain, and motivate top-level talent who possess the skills and leadership necessary to grow the business and enable long-term value creation. To ensure that management’s interests are aligned with those of the Company’s shareholders and to motivate and reward individual initiative and effort, the Company’s executive compensation program emphasizes a pay-for-performance compensation philosophy so that attainment of Company and individual performance goals are rewarded. The compensation committee annually reviews and analyzes market trends (including compensation market data from an approved peer group of companies) and adjusts the design and operation of the Company’s executive compensation program from time to time as it deems appropriate. While the compensation committee’s compensation philosophy remains unchanged, in connection with its review of the compensation program in Fiscal 2023, the compensation committee determined that it was in the best interests of the Company and its shareholders to make certain modifications to the program for Fiscal 2024. Based on the compensation committee’s analysis, with the input of its compensation consultant and other outside advisors, as well as feedback from shareholders, the compensation committee determined to simplify the EVA Plan and introduce a new component of its long-term equity-based incentive program by making grants of performance-based restricted share units (“PSUs”) to senior management, including the named executive officers, as described in more detail below.</w:t>
      </w:r>
    </w:p>
    <w:p>
      <w:pPr>
        <w:spacing w:after="0" w:line="180" w:lineRule="exact"/>
        <w:rPr>
          <w:sz w:val="20"/>
          <w:szCs w:val="20"/>
          <w:color w:val="auto"/>
        </w:rPr>
      </w:pPr>
    </w:p>
    <w:p>
      <w:pPr>
        <w:ind w:right="80" w:firstLine="382"/>
        <w:spacing w:after="0"/>
        <w:rPr>
          <w:sz w:val="20"/>
          <w:szCs w:val="20"/>
          <w:color w:val="auto"/>
        </w:rPr>
      </w:pPr>
      <w:r>
        <w:rPr>
          <w:rFonts w:ascii="Arial" w:cs="Arial" w:eastAsia="Arial" w:hAnsi="Arial"/>
          <w:sz w:val="18"/>
          <w:szCs w:val="18"/>
          <w:color w:val="auto"/>
        </w:rPr>
        <w:t>The compensation committee made several changes to the EVA Plan aimed at reducing the volatility, providing a cap on payouts and minimizing perceived complexity in the EVA Plan. In furtherance of those goals, in March 2023, the compensation committee adopted the Fourth Amended and Restated EVA Incentive Compensation Plan to, among other things, (i) simplify target setting, (ii) reduce payout curve leverage to reduce payout volatility, (iii) provide that only zero or positive bonuses can be earned, (iv) eliminate contributions to bonus banks (negative or positive) beginning in Fiscal 2024 and phase out bonus banks entirely by the end of Fiscal 2026, and (v) cap bonuses at three times target. The amended plan also establishes certain transitional rules for bonus banks existing at Fiscal 2023 year end as such bonus banks are phased out. These transitional rules require the repayment of any legacy negative bonus bank over Fiscal 2024, 2025 and 2026 consistent with the EVA Plan’s historical banking provisions.</w:t>
      </w:r>
    </w:p>
    <w:p>
      <w:pPr>
        <w:spacing w:after="0" w:line="180" w:lineRule="exact"/>
        <w:rPr>
          <w:sz w:val="20"/>
          <w:szCs w:val="20"/>
          <w:color w:val="auto"/>
        </w:rPr>
      </w:pPr>
    </w:p>
    <w:p>
      <w:pPr>
        <w:ind w:right="80" w:firstLine="382"/>
        <w:spacing w:after="0" w:line="238" w:lineRule="auto"/>
        <w:rPr>
          <w:sz w:val="20"/>
          <w:szCs w:val="20"/>
          <w:color w:val="auto"/>
        </w:rPr>
      </w:pPr>
      <w:r>
        <w:rPr>
          <w:rFonts w:ascii="Arial" w:cs="Arial" w:eastAsia="Arial" w:hAnsi="Arial"/>
          <w:sz w:val="18"/>
          <w:szCs w:val="18"/>
          <w:color w:val="auto"/>
        </w:rPr>
        <w:t>In addition, to align Genesco’s long-term incentive plan with typical market practice and shift leverage from the EVA Plan to equity, beginning in Fiscal 2024, members of senior management received 50% of their annual long-term incentive grant value in the form of PSUs. Awards of PSUs made in Fiscal 2024, with performance targets that were based on cumulative adjusted operating income, were not earned by the named executive officers in the Corporate and Journeys Group business units as a result of performance during the three-year performance period. For awards made in Fiscal 2025, the performance targets were based on adjusted operating income by business unit over a one-year period ended February 1, 2025. The named executive officers in the Corporate business unit, except Ms. Harris, earned</w:t>
      </w:r>
    </w:p>
    <w:p>
      <w:pPr>
        <w:spacing w:after="0" w:line="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76.3% of PSUs granted in Fiscal 2025 as a result of the one-year performance period. The named executive officer in the Journeys Group business unit earned 190.4% of PSUs granted in Fiscal 2025 as a result of the one-year performance period. Fifty percent of the earned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vested on February 1, 2026, and the remaining 50% will vest on February 1, 2027, subject in each case to continued employment. The compensation committee determined to use a one-year performance period in Fiscal 2025 as a result of industry volatility and the lack of multi-year forecasting visibility. For awards of PSUs in Fiscal 2026, performance targets are based on cumulative adjusted operating income over a three-year period ending January 29, 2028.</w:t>
      </w:r>
    </w:p>
    <w:p>
      <w:pPr>
        <w:spacing w:after="0" w:line="174" w:lineRule="exact"/>
        <w:rPr>
          <w:sz w:val="20"/>
          <w:szCs w:val="20"/>
          <w:color w:val="auto"/>
        </w:rPr>
      </w:pPr>
    </w:p>
    <w:p>
      <w:pPr>
        <w:ind w:right="20" w:firstLine="382"/>
        <w:spacing w:after="0" w:line="253" w:lineRule="auto"/>
        <w:rPr>
          <w:sz w:val="20"/>
          <w:szCs w:val="20"/>
          <w:color w:val="auto"/>
        </w:rPr>
      </w:pPr>
      <w:r>
        <w:rPr>
          <w:rFonts w:ascii="Arial" w:cs="Arial" w:eastAsia="Arial" w:hAnsi="Arial"/>
          <w:sz w:val="18"/>
          <w:szCs w:val="18"/>
          <w:color w:val="auto"/>
        </w:rPr>
        <w:t>Beginning in Fiscal 2024, the vesting schedule of time-based restricted shares has also been reduced from four years to three years to align with market practice. Going forward, the compensation committee will continue to evaluate the equity program and performance metrics to ensure alignment of executives’ interests with those of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2026 Compensation Discussion</w:t>
      </w:r>
    </w:p>
    <w:p>
      <w:pPr>
        <w:spacing w:after="0" w:line="212" w:lineRule="exact"/>
        <w:rPr>
          <w:sz w:val="20"/>
          <w:szCs w:val="20"/>
          <w:color w:val="auto"/>
        </w:rPr>
      </w:pPr>
    </w:p>
    <w:p>
      <w:pPr>
        <w:ind w:right="60" w:firstLine="390"/>
        <w:spacing w:after="0" w:line="271" w:lineRule="auto"/>
        <w:tabs>
          <w:tab w:leader="none" w:pos="582"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Mix</w:t>
      </w:r>
      <w:r>
        <w:rPr>
          <w:rFonts w:ascii="Arial" w:cs="Arial" w:eastAsia="Arial" w:hAnsi="Arial"/>
          <w:sz w:val="18"/>
          <w:szCs w:val="18"/>
          <w:color w:val="auto"/>
        </w:rPr>
        <w:t>. Genesco’s compensation programs for its senior management are designed to incorporate a significant element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pay for performance.</w:t>
      </w:r>
    </w:p>
    <w:p>
      <w:pPr>
        <w:spacing w:after="0" w:line="154" w:lineRule="exact"/>
        <w:rPr>
          <w:sz w:val="20"/>
          <w:szCs w:val="20"/>
          <w:color w:val="auto"/>
        </w:rPr>
      </w:pPr>
    </w:p>
    <w:p>
      <w:pPr>
        <w:ind w:right="140" w:firstLine="382"/>
        <w:spacing w:after="0" w:line="253" w:lineRule="auto"/>
        <w:rPr>
          <w:sz w:val="20"/>
          <w:szCs w:val="20"/>
          <w:color w:val="auto"/>
        </w:rPr>
      </w:pPr>
      <w:r>
        <w:rPr>
          <w:rFonts w:ascii="Arial" w:cs="Arial" w:eastAsia="Arial" w:hAnsi="Arial"/>
          <w:sz w:val="18"/>
          <w:szCs w:val="18"/>
          <w:color w:val="auto"/>
        </w:rPr>
        <w:t>For Fiscal 2026, the Company generally targeted base salaries at the market median, while providing upside potential through time-vested stock-based compensation and performance-based compensation, comprised of a combination of annual cash incentives and PSUs linked to operating results.</w:t>
      </w:r>
    </w:p>
    <w:p>
      <w:pPr>
        <w:spacing w:after="0" w:line="169" w:lineRule="exact"/>
        <w:rPr>
          <w:sz w:val="20"/>
          <w:szCs w:val="20"/>
          <w:color w:val="auto"/>
        </w:rPr>
      </w:pPr>
    </w:p>
    <w:p>
      <w:pPr>
        <w:ind w:firstLine="374"/>
        <w:spacing w:after="0" w:line="242" w:lineRule="auto"/>
        <w:rPr>
          <w:sz w:val="20"/>
          <w:szCs w:val="20"/>
          <w:color w:val="auto"/>
        </w:rPr>
      </w:pPr>
      <w:r>
        <w:rPr>
          <w:rFonts w:ascii="Arial" w:cs="Arial" w:eastAsia="Arial" w:hAnsi="Arial"/>
          <w:sz w:val="18"/>
          <w:szCs w:val="18"/>
          <w:color w:val="auto"/>
        </w:rPr>
        <w:t>The graphs below illustrate, for the chief executive officer and for the other named executive officers as a group, the components of target total direct compensation (defined as base salary, target annual cash incentive award and the grant date value of restricted shares and PSUs granted under the Third Amended and Restated 2020 Equity Incentive Plan) for Fiscal 2026. The percentages for the other named executive officers as a group are affected by Mr. Gray’s receipt of a grant in Fiscal 2025 equal to three years of restricted stock grants based on his compensation at that time in an effort to further align his interests with those of the Company’s shareholders in recognition of the impact of the turnaround of the Journeys’ business on the Company and its share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163195</wp:posOffset>
            </wp:positionV>
            <wp:extent cx="4311650" cy="1106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165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Named Executive Officers (Group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163195</wp:posOffset>
            </wp:positionV>
            <wp:extent cx="4234815" cy="11061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3481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382"/>
        <w:spacing w:after="0" w:line="239" w:lineRule="auto"/>
        <w:tabs>
          <w:tab w:leader="none" w:pos="574"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Committee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In seeking to balance employee attraction and retention with appropriate management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expense, the compensation committee looks primarily to market data. It retains an independent compensation consultant to work directly with the compensation committee in gathering and analyzing data. The compensation committee and its consultant also solicit input from the chief executive officer on subjective considerations such as an individual executive’s performance and aspects of his or her role in the Company that might affect the relevance of market comparisons and perceptions of internal equity that the chief executive officer believes should be taken into account in individual cases of the Company’s other executives. On the basis of the market data, management input, and the consultant’s knowledge of trends and developments in compensation design, the consultant annually presents analyses and observations regarding the material elements of senior management direct compensation for the compensation committee’s consideration. The final compensation decisions rest with the compensation committee.</w:t>
      </w:r>
    </w:p>
    <w:p>
      <w:pPr>
        <w:spacing w:after="0" w:line="183"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In May 2018, the Company engaged F.W. Cook as its independent compensation consultant, and F.W. Cook’s analysis was used by the compensation committee to make decisions about target total direct compensation levels for Fiscal 2026. Total fees paid by the Company to F.W. Cook represent a minimal portion of the firm’s total revenues, and as a result of this and other factors, the compensation committee believes that no conflict of interest existed or exists in its role as compensation consultant to the compensation committee. In October 2025, the Company engaged Meridian Compensation Partners ("Meridian") as its new independent compensation consultant, and the compensation committee will use Meridian's analysis to make decisions about target total direct compensation levels for Fiscal 2027. Total fees paid by the Company to Meridian represent a minimal portion of the firm’s total revenues, and as a result of this and other factors, the compensation committee believes that no conflict of interest existed or exists in its role as compensation consultant to the compensation committee.</w:t>
      </w:r>
    </w:p>
    <w:p>
      <w:pPr>
        <w:spacing w:after="0" w:line="183"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In recent years, the compensation committee has approached its analysis of senior management compensation from the perspective of total direct compensation (consisting of base salary, target annual incentive opportunities, and long-term incentives). For its analysis of compensation levels established for Fiscal 2026, the compensation committee referenced the following 16-company peer group: Abercrombie &amp; Fitch Co.; The Buckle,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Inc.; Caleres, Inc.; The Cato Corporation; Chico’s FAS Inc.; The Children’s Place, Inc.; Deckers Outdoor Corporation; Designer Brands Inc.; Express, Inc.; G-III Apparel Group, Ltd.; Shoe Carnival, Inc.; Skechers USA, Inc.; Steve Madden, Ltd.; Urban Outfitters, Inc.; Wolverine World Wide, Inc.; and Zumiez Inc. This was the same peer group that was used for Fiscal 2025 compensation decisions. At the time the peer group was approved, the Company’s trailing four quarter revenue was at the 50th percentile of the peer group. In addition, peer group data are supplemented with revenue-scoped general industry and retail survey data, as appropriate.</w:t>
      </w:r>
    </w:p>
    <w:p>
      <w:pPr>
        <w:spacing w:after="0" w:line="176" w:lineRule="exact"/>
        <w:rPr>
          <w:sz w:val="20"/>
          <w:szCs w:val="20"/>
          <w:color w:val="auto"/>
        </w:rPr>
      </w:pPr>
    </w:p>
    <w:p>
      <w:pPr>
        <w:ind w:right="20" w:firstLine="390"/>
        <w:spacing w:after="0"/>
        <w:tabs>
          <w:tab w:leader="none" w:pos="582"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Elements of Direct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Fiscal 2026, total direct compensation to the Company’s senior management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base salary, annual incentive bonuses and long-term incentives in the form of stock-based awards, including PSUs with a three-year performance period. The compensation committee generally seeks to pay base salaries at the market median, using the bonus to provide the potential for above-median cash compensation for superior performance against annual performance objectives that reward creation of shareholder value. The long-term incentive element is stock-based and 50% is tied directly to Company performance which further aligns management’s interests with those of the shareholders. The compensation committee also considers targeted total cash levels (base salary plus the target bonus) and total direct compensation (target total cash plus the grant date value of long-term incentives) in relation to the peer group and survey data.</w:t>
      </w:r>
    </w:p>
    <w:p>
      <w:pPr>
        <w:spacing w:after="0" w:line="180"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pays base salaries to its employees in order to provide a level of assured compensation reflecting the employment market of the employee’s skills and the demands of the employee’s position. Base salaries are reviewed annually and adjusted when appropriate based on comparisons to market, executive performance and other considerations. The following table sets forth the base salary increases approved by the compensation committee for each named executive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Fiscal 2026</w:t>
            </w:r>
          </w:p>
        </w:tc>
        <w:tc>
          <w:tcPr>
            <w:tcW w:w="12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Fiscal 2026</w:t>
            </w: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Base Salary</w:t>
            </w:r>
          </w:p>
        </w:tc>
        <w:tc>
          <w:tcPr>
            <w:tcW w:w="12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Base Salary</w:t>
            </w:r>
          </w:p>
        </w:tc>
      </w:tr>
      <w:tr>
        <w:trPr>
          <w:trHeight w:val="171"/>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Fiscal 2025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Fiscal 2026</w:t>
            </w:r>
          </w:p>
        </w:tc>
        <w:tc>
          <w:tcPr>
            <w:tcW w:w="240" w:type="dxa"/>
            <w:vAlign w:val="bottom"/>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Increase $</w:t>
            </w:r>
          </w:p>
        </w:tc>
        <w:tc>
          <w:tcPr>
            <w:tcW w:w="120" w:type="dxa"/>
            <w:vAlign w:val="bottom"/>
          </w:tcPr>
          <w:p>
            <w:pPr>
              <w:spacing w:after="0"/>
              <w:rPr>
                <w:sz w:val="14"/>
                <w:szCs w:val="14"/>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Increase %</w:t>
            </w: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1,025,000</w:t>
            </w:r>
          </w:p>
        </w:tc>
        <w:tc>
          <w:tcPr>
            <w:tcW w:w="3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1,025,000</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21"/>
              <w:spacing w:after="0" w:line="196"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3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470,000</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20,000</w:t>
            </w:r>
          </w:p>
        </w:tc>
        <w:tc>
          <w:tcPr>
            <w:tcW w:w="1360" w:type="dxa"/>
            <w:vAlign w:val="bottom"/>
            <w:gridSpan w:val="2"/>
            <w:shd w:val="clear" w:color="auto" w:fill="CCEEFF"/>
          </w:tcPr>
          <w:p>
            <w:pPr>
              <w:jc w:val="right"/>
              <w:ind w:right="221"/>
              <w:spacing w:after="0" w:line="202" w:lineRule="exact"/>
              <w:rPr>
                <w:sz w:val="20"/>
                <w:szCs w:val="20"/>
                <w:color w:val="auto"/>
              </w:rPr>
            </w:pPr>
            <w:r>
              <w:rPr>
                <w:rFonts w:ascii="Arial" w:cs="Arial" w:eastAsia="Arial" w:hAnsi="Arial"/>
                <w:sz w:val="18"/>
                <w:szCs w:val="18"/>
                <w:color w:val="auto"/>
              </w:rPr>
              <w:t>4%</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417,000</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33,000</w:t>
            </w:r>
          </w:p>
        </w:tc>
        <w:tc>
          <w:tcPr>
            <w:tcW w:w="136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8%</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635,000</w:t>
            </w:r>
          </w:p>
        </w:tc>
        <w:tc>
          <w:tcPr>
            <w:tcW w:w="3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675,000</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40,000</w:t>
            </w:r>
          </w:p>
        </w:tc>
        <w:tc>
          <w:tcPr>
            <w:tcW w:w="1360" w:type="dxa"/>
            <w:vAlign w:val="bottom"/>
            <w:gridSpan w:val="2"/>
            <w:shd w:val="clear" w:color="auto" w:fill="CCEEFF"/>
          </w:tcPr>
          <w:p>
            <w:pPr>
              <w:jc w:val="right"/>
              <w:ind w:right="221"/>
              <w:spacing w:after="0" w:line="202" w:lineRule="exact"/>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40"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Annual Incentive Compensation</w:t>
      </w:r>
      <w:r>
        <w:rPr>
          <w:rFonts w:ascii="Arial" w:cs="Arial" w:eastAsia="Arial" w:hAnsi="Arial"/>
          <w:sz w:val="18"/>
          <w:szCs w:val="18"/>
          <w:i w:val="1"/>
          <w:iCs w:val="1"/>
          <w:color w:val="auto"/>
        </w:rPr>
        <w:t>. (i) Overview.</w:t>
      </w:r>
      <w:r>
        <w:rPr>
          <w:rFonts w:ascii="Arial" w:cs="Arial" w:eastAsia="Arial" w:hAnsi="Arial"/>
          <w:sz w:val="18"/>
          <w:szCs w:val="18"/>
          <w:color w:val="auto"/>
        </w:rPr>
        <w:t xml:space="preserve"> Executive officers, including all of the named executive officers, participated in the EVA Plan in Fiscal 2026, which is designed to reward increasing earnings in an amount sufficient to provide a return on capital greater than the Company’s cost of capital. The compensation committee believes that the EVA Plan, which rewards executives for successfully executing shorter-term business goals, has adequately aligned pay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82"/>
        <w:spacing w:after="0" w:line="242" w:lineRule="auto"/>
        <w:rPr>
          <w:sz w:val="20"/>
          <w:szCs w:val="20"/>
          <w:color w:val="auto"/>
        </w:rPr>
      </w:pPr>
      <w:r>
        <w:rPr>
          <w:rFonts w:ascii="Arial" w:cs="Arial" w:eastAsia="Arial" w:hAnsi="Arial"/>
          <w:sz w:val="18"/>
          <w:szCs w:val="18"/>
          <w:color w:val="auto"/>
        </w:rPr>
        <w:t>All named executive officers are participants in the EVA Plan. The EVA Plan also incorporates a provision making a portion of each participant’s award contingent on the achievement of individual strategic goals to provide an incentive for strategic and operational objectives that may not be immediately reflected in the annual financial performance of the participant’s business unit. The compensation committee annually sets target bonus levels based on the Company’s peer group and survey comparisons of target bonuses as a percentage of base salary and target total cash compensation. The chief executive officer also provides input to the compensation committee on target bonus levels for positions other than his or her own.</w:t>
      </w:r>
    </w:p>
    <w:p>
      <w:pPr>
        <w:spacing w:after="0" w:line="179" w:lineRule="exact"/>
        <w:rPr>
          <w:sz w:val="20"/>
          <w:szCs w:val="20"/>
          <w:color w:val="auto"/>
        </w:rPr>
      </w:pPr>
    </w:p>
    <w:p>
      <w:pPr>
        <w:ind w:right="420" w:firstLine="390"/>
        <w:spacing w:after="0" w:line="271" w:lineRule="auto"/>
        <w:tabs>
          <w:tab w:leader="none" w:pos="632"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Bonus Targets. </w:t>
      </w:r>
      <w:r>
        <w:rPr>
          <w:rFonts w:ascii="Arial" w:cs="Arial" w:eastAsia="Arial" w:hAnsi="Arial"/>
          <w:sz w:val="18"/>
          <w:szCs w:val="18"/>
          <w:color w:val="auto"/>
        </w:rPr>
        <w:t>The following table sets forth target bonuses as a percentage of base salary for the named executive officers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2026:</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left="348"/>
              <w:spacing w:after="0"/>
              <w:rPr>
                <w:sz w:val="20"/>
                <w:szCs w:val="20"/>
                <w:color w:val="auto"/>
              </w:rPr>
            </w:pPr>
            <w:r>
              <w:rPr>
                <w:rFonts w:ascii="Arial" w:cs="Arial" w:eastAsia="Arial" w:hAnsi="Arial"/>
                <w:sz w:val="14"/>
                <w:szCs w:val="14"/>
                <w:b w:val="1"/>
                <w:bCs w:val="1"/>
                <w:color w:val="auto"/>
              </w:rPr>
              <w:t>Target Bonus</w:t>
            </w:r>
          </w:p>
        </w:tc>
        <w:tc>
          <w:tcPr>
            <w:tcW w:w="440" w:type="dxa"/>
            <w:vAlign w:val="bottom"/>
          </w:tcPr>
          <w:p>
            <w:pPr>
              <w:spacing w:after="0"/>
              <w:rPr>
                <w:sz w:val="14"/>
                <w:szCs w:val="14"/>
                <w:color w:val="auto"/>
              </w:rPr>
            </w:pPr>
          </w:p>
        </w:tc>
      </w:tr>
      <w:tr>
        <w:trPr>
          <w:trHeight w:val="162"/>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left="348"/>
              <w:spacing w:after="0"/>
              <w:rPr>
                <w:sz w:val="20"/>
                <w:szCs w:val="20"/>
                <w:color w:val="auto"/>
              </w:rPr>
            </w:pPr>
            <w:r>
              <w:rPr>
                <w:rFonts w:ascii="Arial" w:cs="Arial" w:eastAsia="Arial" w:hAnsi="Arial"/>
                <w:sz w:val="14"/>
                <w:szCs w:val="14"/>
                <w:b w:val="1"/>
                <w:bCs w:val="1"/>
                <w:color w:val="auto"/>
              </w:rPr>
              <w:t>as a Percentage</w:t>
            </w:r>
          </w:p>
        </w:tc>
        <w:tc>
          <w:tcPr>
            <w:tcW w:w="440" w:type="dxa"/>
            <w:vAlign w:val="bottom"/>
          </w:tcPr>
          <w:p>
            <w:pPr>
              <w:spacing w:after="0"/>
              <w:rPr>
                <w:sz w:val="14"/>
                <w:szCs w:val="14"/>
                <w:color w:val="auto"/>
              </w:rPr>
            </w:pPr>
          </w:p>
        </w:tc>
      </w:tr>
      <w:tr>
        <w:trPr>
          <w:trHeight w:val="171"/>
        </w:trPr>
        <w:tc>
          <w:tcPr>
            <w:tcW w:w="7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tcPr>
          <w:p>
            <w:pPr>
              <w:spacing w:after="0"/>
              <w:rPr>
                <w:sz w:val="14"/>
                <w:szCs w:val="14"/>
                <w:color w:val="auto"/>
              </w:rPr>
            </w:pPr>
          </w:p>
        </w:tc>
        <w:tc>
          <w:tcPr>
            <w:tcW w:w="15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of Base Salary</w:t>
            </w:r>
          </w:p>
        </w:tc>
        <w:tc>
          <w:tcPr>
            <w:tcW w:w="440" w:type="dxa"/>
            <w:vAlign w:val="bottom"/>
            <w:tcBorders>
              <w:bottom w:val="single" w:sz="8" w:color="auto"/>
            </w:tcBorders>
          </w:tcPr>
          <w:p>
            <w:pPr>
              <w:spacing w:after="0"/>
              <w:rPr>
                <w:sz w:val="14"/>
                <w:szCs w:val="14"/>
                <w:color w:val="auto"/>
              </w:rPr>
            </w:pPr>
          </w:p>
        </w:tc>
      </w:tr>
      <w:tr>
        <w:trPr>
          <w:trHeight w:val="196"/>
        </w:trPr>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c>
          <w:tcPr>
            <w:tcW w:w="440" w:type="dxa"/>
            <w:vAlign w:val="bottom"/>
          </w:tcPr>
          <w:p>
            <w:pPr>
              <w:spacing w:after="0"/>
              <w:rPr>
                <w:sz w:val="17"/>
                <w:szCs w:val="17"/>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97"/>
              </w:rPr>
              <w:t>(1)</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c>
          <w:tcPr>
            <w:tcW w:w="440" w:type="dxa"/>
            <w:vAlign w:val="bottom"/>
          </w:tcPr>
          <w:p>
            <w:pPr>
              <w:spacing w:after="0"/>
              <w:rPr>
                <w:sz w:val="17"/>
                <w:szCs w:val="17"/>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97"/>
              </w:rPr>
              <w:t>(2)</w:t>
            </w:r>
          </w:p>
        </w:tc>
      </w:tr>
    </w:tbl>
    <w:p>
      <w:pPr>
        <w:spacing w:after="0" w:line="265"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Becker's target bonus as a percentage of base salary was increased from 65% in Fiscal 2025 to align with market.</w:t>
      </w:r>
    </w:p>
    <w:p>
      <w:pPr>
        <w:spacing w:after="0" w:line="103" w:lineRule="exact"/>
        <w:rPr>
          <w:rFonts w:ascii="Arial" w:cs="Arial" w:eastAsia="Arial" w:hAnsi="Arial"/>
          <w:sz w:val="18"/>
          <w:szCs w:val="18"/>
          <w:color w:val="auto"/>
        </w:rPr>
      </w:pPr>
    </w:p>
    <w:p>
      <w:pPr>
        <w:ind w:left="520" w:right="500" w:hanging="512"/>
        <w:spacing w:after="0" w:line="271"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Gray's target bonus as a percentage of base salary was increased from 75% in Fiscal 2025 in recognition of Journeys Group meeting certain financial objectives.</w:t>
      </w:r>
    </w:p>
    <w:p>
      <w:pPr>
        <w:spacing w:after="0" w:line="153" w:lineRule="exact"/>
        <w:rPr>
          <w:rFonts w:ascii="Arial" w:cs="Arial" w:eastAsia="Arial" w:hAnsi="Arial"/>
          <w:sz w:val="18"/>
          <w:szCs w:val="18"/>
          <w:color w:val="auto"/>
        </w:rPr>
      </w:pPr>
    </w:p>
    <w:p>
      <w:pPr>
        <w:ind w:right="40" w:firstLine="390"/>
        <w:spacing w:after="0" w:line="238" w:lineRule="auto"/>
        <w:tabs>
          <w:tab w:leader="none" w:pos="672" w:val="left"/>
        </w:tabs>
        <w:numPr>
          <w:ilvl w:val="1"/>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Award Components. </w:t>
      </w:r>
      <w:r>
        <w:rPr>
          <w:rFonts w:ascii="Arial" w:cs="Arial" w:eastAsia="Arial" w:hAnsi="Arial"/>
          <w:sz w:val="18"/>
          <w:szCs w:val="18"/>
          <w:color w:val="auto"/>
        </w:rPr>
        <w:t>The named executive officers participating in the EVA Plan in Fiscal 2026 were eligible to receive a fraction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of their target awards in a range of 25% to 300% based on the factors described below. Performance below 25% would result in no payout. Participants were eligible to earn cash awards equal to the sum of (a) 75% of their bonus targets multiplied by a factor determined by changes in Economic Value Added (“EVA”) (the “EVA change factor”) for their respective business units or for the Company as a whole for the year, and (b) 25% of the targets multiplied by (i) the EVA change factor for their respective business units for the year and (ii) the percentage of achievement of individual strategic goals (discussed in greater detail below) agreed upon by the participant and the chief executive officer (and by the compensation committee and the chief executive officer with respect to the chief executive officer’s strategic goals) during the first quarter of the fiscal year. For Fiscal 2026, the compensation committee assigned the business unit allocation of the chief executive officer and the chief executive officer assigned each other participant’s business unit allocation, who also determined the weighting of the various business unit components for participants with responsibility for multiple units. The allocations of the chief executive officer were also approved by the compensation committee. Among the named executive officers participating in the EVA Plan in Fiscal 2026, Ms. Vaughn, Ms. Harris, Mr. Desai, and Mr. Becker were assigned 100% to the Corporate Total business unit and Mr. Gray was assigned 100% of the Journeys Group business unit.</w:t>
      </w:r>
    </w:p>
    <w:p>
      <w:pPr>
        <w:spacing w:after="0" w:line="180" w:lineRule="exact"/>
        <w:rPr>
          <w:sz w:val="20"/>
          <w:szCs w:val="20"/>
          <w:color w:val="auto"/>
        </w:rPr>
      </w:pPr>
    </w:p>
    <w:p>
      <w:pPr>
        <w:ind w:right="640" w:firstLine="382"/>
        <w:spacing w:after="0" w:line="271" w:lineRule="auto"/>
        <w:rPr>
          <w:sz w:val="20"/>
          <w:szCs w:val="20"/>
          <w:color w:val="auto"/>
        </w:rPr>
      </w:pPr>
      <w:r>
        <w:rPr>
          <w:rFonts w:ascii="Arial" w:cs="Arial" w:eastAsia="Arial" w:hAnsi="Arial"/>
          <w:sz w:val="18"/>
          <w:szCs w:val="18"/>
          <w:color w:val="auto"/>
        </w:rPr>
        <w:t>See “Bonus Calculation Factors,” below, for additional information on the performance factors for each named executive officer’s business unit and for the Company as a whole for Fiscal 2026.</w:t>
      </w:r>
    </w:p>
    <w:p>
      <w:pPr>
        <w:spacing w:after="0" w:line="154" w:lineRule="exact"/>
        <w:rPr>
          <w:sz w:val="20"/>
          <w:szCs w:val="20"/>
          <w:color w:val="auto"/>
        </w:rPr>
      </w:pPr>
    </w:p>
    <w:p>
      <w:pPr>
        <w:ind w:firstLine="390"/>
        <w:spacing w:after="0" w:line="247" w:lineRule="auto"/>
        <w:tabs>
          <w:tab w:leader="none" w:pos="682"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EVA Calculations. </w:t>
      </w:r>
      <w:r>
        <w:rPr>
          <w:rFonts w:ascii="Arial" w:cs="Arial" w:eastAsia="Arial" w:hAnsi="Arial"/>
          <w:sz w:val="18"/>
          <w:szCs w:val="18"/>
          <w:color w:val="auto"/>
        </w:rPr>
        <w:t>EVA for Fiscal 2026 was determined by subtracting from a business unit’s net operating profit after taxes</w:t>
      </w:r>
      <w:r>
        <w:rPr>
          <w:rFonts w:ascii="Arial" w:cs="Arial" w:eastAsia="Arial" w:hAnsi="Arial"/>
          <w:sz w:val="18"/>
          <w:szCs w:val="18"/>
          <w:i w:val="1"/>
          <w:iCs w:val="1"/>
          <w:color w:val="auto"/>
        </w:rPr>
        <w:t xml:space="preserve"> </w:t>
      </w:r>
      <w:r>
        <w:rPr>
          <w:rFonts w:ascii="Arial" w:cs="Arial" w:eastAsia="Arial" w:hAnsi="Arial"/>
          <w:sz w:val="18"/>
          <w:szCs w:val="18"/>
          <w:color w:val="auto"/>
        </w:rPr>
        <w:t>(“NOPAT”) a charge of 10% of the average net assets (total assets minus non-interest bearing liabilities) employed to generate the profit. The 10% capital charge represented the Company’s estimate of its weighted average cost of debt and equity capital. The EVA Plan is designed to encourage efficient use of assets, since profit improvement that is less than 10% of the incremental net assets employed reduces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participant’s bonus. Incentive awards are determined by the amount of actual EVA change during the year relative to EVA change targets for the year.</w:t>
      </w:r>
    </w:p>
    <w:p>
      <w:pPr>
        <w:spacing w:after="0" w:line="154" w:lineRule="exact"/>
        <w:rPr>
          <w:sz w:val="20"/>
          <w:szCs w:val="20"/>
          <w:color w:val="auto"/>
        </w:rPr>
      </w:pPr>
    </w:p>
    <w:p>
      <w:pPr>
        <w:jc w:val="both"/>
        <w:ind w:right="400" w:firstLine="382"/>
        <w:spacing w:after="0" w:line="253" w:lineRule="auto"/>
        <w:rPr>
          <w:sz w:val="20"/>
          <w:szCs w:val="20"/>
          <w:color w:val="auto"/>
        </w:rPr>
      </w:pPr>
      <w:r>
        <w:rPr>
          <w:rFonts w:ascii="Arial" w:cs="Arial" w:eastAsia="Arial" w:hAnsi="Arial"/>
          <w:sz w:val="18"/>
          <w:szCs w:val="18"/>
          <w:color w:val="auto"/>
        </w:rPr>
        <w:t>NOPAT and net assets employed for EVA Plan purposes are not necessarily the same as the corresponding accounting measures calculated in accordance with U.S. generally accepted accounting principles (“GAAP”) for financial reporting purposes. The Company’s NOPAT for purposes of the EVA Plan in Fiscal 2026 was calculated by</w:t>
      </w:r>
    </w:p>
    <w:p>
      <w:pPr>
        <w:spacing w:after="0" w:line="169" w:lineRule="exact"/>
        <w:rPr>
          <w:sz w:val="20"/>
          <w:szCs w:val="20"/>
          <w:color w:val="auto"/>
        </w:rPr>
      </w:pPr>
    </w:p>
    <w:p>
      <w:pPr>
        <w:ind w:right="140" w:firstLine="8"/>
        <w:spacing w:after="0" w:line="271"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adjusting reported earnings from operations upward by the following amounts which adjustments were approved at the beginning of the plan year:</w:t>
      </w:r>
    </w:p>
    <w:p>
      <w:pPr>
        <w:spacing w:after="0" w:line="153" w:lineRule="exact"/>
        <w:rPr>
          <w:rFonts w:ascii="Arial" w:cs="Arial" w:eastAsia="Arial" w:hAnsi="Arial"/>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$8.1 million in the “Asset impairments and other, net” line on the Consolidated Statements of Operations for Fiscal 2026;</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$1.3 million gross margin charge related to an inventory write-down related to the exit of licenses in Genesco Brands Group;</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$1.3 million for tax credits;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$0.6 million in purchase price adjustments related to the Togast acquisition; and</w:t>
      </w:r>
    </w:p>
    <w:p>
      <w:pPr>
        <w:spacing w:after="0" w:line="22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adjusting the resulting figure downward by the following amounts: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$0.3 million related to certain fixed asset impairments;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$0.3 million in a large capital projects adjustment related to a new distribution center at Schuh;</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$1.6 million in a large capital projects adjustment related to a distribution expansion at Journeys;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$3.4 million related to the difference between recorded bonus expense under GAAP and a one-time target bonus;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$0.8 million of other adjustments;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taxes at a 28% rate for the Company’s operations other than Schuh and at an 18% rate for Schuh’s operations.</w:t>
      </w:r>
    </w:p>
    <w:p>
      <w:pPr>
        <w:spacing w:after="0" w:line="224" w:lineRule="exact"/>
        <w:rPr>
          <w:sz w:val="20"/>
          <w:szCs w:val="20"/>
          <w:color w:val="auto"/>
        </w:rPr>
      </w:pPr>
    </w:p>
    <w:p>
      <w:pPr>
        <w:jc w:val="both"/>
        <w:ind w:right="60" w:firstLine="382"/>
        <w:spacing w:after="0"/>
        <w:tabs>
          <w:tab w:leader="none" w:pos="634" w:val="left"/>
        </w:tabs>
        <w:numPr>
          <w:ilvl w:val="1"/>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Bonus Calculation Factors. </w:t>
      </w:r>
      <w:r>
        <w:rPr>
          <w:rFonts w:ascii="Arial" w:cs="Arial" w:eastAsia="Arial" w:hAnsi="Arial"/>
          <w:sz w:val="18"/>
          <w:szCs w:val="18"/>
          <w:color w:val="auto"/>
        </w:rPr>
        <w:t>The following table shows for the business unit of each named executive officer in Fiscal 2026: (a)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EVA improvement required to earn a target bonus award (the “Expected Improvement” or “EI”), (b) for performance at or above target, the incremental EVA change required to earn each additional whole-number multiple of the target (the “Leverage Interval” or “LI”), (c) for performance below target, the EVA change required to earn a fraction of the target bonus, (d) the EVA change for the business unit, and</w:t>
      </w:r>
    </w:p>
    <w:p>
      <w:pPr>
        <w:ind w:right="180" w:firstLine="8"/>
        <w:spacing w:after="0" w:line="250"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multiple of the target bonus actually earned. Fractional multiples are earned for incremental changes less than the full improvement interval shown in columns (b) and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FY 2026</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FY 2025</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Incremental</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Incremental</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FY 2026</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Improvement</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Improvement</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Target EVA</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Interval (LI) for</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Interval (LI) for</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Improvement</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Performance at</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FY 2026</w:t>
            </w: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FY 2026</w:t>
            </w: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(EI)</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or Above Target</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Below Target</w:t>
            </w: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EVA Change</w:t>
            </w: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Bonus</w:t>
            </w:r>
          </w:p>
        </w:tc>
      </w:tr>
      <w:tr>
        <w:trPr>
          <w:trHeight w:val="171"/>
        </w:trPr>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Business Unit</w:t>
            </w:r>
          </w:p>
        </w:tc>
        <w:tc>
          <w:tcPr>
            <w:tcW w:w="1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Multiple</w:t>
            </w:r>
          </w:p>
        </w:tc>
      </w:tr>
      <w:tr>
        <w:trPr>
          <w:trHeight w:val="196"/>
        </w:trPr>
        <w:tc>
          <w:tcPr>
            <w:tcW w:w="2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 Total</w:t>
            </w:r>
          </w:p>
        </w:tc>
        <w:tc>
          <w:tcPr>
            <w:tcW w:w="172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16,205,000</w:t>
            </w:r>
          </w:p>
        </w:tc>
        <w:tc>
          <w:tcPr>
            <w:tcW w:w="170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30,058,000</w:t>
            </w:r>
          </w:p>
        </w:tc>
        <w:tc>
          <w:tcPr>
            <w:tcW w:w="1680" w:type="dxa"/>
            <w:vAlign w:val="bottom"/>
            <w:gridSpan w:val="2"/>
            <w:shd w:val="clear" w:color="auto" w:fill="CCEEFF"/>
          </w:tcPr>
          <w:p>
            <w:pPr>
              <w:jc w:val="right"/>
              <w:ind w:right="148"/>
              <w:spacing w:after="0" w:line="196" w:lineRule="exact"/>
              <w:rPr>
                <w:sz w:val="20"/>
                <w:szCs w:val="20"/>
                <w:color w:val="auto"/>
              </w:rPr>
            </w:pPr>
            <w:r>
              <w:rPr>
                <w:rFonts w:ascii="Arial" w:cs="Arial" w:eastAsia="Arial" w:hAnsi="Arial"/>
                <w:sz w:val="18"/>
                <w:szCs w:val="18"/>
                <w:color w:val="auto"/>
              </w:rPr>
              <w:t>27,633,000</w:t>
            </w:r>
          </w:p>
        </w:tc>
        <w:tc>
          <w:tcPr>
            <w:tcW w:w="1640" w:type="dxa"/>
            <w:vAlign w:val="bottom"/>
            <w:gridSpan w:val="2"/>
            <w:shd w:val="clear" w:color="auto" w:fill="CCEEFF"/>
          </w:tcPr>
          <w:p>
            <w:pPr>
              <w:jc w:val="right"/>
              <w:ind w:right="128"/>
              <w:spacing w:after="0" w:line="196" w:lineRule="exact"/>
              <w:rPr>
                <w:sz w:val="20"/>
                <w:szCs w:val="20"/>
                <w:color w:val="auto"/>
              </w:rPr>
            </w:pPr>
            <w:r>
              <w:rPr>
                <w:rFonts w:ascii="Arial" w:cs="Arial" w:eastAsia="Arial" w:hAnsi="Arial"/>
                <w:sz w:val="18"/>
                <w:szCs w:val="18"/>
                <w:color w:val="auto"/>
              </w:rPr>
              <w:t>2,667,000</w:t>
            </w:r>
          </w:p>
        </w:tc>
        <w:tc>
          <w:tcPr>
            <w:tcW w:w="134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0.51</w:t>
            </w:r>
          </w:p>
        </w:tc>
      </w:tr>
      <w:tr>
        <w:trPr>
          <w:trHeight w:val="239"/>
        </w:trPr>
        <w:tc>
          <w:tcPr>
            <w:tcW w:w="2020" w:type="dxa"/>
            <w:vAlign w:val="bottom"/>
          </w:tcPr>
          <w:p>
            <w:pPr>
              <w:spacing w:after="0"/>
              <w:rPr>
                <w:sz w:val="20"/>
                <w:szCs w:val="20"/>
                <w:color w:val="auto"/>
              </w:rPr>
            </w:pPr>
            <w:r>
              <w:rPr>
                <w:rFonts w:ascii="Arial" w:cs="Arial" w:eastAsia="Arial" w:hAnsi="Arial"/>
                <w:sz w:val="18"/>
                <w:szCs w:val="18"/>
                <w:color w:val="auto"/>
              </w:rPr>
              <w:t>Journeys Group</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11,696,000</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17,451,000</w:t>
            </w:r>
          </w:p>
        </w:tc>
        <w:tc>
          <w:tcPr>
            <w:tcW w:w="1680" w:type="dxa"/>
            <w:vAlign w:val="bottom"/>
            <w:gridSpan w:val="2"/>
          </w:tcPr>
          <w:p>
            <w:pPr>
              <w:jc w:val="right"/>
              <w:ind w:right="148"/>
              <w:spacing w:after="0"/>
              <w:rPr>
                <w:sz w:val="20"/>
                <w:szCs w:val="20"/>
                <w:color w:val="auto"/>
              </w:rPr>
            </w:pPr>
            <w:r>
              <w:rPr>
                <w:rFonts w:ascii="Arial" w:cs="Arial" w:eastAsia="Arial" w:hAnsi="Arial"/>
                <w:sz w:val="18"/>
                <w:szCs w:val="18"/>
                <w:color w:val="auto"/>
              </w:rPr>
              <w:t>14,365,000</w:t>
            </w:r>
          </w:p>
        </w:tc>
        <w:tc>
          <w:tcPr>
            <w:tcW w:w="1640" w:type="dxa"/>
            <w:vAlign w:val="bottom"/>
            <w:gridSpan w:val="2"/>
          </w:tcPr>
          <w:p>
            <w:pPr>
              <w:jc w:val="right"/>
              <w:ind w:right="128"/>
              <w:spacing w:after="0"/>
              <w:rPr>
                <w:sz w:val="20"/>
                <w:szCs w:val="20"/>
                <w:color w:val="auto"/>
              </w:rPr>
            </w:pPr>
            <w:r>
              <w:rPr>
                <w:rFonts w:ascii="Arial" w:cs="Arial" w:eastAsia="Arial" w:hAnsi="Arial"/>
                <w:sz w:val="18"/>
                <w:szCs w:val="18"/>
                <w:color w:val="auto"/>
              </w:rPr>
              <w:t>23,223,000</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1.66</w:t>
            </w:r>
          </w:p>
        </w:tc>
      </w:tr>
    </w:tbl>
    <w:p>
      <w:pPr>
        <w:spacing w:after="0" w:line="188" w:lineRule="exact"/>
        <w:rPr>
          <w:sz w:val="20"/>
          <w:szCs w:val="20"/>
          <w:color w:val="auto"/>
        </w:rPr>
      </w:pPr>
    </w:p>
    <w:p>
      <w:pPr>
        <w:ind w:firstLine="382"/>
        <w:spacing w:after="0" w:line="237" w:lineRule="auto"/>
        <w:rPr>
          <w:sz w:val="20"/>
          <w:szCs w:val="20"/>
          <w:color w:val="auto"/>
        </w:rPr>
      </w:pPr>
      <w:r>
        <w:rPr>
          <w:rFonts w:ascii="Arial" w:cs="Arial" w:eastAsia="Arial" w:hAnsi="Arial"/>
          <w:sz w:val="18"/>
          <w:szCs w:val="18"/>
          <w:color w:val="auto"/>
        </w:rPr>
        <w:t>In Fiscal 2026, based on the goals to reduce volatility, shift leverage and minimize perceived complexity in the plan, each business unit’s target for EVA improvement (shown in column (a), above) was set by the compensation committee based on the long-term average EVA growth of the Company and its peers, which has been relatively flat, while maintaining a reasonable growth ambition and adjusted higher to require additional improvement. The incremental improvement interval (shown in column (b), above), is the amount of additional EVA improvement above the amount in column (a) that is required to earn a bonus of two times the participant’s target and the incremental improvement shown in column (c) is the amount of shortfall from the column (a) target that will result in a zero bonus. For Fiscal 2026, the compensation committee set the incremental improvement interval for performance at or above target based on market normative sharing ratios. The compensation committee set the incremental improvement interval for performance below target to ensure bonuses would only be paid based on market expectations. For Fiscal 2026, the compensation committee determined that no bonuses would be paid with respect to Journeys Group or Corporate at a level of performance that would equal a bonus multiple of less than 0.25x. The EVA improvement and incremental improvement percentage are expected to be revisited at least every three years. While the bonus bank features of the EVA Plan have been eliminated, performance above 300% or below 0% may be addressed by the compensation committee electing to reduce or increase all or a portion of the Expected Improvement and Leverage Interval targets in subsequent years to reward overachievement or hold management accountable for underachievement for prior year performance. Because the Journeys Group and Corporate business units’ performance fell below the 0x range for Fiscal 2024, the compensation committee determined to increase the base EI targets for Fiscal 2026 for these business units in a manner similar to Fiscal 2025.</w:t>
      </w:r>
    </w:p>
    <w:p>
      <w:pPr>
        <w:spacing w:after="0" w:line="186" w:lineRule="exact"/>
        <w:rPr>
          <w:sz w:val="20"/>
          <w:szCs w:val="20"/>
          <w:color w:val="auto"/>
        </w:rPr>
      </w:pPr>
    </w:p>
    <w:p>
      <w:pPr>
        <w:ind w:right="40" w:firstLine="382"/>
        <w:spacing w:after="0" w:line="237" w:lineRule="auto"/>
        <w:tabs>
          <w:tab w:leader="none" w:pos="674"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Individual Strategic Objectives. </w:t>
      </w:r>
      <w:r>
        <w:rPr>
          <w:rFonts w:ascii="Arial" w:cs="Arial" w:eastAsia="Arial" w:hAnsi="Arial"/>
          <w:sz w:val="18"/>
          <w:szCs w:val="18"/>
          <w:color w:val="auto"/>
        </w:rPr>
        <w:t>As noted above, the payment of 25% of each participant’s annual incentive award for EVA</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is contingent on the participant’s achievement of individual strategic goals agreed upon in advance with the participant’s supervisor. Not achieving all individual strategic goals for a given fiscal year can reduce an EVA Plan award that is otherwise payable, but performance meeting or exceeding these strategic goals cannot serve to increase the amount of any such award. Individual strategic goals for the named executive officers typically involve initiatives that the executive officers consider important to the long-term prospects of the participants’ business units, but that may not be adequately rewarded by the portion of the bonus calculated on current financial performance. Examples could include retail divisions’ opening a targeted number of new retail stores on schedule, implementation of an operational improvement or cost reduction program, or a business unit’s launch of a new retail concept or product line. No individual strategic goal was material to any named executive officer’s compensation or to any component of it in Fiscal 2026. The participant’s supervisor, generally in consultation with the participant, determines whether and to what extent the participant’s individual strategic goals have been met. Certain strategic goals are quantitative, allowing an objective determination of the extent to which they are achieved, while others are more qualitative in nature, requiring a subjective determination of achievement. The EVA Plan permits full credit for strategic goals if they have been at least 95% achieved. In Fiscal 2026, Ms. Harris’s EVA Plan award was reduced by $8,606 as a result of not fully achieving all of her individual strategic goals for the year. None of the other named executive officers’ EVA Plan awards were reduced because of his or her degree of achievement of strategic goals for Fiscal 2026.</w:t>
      </w:r>
    </w:p>
    <w:p>
      <w:pPr>
        <w:spacing w:after="0" w:line="188" w:lineRule="exact"/>
        <w:rPr>
          <w:sz w:val="20"/>
          <w:szCs w:val="20"/>
          <w:color w:val="auto"/>
        </w:rPr>
      </w:pPr>
    </w:p>
    <w:p>
      <w:pPr>
        <w:ind w:right="80" w:firstLine="374"/>
        <w:spacing w:after="0" w:line="271" w:lineRule="auto"/>
        <w:rPr>
          <w:sz w:val="20"/>
          <w:szCs w:val="20"/>
          <w:color w:val="auto"/>
        </w:rPr>
      </w:pPr>
      <w:r>
        <w:rPr>
          <w:rFonts w:ascii="Arial" w:cs="Arial" w:eastAsia="Arial" w:hAnsi="Arial"/>
          <w:sz w:val="18"/>
          <w:szCs w:val="18"/>
          <w:color w:val="auto"/>
        </w:rPr>
        <w:t>No portion of the award for achievement of individual strategic goals is ordinarily to be paid unless some portion of the applicable award for operating results is earned, although the EVA Plan authorizes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compensation committee to consider exceptions for extraordinary strategic successes upon the recommendation of the chief executive officer. No exceptions of this nature have ever been made.</w:t>
      </w:r>
    </w:p>
    <w:p>
      <w:pPr>
        <w:spacing w:after="0" w:line="154" w:lineRule="exact"/>
        <w:rPr>
          <w:sz w:val="20"/>
          <w:szCs w:val="20"/>
          <w:color w:val="auto"/>
        </w:rPr>
      </w:pPr>
    </w:p>
    <w:p>
      <w:pPr>
        <w:ind w:right="280" w:firstLine="382"/>
        <w:spacing w:after="0" w:line="242" w:lineRule="auto"/>
        <w:tabs>
          <w:tab w:leader="none" w:pos="714"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Fiscal 2027 Short-Term Incentive Plan. </w:t>
      </w:r>
      <w:r>
        <w:rPr>
          <w:rFonts w:ascii="Arial" w:cs="Arial" w:eastAsia="Arial" w:hAnsi="Arial"/>
          <w:sz w:val="18"/>
          <w:szCs w:val="18"/>
          <w:color w:val="auto"/>
        </w:rPr>
        <w:t>Beginning with Fiscal 2027, the Company’s annual cash incentive program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administered under the Genesco Inc. Short-Term Incentive Plan (the “STIP”), which replaces the EVA Plan. The compensation committee adopted the STIP to simplify the annual cash incentive program while continuing to support the Company’s pay-for-performance compensation philosophy by linking annual cash incentive opportunities to financial, operational, strategic and individual performance objectives established by the compensation committee. The STIP will remain in effect in accordance with its terms unless amended or terminated by the Board.</w:t>
      </w:r>
    </w:p>
    <w:p>
      <w:pPr>
        <w:spacing w:after="0" w:line="179"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color w:val="auto"/>
        </w:rPr>
        <w:t>Under the STIP, eligible employees, including the named executive officers, may be selected annually to participate. The compensation committee establishes a target award opportunity for each participant, which may be expressed as a percentage of base salary or a fixed dollar amount. Performance criteria are determined in the sole discretion of the compensation committee. Unless the compensation committee approves an alternative formula, awards are determined based on a combination of business unit or corporate performance and individual strategic performance objectives, with the compensation committee retaining discretion to reduce, but not increase, any declared bonus. Awards under the STIP are payable in cash and are subject to continued employment, forfeiture and recoupment provisions, including any applicable clawback policy. For Fiscal 2027, participants will be eligible to receive a cash bonus under the STIP based, in part, on the Company's adjusted operating income for the fiscal year compared to an adjusted operating income target set by the compensation committee.</w:t>
      </w:r>
    </w:p>
    <w:p>
      <w:pPr>
        <w:spacing w:after="0" w:line="183" w:lineRule="exact"/>
        <w:rPr>
          <w:sz w:val="20"/>
          <w:szCs w:val="20"/>
          <w:color w:val="auto"/>
        </w:rPr>
      </w:pPr>
    </w:p>
    <w:p>
      <w:pPr>
        <w:ind w:right="300" w:firstLine="382"/>
        <w:spacing w:after="0" w:line="247" w:lineRule="auto"/>
        <w:tabs>
          <w:tab w:leader="none" w:pos="754"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Historical Bonus Bank. </w:t>
      </w:r>
      <w:r>
        <w:rPr>
          <w:rFonts w:ascii="Arial" w:cs="Arial" w:eastAsia="Arial" w:hAnsi="Arial"/>
          <w:sz w:val="18"/>
          <w:szCs w:val="18"/>
          <w:color w:val="auto"/>
        </w:rPr>
        <w:t>The historical banking feature under the EVA Plan was eliminated beginning in Fiscal 2024. Beginning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2024, awards for EVA results are capped at three times target and “negative awards” for results less than target are no longer possible. For Fiscal 2026, fifty percent of a named executive officer’s award in excess of two times the target bonus was required to be withheld to “repay” any negative bonus bank amount existing at Fiscal 2024 year-end.</w:t>
      </w:r>
    </w:p>
    <w:p>
      <w:pPr>
        <w:spacing w:after="0" w:line="174"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Consistent with the historical program design, any remaining negative balance from a single year will be canceled to the extent not repaid after three subsequent years, such that all negative balances will be eliminated by Fiscal 2026. Including Fiscal 2026 adjustments, the following remaining bonus bank balances for the named executive officers were canceled at the end of Fiscal 2026:</w:t>
      </w:r>
    </w:p>
    <w:p>
      <w:pPr>
        <w:spacing w:after="0" w:line="210"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Mimi E. Vaughn</w:t>
            </w:r>
          </w:p>
        </w:tc>
        <w:tc>
          <w:tcPr>
            <w:tcW w:w="38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(6,743,097)</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386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38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(1,475,621)</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38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(1,729,343)</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38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N/A</w:t>
            </w:r>
          </w:p>
        </w:tc>
      </w:tr>
    </w:tbl>
    <w:p>
      <w:pPr>
        <w:spacing w:after="0" w:line="224" w:lineRule="exact"/>
        <w:rPr>
          <w:sz w:val="20"/>
          <w:szCs w:val="20"/>
          <w:color w:val="auto"/>
        </w:rPr>
      </w:pPr>
    </w:p>
    <w:p>
      <w:pPr>
        <w:ind w:right="100" w:firstLine="382"/>
        <w:spacing w:after="0" w:line="253" w:lineRule="auto"/>
        <w:rPr>
          <w:sz w:val="20"/>
          <w:szCs w:val="20"/>
          <w:color w:val="auto"/>
        </w:rPr>
      </w:pPr>
      <w:r>
        <w:rPr>
          <w:rFonts w:ascii="Arial" w:cs="Arial" w:eastAsia="Arial" w:hAnsi="Arial"/>
          <w:sz w:val="18"/>
          <w:szCs w:val="18"/>
          <w:color w:val="auto"/>
        </w:rPr>
        <w:t>Bonuses reported in column (g) of the Summary Compensation Table below are cash bonuses actually payable for the years indicated. For Fiscal 2026, the named executive officers earned a bonus payment under the EVA Plan as set forth in column (g) in the Summary Compensation Table.</w:t>
      </w:r>
    </w:p>
    <w:p>
      <w:pPr>
        <w:spacing w:after="0" w:line="169" w:lineRule="exact"/>
        <w:rPr>
          <w:sz w:val="20"/>
          <w:szCs w:val="20"/>
          <w:color w:val="auto"/>
        </w:rPr>
      </w:pPr>
    </w:p>
    <w:p>
      <w:pPr>
        <w:ind w:right="40" w:firstLine="382"/>
        <w:spacing w:after="0" w:line="242"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Stock-Based Compensation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compensation committee included PSUs in the long-term incentive compensation program in Fiscal 2026, further linking the compensation of the Company’s named executive officers with Company performance. Each named executive officer’s long-term incentive compensation was awarded 50% in restricted stock and 50% in PSUs. Grants of restricted stock and PSUs to executive officers and other key employees of the Company are intended to provide them with an incentive to make decisions that are in the long-term best interests of the Company and to balance the shorter-term annual cash incentive component of executive compensation. Stock-based compensation is also intended to align the financial interests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management with those of the Company’s shareholders. The value of a share of restricted stock is dependent upon the Company’s stock price performance. Grants of PSUs are designed to reward the Company’s executive officers for creating long-term shareholder value. If the performance thresholds are not met, the PSUs do not vest and the executive does not receive compensation. If the performance thresholds and the service conditions are met, PSUs vest and a vested PSU represents the full value of a share of the Company’s common stock. The value of restricted stock and PSUs can either increase or decrease based on the trading price of the Company’s stock.</w:t>
      </w:r>
    </w:p>
    <w:p>
      <w:pPr>
        <w:spacing w:after="0" w:line="176" w:lineRule="exact"/>
        <w:rPr>
          <w:sz w:val="20"/>
          <w:szCs w:val="20"/>
          <w:color w:val="auto"/>
        </w:rPr>
      </w:pPr>
    </w:p>
    <w:p>
      <w:pPr>
        <w:ind w:left="600" w:hanging="210"/>
        <w:spacing w:after="0"/>
        <w:tabs>
          <w:tab w:leader="none" w:pos="6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The grant date fair value of restricted shares granted in April 2025 for each named executive officer is as follows: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Fiscal 2026</w:t>
            </w:r>
          </w:p>
        </w:tc>
      </w:tr>
      <w:tr>
        <w:trPr>
          <w:trHeight w:val="196"/>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7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3"/>
              <w:spacing w:after="0" w:line="196" w:lineRule="exact"/>
              <w:rPr>
                <w:sz w:val="20"/>
                <w:szCs w:val="20"/>
                <w:color w:val="auto"/>
              </w:rPr>
            </w:pPr>
            <w:r>
              <w:rPr>
                <w:rFonts w:ascii="Arial" w:cs="Arial" w:eastAsia="Arial" w:hAnsi="Arial"/>
                <w:sz w:val="18"/>
                <w:szCs w:val="18"/>
                <w:color w:val="auto"/>
              </w:rPr>
              <w:t>1,166,832</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269,280</w:t>
            </w: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154,692</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173,682</w:t>
            </w: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7"/>
                <w:szCs w:val="17"/>
                <w:color w:val="auto"/>
              </w:rPr>
              <w:t>Andrew I. Gray</w:t>
            </w:r>
            <w:r>
              <w:rPr>
                <w:rFonts w:ascii="Arial" w:cs="Arial" w:eastAsia="Arial" w:hAnsi="Arial"/>
                <w:sz w:val="23"/>
                <w:szCs w:val="23"/>
                <w:color w:val="auto"/>
                <w:vertAlign w:val="superscript"/>
              </w:rPr>
              <w:t>(1)</w:t>
            </w: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8,982</w:t>
            </w:r>
          </w:p>
        </w:tc>
      </w:tr>
    </w:tbl>
    <w:p>
      <w:pPr>
        <w:spacing w:after="0" w:line="332" w:lineRule="exact"/>
        <w:rPr>
          <w:sz w:val="20"/>
          <w:szCs w:val="20"/>
          <w:color w:val="auto"/>
        </w:rPr>
      </w:pPr>
    </w:p>
    <w:p>
      <w:pPr>
        <w:ind w:left="520" w:right="60" w:hanging="512"/>
        <w:spacing w:after="0" w:line="275"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December 2024, Mr. Gray received a grant equal to three years of restricted stock grants based on his compensation at that time in an effort to further align his interests with those of the Company’s shareholders in recognition of the impact of the turnaround of the Journeys’ business on the Company and its share price. Mr. Gray received a grant in April 2025 to cover only the change in his salary.</w:t>
      </w:r>
    </w:p>
    <w:p>
      <w:pPr>
        <w:spacing w:after="0" w:line="152" w:lineRule="exact"/>
        <w:rPr>
          <w:sz w:val="20"/>
          <w:szCs w:val="20"/>
          <w:color w:val="auto"/>
        </w:rPr>
      </w:pPr>
    </w:p>
    <w:p>
      <w:pPr>
        <w:ind w:right="160" w:firstLine="382"/>
        <w:spacing w:after="0" w:line="247" w:lineRule="auto"/>
        <w:rPr>
          <w:sz w:val="20"/>
          <w:szCs w:val="20"/>
          <w:color w:val="auto"/>
        </w:rPr>
      </w:pPr>
      <w:r>
        <w:rPr>
          <w:rFonts w:ascii="Arial" w:cs="Arial" w:eastAsia="Arial" w:hAnsi="Arial"/>
          <w:sz w:val="18"/>
          <w:szCs w:val="18"/>
          <w:color w:val="auto"/>
        </w:rPr>
        <w:t>The restricted stock is subject to forfeiture upon termination of the participant’s employment prior to vesting, which, for the Company’s annual award grant in April 2025, occurs in three equal annual increments from the date of grant. Prior to Fiscal 2024, awards of restricted stock generally vested in four equal annual increments. The compensation committee determined to shorten the vesting period with respect to restricted stock to align with market practice.</w:t>
      </w:r>
    </w:p>
    <w:p>
      <w:pPr>
        <w:spacing w:after="0" w:line="174" w:lineRule="exact"/>
        <w:rPr>
          <w:sz w:val="20"/>
          <w:szCs w:val="20"/>
          <w:color w:val="auto"/>
        </w:rPr>
      </w:pPr>
    </w:p>
    <w:p>
      <w:pPr>
        <w:ind w:firstLine="390"/>
        <w:spacing w:after="0" w:line="238" w:lineRule="auto"/>
        <w:tabs>
          <w:tab w:leader="none" w:pos="632"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PSUs</w:t>
      </w:r>
      <w:r>
        <w:rPr>
          <w:rFonts w:ascii="Arial" w:cs="Arial" w:eastAsia="Arial" w:hAnsi="Arial"/>
          <w:sz w:val="18"/>
          <w:szCs w:val="18"/>
          <w:color w:val="auto"/>
        </w:rPr>
        <w:t>. The number of PSUs that vest, if any, is based upon the achievement of targeted performance metrics and can range from</w:t>
      </w:r>
      <w:r>
        <w:rPr>
          <w:rFonts w:ascii="Arial" w:cs="Arial" w:eastAsia="Arial" w:hAnsi="Arial"/>
          <w:sz w:val="18"/>
          <w:szCs w:val="18"/>
          <w:i w:val="1"/>
          <w:iCs w:val="1"/>
          <w:color w:val="auto"/>
        </w:rPr>
        <w:t xml:space="preserve"> </w:t>
      </w:r>
      <w:r>
        <w:rPr>
          <w:rFonts w:ascii="Arial" w:cs="Arial" w:eastAsia="Arial" w:hAnsi="Arial"/>
          <w:sz w:val="18"/>
          <w:szCs w:val="18"/>
          <w:color w:val="auto"/>
        </w:rPr>
        <w:t>50% of target (at threshold) to 200% of target (at maximum) (or 0%, if performance is below the threshold level). The performance metric for the PSUs granted in Fiscal 2026 is adjusted operating income by business unit over the three-year period ended January 29, 2028 compared to a target level of achievement set by the compensation committee. The target levels of achievement are based on the Company’s GAAP operating income as reported in the 2028 Annual Report, adjusted for the effects of foreign currency movement and other appropriate adjustments including for future acquisitions and divestitures, charges for restructurings, discontinued operations and extraordinary items, other significant unusual or non-recurring items and the effects of regulatory, accounting or tax changes. Earned PSUs will vest on February 1, 2028 subject to continued employment with the Company. Among the named executive officers receiving PSUs in Fiscal 2026, Ms. Vaughn, Ms. Harris, Mr. Desai and Mr. Becker were assigned 100% to the Corporate Total business unit; and Mr. Gray was assigned 100% to the Journeys Group business unit. The target level of achievement was set by the compensation committee after considering a number of factors including the Company’s business plan, general economic conditions, performance trends in the retail industry, growth rates of comparable retailers and investor expectations. The performance goals were designed to be challenging but achievable if the Company successfully executes on its business plan over the performance period.</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grant date fair value of PSUs granted in July 2025 for each named executive officer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Fiscal 2026</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7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33"/>
              <w:spacing w:after="0" w:line="196" w:lineRule="exact"/>
              <w:rPr>
                <w:sz w:val="20"/>
                <w:szCs w:val="20"/>
                <w:color w:val="auto"/>
              </w:rPr>
            </w:pPr>
            <w:r>
              <w:rPr>
                <w:rFonts w:ascii="Arial" w:cs="Arial" w:eastAsia="Arial" w:hAnsi="Arial"/>
                <w:sz w:val="18"/>
                <w:szCs w:val="18"/>
                <w:color w:val="auto"/>
              </w:rPr>
              <w:t>1,550,590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357,843</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205,568</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230,804</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390,638</w:t>
            </w:r>
          </w:p>
        </w:tc>
      </w:tr>
    </w:tbl>
    <w:p>
      <w:pPr>
        <w:spacing w:after="0" w:line="224" w:lineRule="exact"/>
        <w:rPr>
          <w:sz w:val="20"/>
          <w:szCs w:val="20"/>
          <w:color w:val="auto"/>
        </w:rPr>
      </w:pPr>
    </w:p>
    <w:p>
      <w:pPr>
        <w:ind w:right="60" w:firstLine="382"/>
        <w:spacing w:after="0" w:line="244" w:lineRule="auto"/>
        <w:rPr>
          <w:sz w:val="20"/>
          <w:szCs w:val="20"/>
          <w:color w:val="auto"/>
        </w:rPr>
      </w:pPr>
      <w:r>
        <w:rPr>
          <w:rFonts w:ascii="Arial" w:cs="Arial" w:eastAsia="Arial" w:hAnsi="Arial"/>
          <w:sz w:val="18"/>
          <w:szCs w:val="18"/>
          <w:color w:val="auto"/>
        </w:rPr>
        <w:t>The value of the PSU grants reflects the grant date fair value of the awards assuming target level of achievement, and actual achievement may be higher or lower than the target and the actual number of shares awarded may be more or less. Once the performance period ends, the compensation committee will determine whether the targets were met and, if so, the corresponding level of achievement. If the applicable performance targets are met by a business unit, the earned PSUs vest on February 1, 2028, subject to continued employment with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Achievement for Fiscal 2024 PSU Grants</w:t>
      </w:r>
    </w:p>
    <w:p>
      <w:pPr>
        <w:spacing w:after="0" w:line="212" w:lineRule="exact"/>
        <w:rPr>
          <w:sz w:val="20"/>
          <w:szCs w:val="20"/>
          <w:color w:val="auto"/>
        </w:rPr>
      </w:pPr>
    </w:p>
    <w:p>
      <w:pPr>
        <w:ind w:right="80" w:firstLine="382"/>
        <w:spacing w:after="0" w:line="244" w:lineRule="auto"/>
        <w:rPr>
          <w:sz w:val="20"/>
          <w:szCs w:val="20"/>
          <w:color w:val="auto"/>
        </w:rPr>
      </w:pPr>
      <w:r>
        <w:rPr>
          <w:rFonts w:ascii="Arial" w:cs="Arial" w:eastAsia="Arial" w:hAnsi="Arial"/>
          <w:sz w:val="18"/>
          <w:szCs w:val="18"/>
          <w:color w:val="auto"/>
        </w:rPr>
        <w:t>Each of our named executive officers, other than Ms. Harris and Mr. Gray, were granted PSUs for Fiscal 2024 that covered the three-year period of Fiscal 2024, Fiscal 2025 and Fiscal 2026. The performance metrics for the Fiscal 2024 PSUs were adjusted operating income by business unit over a three-year period ended January 31, 2026 as compared to the target level of achievement set by the compensation committee at the time of grant in 2023. The potential range of achievement and actual achievement for the PSUs granted in 2023 with respect to the cumulative results for Fiscal 2024, Fiscal 2025 and Fiscal 2026 are indicated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Fiscal 2024 through Fiscal 2026 Potential Achievement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Payout</w:t>
            </w: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ind w:right="19"/>
              <w:spacing w:after="0" w:line="168" w:lineRule="exact"/>
              <w:rPr>
                <w:sz w:val="20"/>
                <w:szCs w:val="20"/>
                <w:color w:val="auto"/>
              </w:rPr>
            </w:pPr>
            <w:r>
              <w:rPr>
                <w:rFonts w:ascii="Arial" w:cs="Arial" w:eastAsia="Arial" w:hAnsi="Arial"/>
                <w:sz w:val="16"/>
                <w:szCs w:val="16"/>
                <w:b w:val="1"/>
                <w:bCs w:val="1"/>
                <w:color w:val="auto"/>
              </w:rPr>
              <w:t>Threshold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center"/>
              <w:ind w:right="199"/>
              <w:spacing w:after="0" w:line="168" w:lineRule="exact"/>
              <w:rPr>
                <w:sz w:val="20"/>
                <w:szCs w:val="20"/>
                <w:color w:val="auto"/>
              </w:rPr>
            </w:pPr>
            <w:r>
              <w:rPr>
                <w:rFonts w:ascii="Arial" w:cs="Arial" w:eastAsia="Arial" w:hAnsi="Arial"/>
                <w:sz w:val="16"/>
                <w:szCs w:val="16"/>
                <w:b w:val="1"/>
                <w:bCs w:val="1"/>
                <w:color w:val="auto"/>
                <w:w w:val="98"/>
              </w:rPr>
              <w:t>Target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99"/>
              <w:spacing w:after="0" w:line="168" w:lineRule="exact"/>
              <w:rPr>
                <w:sz w:val="20"/>
                <w:szCs w:val="20"/>
                <w:color w:val="auto"/>
              </w:rPr>
            </w:pPr>
            <w:r>
              <w:rPr>
                <w:rFonts w:ascii="Arial" w:cs="Arial" w:eastAsia="Arial" w:hAnsi="Arial"/>
                <w:sz w:val="16"/>
                <w:szCs w:val="16"/>
                <w:b w:val="1"/>
                <w:bCs w:val="1"/>
                <w:color w:val="auto"/>
              </w:rPr>
              <w:t>Maximum</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PSU Performance Metrics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(50% Achievement)</w:t>
            </w:r>
          </w:p>
        </w:tc>
        <w:tc>
          <w:tcPr>
            <w:tcW w:w="120" w:type="dxa"/>
            <w:vAlign w:val="bottom"/>
          </w:tcPr>
          <w:p>
            <w:pPr>
              <w:spacing w:after="0"/>
              <w:rPr>
                <w:sz w:val="17"/>
                <w:szCs w:val="17"/>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(100% Achievement)</w:t>
            </w:r>
          </w:p>
        </w:tc>
        <w:tc>
          <w:tcPr>
            <w:tcW w:w="120" w:type="dxa"/>
            <w:vAlign w:val="bottom"/>
          </w:tcPr>
          <w:p>
            <w:pPr>
              <w:spacing w:after="0"/>
              <w:rPr>
                <w:sz w:val="17"/>
                <w:szCs w:val="17"/>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(200% Achievement)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Achievement</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Rate</w:t>
            </w:r>
          </w:p>
        </w:tc>
        <w:tc>
          <w:tcPr>
            <w:tcW w:w="0" w:type="dxa"/>
            <w:vAlign w:val="bottom"/>
          </w:tcPr>
          <w:p>
            <w:pPr>
              <w:spacing w:after="0"/>
              <w:rPr>
                <w:sz w:val="1"/>
                <w:szCs w:val="1"/>
                <w:color w:val="auto"/>
              </w:rPr>
            </w:pPr>
          </w:p>
        </w:tc>
      </w:tr>
      <w:tr>
        <w:trPr>
          <w:trHeight w:val="168"/>
        </w:trPr>
        <w:tc>
          <w:tcPr>
            <w:tcW w:w="304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Adjusted Operating Income —</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Corporate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267,435,000</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289,628,000</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338,489,000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57,093,000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90"/>
        <w:spacing w:after="0"/>
        <w:tabs>
          <w:tab w:leader="none" w:pos="672"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Total Long-Term Equity Incentive Compensation</w:t>
      </w:r>
      <w:r>
        <w:rPr>
          <w:rFonts w:ascii="Arial" w:cs="Arial" w:eastAsia="Arial" w:hAnsi="Arial"/>
          <w:sz w:val="18"/>
          <w:szCs w:val="18"/>
          <w:color w:val="auto"/>
        </w:rPr>
        <w:t>. Total long-term equity incentive compensation decreased by the following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of the named executive officers for Fiscal 2026. The decreases in total long-term equity incentive compensation are primarily related to variances in connection with the use of grant date fair value. Mr. Gray's Fiscal 2025 award included an award in December 2024 equal to three years of restricted stock grants valued at $2,055,577 in an effort to further align his interests with those of the Company’s shareholders in recognition of the impact of the turnaround of the Journeys’ business on the Company and its share price. Those restricted shares vest over a five-year period to align with the normal vesting period had Mr. Gray received awards over the three-year period. Ms. Harris was granted more shares in Fiscal 2026 compared to Fiscal 2025 since the Fiscal 2025 grant was an initial grant at date of hire.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Fiscal 2026</w:t>
            </w:r>
          </w:p>
        </w:tc>
        <w:tc>
          <w:tcPr>
            <w:tcW w:w="1520" w:type="dxa"/>
            <w:vAlign w:val="bottom"/>
          </w:tcPr>
          <w:p>
            <w:pPr>
              <w:jc w:val="right"/>
              <w:ind w:right="295"/>
              <w:spacing w:after="0"/>
              <w:rPr>
                <w:sz w:val="20"/>
                <w:szCs w:val="20"/>
                <w:color w:val="auto"/>
              </w:rPr>
            </w:pPr>
            <w:r>
              <w:rPr>
                <w:rFonts w:ascii="Arial" w:cs="Arial" w:eastAsia="Arial" w:hAnsi="Arial"/>
                <w:sz w:val="14"/>
                <w:szCs w:val="14"/>
                <w:b w:val="1"/>
                <w:bCs w:val="1"/>
                <w:color w:val="auto"/>
              </w:rPr>
              <w:t>Fiscal 2026</w:t>
            </w:r>
          </w:p>
        </w:tc>
      </w:tr>
      <w:tr>
        <w:trPr>
          <w:trHeight w:val="171"/>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Fiscal 2025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Fiscal 2026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Inc (Dec) $</w:t>
            </w:r>
          </w:p>
        </w:tc>
        <w:tc>
          <w:tcPr>
            <w:tcW w:w="220" w:type="dxa"/>
            <w:vAlign w:val="bottom"/>
          </w:tcPr>
          <w:p>
            <w:pPr>
              <w:spacing w:after="0"/>
              <w:rPr>
                <w:sz w:val="14"/>
                <w:szCs w:val="14"/>
                <w:color w:val="auto"/>
              </w:rPr>
            </w:pPr>
          </w:p>
        </w:tc>
        <w:tc>
          <w:tcPr>
            <w:tcW w:w="15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Inc (Dec) %</w:t>
            </w: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3,475,696</w:t>
            </w:r>
          </w:p>
        </w:tc>
        <w:tc>
          <w:tcPr>
            <w:tcW w:w="3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2,717,422</w:t>
            </w:r>
          </w:p>
        </w:tc>
        <w:tc>
          <w:tcPr>
            <w:tcW w:w="3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(758,274)</w:t>
            </w:r>
          </w:p>
        </w:tc>
        <w:tc>
          <w:tcPr>
            <w:tcW w:w="1520" w:type="dxa"/>
            <w:vAlign w:val="bottom"/>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rPr>
              <w:t>(21.8)%</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284,514</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627,123</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342,609</w:t>
            </w:r>
          </w:p>
        </w:tc>
        <w:tc>
          <w:tcPr>
            <w:tcW w:w="220" w:type="dxa"/>
            <w:vAlign w:val="bottom"/>
          </w:tcPr>
          <w:p>
            <w:pPr>
              <w:spacing w:after="0"/>
              <w:rPr>
                <w:sz w:val="17"/>
                <w:szCs w:val="17"/>
                <w:color w:val="auto"/>
              </w:rPr>
            </w:pPr>
          </w:p>
        </w:tc>
        <w:tc>
          <w:tcPr>
            <w:tcW w:w="15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120.4%</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504,886</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360,260</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(144,625)</w:t>
            </w:r>
          </w:p>
        </w:tc>
        <w:tc>
          <w:tcPr>
            <w:tcW w:w="15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(28.6)%</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567,208</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404,486</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(162,722)</w:t>
            </w:r>
          </w:p>
        </w:tc>
        <w:tc>
          <w:tcPr>
            <w:tcW w:w="15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(28.7)%</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2,502,929</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399,620</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(2,103,309)</w:t>
            </w:r>
          </w:p>
        </w:tc>
        <w:tc>
          <w:tcPr>
            <w:tcW w:w="15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(84.0)%</w:t>
            </w:r>
          </w:p>
        </w:tc>
      </w:tr>
    </w:tbl>
    <w:p>
      <w:pPr>
        <w:spacing w:after="0" w:line="319" w:lineRule="exact"/>
        <w:rPr>
          <w:sz w:val="20"/>
          <w:szCs w:val="20"/>
          <w:color w:val="auto"/>
        </w:rPr>
      </w:pPr>
    </w:p>
    <w:p>
      <w:pPr>
        <w:ind w:firstLine="382"/>
        <w:spacing w:after="0" w:line="238" w:lineRule="auto"/>
        <w:tabs>
          <w:tab w:leader="none" w:pos="674"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Timing of Awards and Policies and Practices Related to the Grant of Equity Awards</w:t>
      </w:r>
      <w:r>
        <w:rPr>
          <w:rFonts w:ascii="Arial" w:cs="Arial" w:eastAsia="Arial" w:hAnsi="Arial"/>
          <w:sz w:val="18"/>
          <w:szCs w:val="18"/>
          <w:color w:val="auto"/>
        </w:rPr>
        <w:t>. While we do not have a formal written policy in</w:t>
      </w:r>
      <w:r>
        <w:rPr>
          <w:rFonts w:ascii="Arial" w:cs="Arial" w:eastAsia="Arial" w:hAnsi="Arial"/>
          <w:sz w:val="18"/>
          <w:szCs w:val="18"/>
          <w:i w:val="1"/>
          <w:iCs w:val="1"/>
          <w:color w:val="auto"/>
        </w:rPr>
        <w:t xml:space="preserve"> </w:t>
      </w:r>
      <w:r>
        <w:rPr>
          <w:rFonts w:ascii="Arial" w:cs="Arial" w:eastAsia="Arial" w:hAnsi="Arial"/>
          <w:sz w:val="18"/>
          <w:szCs w:val="18"/>
          <w:color w:val="auto"/>
        </w:rPr>
        <w:t>place with respect to the timing of awards of restricted stock, PSUs, options or other equity awards, stock-based incentive awards in the form of restricted stock and PSUs are typically granted to executive officers and other key employees once annually on fixed dates determined in advance. On limited occasions, the compensation committee may grant equity awards outside of our annual grant cycle for new hires, promotions, recognition, retention or other purposes. The compensation committee does not award stock-based incentive grants in relation to the Company’s release of material information, and the compensation committee does not take material non-public information into account when determining the timing and terms of an award. The Company does not time the disclosure of material non-public information for the purpose of affecting the value of executive compensation. Historically, with limited exceptions, prior to Fiscal 2024 awards had been made in June. In Fiscal 2026, Fiscal 2025 and Fiscal 2024, in connection with the compensation committee setting performance targets for PSUs and to align with customary practice, awards were granted in July for Fiscal 2026 and April for Fiscal 2025 and Fiscal 2024. Awards are expected to continue to be made in the spring of each fiscal year except that awards of PSUs for Fiscal 2027 are expected to be made in July of 2026 following the shareholder vote on Proposal 3.</w:t>
      </w:r>
    </w:p>
    <w:p>
      <w:pPr>
        <w:spacing w:after="0" w:line="182" w:lineRule="exact"/>
        <w:rPr>
          <w:rFonts w:ascii="Arial" w:cs="Arial" w:eastAsia="Arial" w:hAnsi="Arial"/>
          <w:sz w:val="18"/>
          <w:szCs w:val="18"/>
          <w:i w:val="1"/>
          <w:iCs w:val="1"/>
          <w:color w:val="auto"/>
        </w:rPr>
      </w:pPr>
    </w:p>
    <w:p>
      <w:pPr>
        <w:ind w:right="480" w:firstLine="382"/>
        <w:spacing w:after="0" w:line="271" w:lineRule="auto"/>
        <w:tabs>
          <w:tab w:leader="none" w:pos="634"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Ownership Guidelines</w:t>
      </w:r>
      <w:r>
        <w:rPr>
          <w:rFonts w:ascii="Arial" w:cs="Arial" w:eastAsia="Arial" w:hAnsi="Arial"/>
          <w:sz w:val="18"/>
          <w:szCs w:val="18"/>
          <w:color w:val="auto"/>
        </w:rPr>
        <w:t>. The Company’s officers are subject to share ownership guidelines. See “Security Ownership of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Principal Shareholders — Director and Executive Officer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0" w:hanging="190"/>
        <w:spacing w:after="0"/>
        <w:tabs>
          <w:tab w:leader="none" w:pos="5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Compensation.</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A. </w:t>
      </w:r>
      <w:r>
        <w:rPr>
          <w:rFonts w:ascii="Arial" w:cs="Arial" w:eastAsia="Arial" w:hAnsi="Arial"/>
          <w:sz w:val="18"/>
          <w:szCs w:val="18"/>
          <w:i w:val="1"/>
          <w:iCs w:val="1"/>
          <w:u w:val="single" w:color="auto"/>
          <w:color w:val="auto"/>
        </w:rPr>
        <w:t>Change of Control Arrangements, Severance Plans and Arrangements with Mr. Gray and Ms. Harris.</w:t>
      </w:r>
    </w:p>
    <w:p>
      <w:pPr>
        <w:spacing w:after="0" w:line="210" w:lineRule="exact"/>
        <w:rPr>
          <w:sz w:val="20"/>
          <w:szCs w:val="20"/>
          <w:color w:val="auto"/>
        </w:rPr>
      </w:pPr>
    </w:p>
    <w:p>
      <w:pPr>
        <w:ind w:firstLine="390"/>
        <w:spacing w:after="0"/>
        <w:tabs>
          <w:tab w:leader="none" w:pos="592"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 of Control Arrangements and Severance Plan. </w:t>
      </w:r>
      <w:r>
        <w:rPr>
          <w:rFonts w:ascii="Arial" w:cs="Arial" w:eastAsia="Arial" w:hAnsi="Arial"/>
          <w:sz w:val="18"/>
          <w:szCs w:val="18"/>
          <w:color w:val="auto"/>
        </w:rPr>
        <w:t>All the named executive officers are parties to employment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which become effective only in the event of a change of control (as defined in the agreements). Each agreement provides for employment by the Company for a term of up to three years following a change of control. In the event that the executive’s employment is terminated under certain circumstances during the contractual employment period after a change of control, the executive is entitled to a lump sum payment and the continuation of certain benefits, as described below under the heading “Change of Control Arrangements and Severance Plans.” Additionally, awards made by the Company under the Third Amended and Restated 2009 Equity Incentive Plan and the Amended and Restated 2020 Equity Incentive Plan become immediately vested and exercisable upon a “change of control” unless the award is assumed by the acquirer or new rights meeting certain conditions are substituted therefor.</w:t>
      </w:r>
    </w:p>
    <w:p>
      <w:pPr>
        <w:spacing w:after="0" w:line="180" w:lineRule="exact"/>
        <w:rPr>
          <w:sz w:val="20"/>
          <w:szCs w:val="20"/>
          <w:color w:val="auto"/>
        </w:rPr>
      </w:pPr>
    </w:p>
    <w:p>
      <w:pPr>
        <w:ind w:right="80" w:firstLine="382"/>
        <w:spacing w:after="0" w:line="244" w:lineRule="auto"/>
        <w:rPr>
          <w:sz w:val="20"/>
          <w:szCs w:val="20"/>
          <w:color w:val="auto"/>
        </w:rPr>
      </w:pPr>
      <w:r>
        <w:rPr>
          <w:rFonts w:ascii="Arial" w:cs="Arial" w:eastAsia="Arial" w:hAnsi="Arial"/>
          <w:sz w:val="18"/>
          <w:szCs w:val="18"/>
          <w:color w:val="auto"/>
        </w:rPr>
        <w:t>The Company maintains a severance plan (the “Severance Plan”) for monthly-paid salaried employees to provide for certain benefits to covered employees (including the named executive officers) in the event of a Company-initiated separation from the Company other than for cause (as defined in the Severance Plan). Under the terms of the Severance Plan, an eligible employee is entitled to one week of base salary at the termination date multiplied by each year of service with the Company with a maximum of 24 weeks and a minimum of two weeks. The Severance Plan is discussed in further detail under the heading “Change of Control Arrangements and Severance Plans.”</w:t>
      </w:r>
    </w:p>
    <w:p>
      <w:pPr>
        <w:spacing w:after="0" w:line="176" w:lineRule="exact"/>
        <w:rPr>
          <w:sz w:val="20"/>
          <w:szCs w:val="20"/>
          <w:color w:val="auto"/>
        </w:rPr>
      </w:pPr>
    </w:p>
    <w:p>
      <w:pPr>
        <w:ind w:right="60" w:firstLine="382"/>
        <w:spacing w:after="0" w:line="239" w:lineRule="auto"/>
        <w:rPr>
          <w:sz w:val="20"/>
          <w:szCs w:val="20"/>
          <w:color w:val="auto"/>
        </w:rPr>
      </w:pPr>
      <w:r>
        <w:rPr>
          <w:rFonts w:ascii="Arial" w:cs="Arial" w:eastAsia="Arial" w:hAnsi="Arial"/>
          <w:sz w:val="18"/>
          <w:szCs w:val="18"/>
          <w:color w:val="auto"/>
        </w:rPr>
        <w:t>Effective May 2, 2024, the Company maintains an executive severance plan (the “Executive Severance Plan”) for certain executive employees to provide for certain benefits in the event employment is terminated (i) by the Company for any reason other than for Cause (as defined in the Executive Severance Plan), and that is not the result of (x) a resignation of the executive without Good Reason, (y) death or disability, or (z) in connection with certain sale transactions whereby the participant is offered a Suitable Position (as defined in the Executive Severance Plan), or (ii) by the employee for Good Reason (as defined in Executive Severance Plan) (each such termination, a “Covered Termination”). Under the terms of the plan, upon a Covered Termination, such an employee is eligible to receive monthly cash severance payments in an aggregate amount equal to (i) twelve (12) months of such employee’s base salary or, in the case of an employee who is the chief executive officer of the Company, twenty-four (24) months of such employee’s base salary and (ii) twelve (12) months of COBRA Premiums (as defined in the Executive Severance Plan) or, in the case of an employee who is the chief executive officer of the Company, twenty-four (24) months of COBRA Premiums.</w:t>
      </w:r>
    </w:p>
    <w:p>
      <w:pPr>
        <w:spacing w:after="0" w:line="180" w:lineRule="exact"/>
        <w:rPr>
          <w:sz w:val="20"/>
          <w:szCs w:val="20"/>
          <w:color w:val="auto"/>
        </w:rPr>
      </w:pPr>
    </w:p>
    <w:p>
      <w:pPr>
        <w:ind w:firstLine="382"/>
        <w:spacing w:after="0" w:line="244" w:lineRule="auto"/>
        <w:rPr>
          <w:sz w:val="20"/>
          <w:szCs w:val="20"/>
          <w:color w:val="auto"/>
        </w:rPr>
      </w:pPr>
      <w:r>
        <w:rPr>
          <w:rFonts w:ascii="Arial" w:cs="Arial" w:eastAsia="Arial" w:hAnsi="Arial"/>
          <w:sz w:val="18"/>
          <w:szCs w:val="18"/>
          <w:color w:val="auto"/>
        </w:rPr>
        <w:t>The Company believes that reasonable severance and change of control benefits are necessary in order to recruit and retain effective senior managers. These severance benefits reflect the fact that it may be difficult for such executives to find comparable employment within a short period of time and are a product of a recruiting environment within our industry that has historically been competitive. The Company also believes that a change of control arrangement will provide an executive security that will likely reduce the reluctance of an executive to pursue a change of control transaction that could be in the best interests of shareholders.</w:t>
      </w:r>
    </w:p>
    <w:p>
      <w:pPr>
        <w:spacing w:after="0" w:line="176" w:lineRule="exact"/>
        <w:rPr>
          <w:sz w:val="20"/>
          <w:szCs w:val="20"/>
          <w:color w:val="auto"/>
        </w:rPr>
      </w:pPr>
    </w:p>
    <w:p>
      <w:pPr>
        <w:ind w:firstLine="390"/>
        <w:spacing w:after="0"/>
        <w:tabs>
          <w:tab w:leader="none" w:pos="731"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Arrangements with Mr. Gray. </w:t>
      </w:r>
      <w:r>
        <w:rPr>
          <w:rFonts w:ascii="Arial" w:cs="Arial" w:eastAsia="Arial" w:hAnsi="Arial"/>
          <w:sz w:val="18"/>
          <w:szCs w:val="18"/>
          <w:color w:val="auto"/>
        </w:rPr>
        <w:t>In connection with his appointment as President of Journeys in January 2024, Mr. Gray is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 annual base salary of not less than $635,000. Mr. Gray participated in the Company’s EVA Plan (as such plan may be amended from time to time) to receive a target incentive award for Fiscal 2025 equal to 75% of his base salary and was eligible to receive Company stock under the Company’s long-term incentive compensation program equal to 150% of his annual base salary (the “LTI Compensation Award”), comprised of a mix of time-based restricted stock awards (“RSAs”) and performance share units. Fifty percent of Mr. Gray’s total LTI Compensation Award for Fiscal 2025 was granted on January 12, 2024 in the form of RSAs that vest over an accelerated 2-year ratable vesting period. Mr. Gray was entitled to receive relocation assistance, including coverage of direct moving costs not to exceed $50,000, standard and customary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closing costs or lease termination costs not to exceed $50,000, and a relocation bonus in the amount of $ 25,000. The Company’s relocation assistance was subject to a reimbursement requirement upon voluntary termination within two years from Mr. Gray’s date of employment. Mr. Gray was paid a $25,000 quarterly travel and lodging stipend through July 2025, not to exceed $175,000 in total.</w:t>
      </w:r>
    </w:p>
    <w:p>
      <w:pPr>
        <w:spacing w:after="0" w:line="169" w:lineRule="exact"/>
        <w:rPr>
          <w:sz w:val="20"/>
          <w:szCs w:val="20"/>
          <w:color w:val="auto"/>
        </w:rPr>
      </w:pPr>
    </w:p>
    <w:p>
      <w:pPr>
        <w:ind w:right="40" w:firstLine="390"/>
        <w:spacing w:after="0" w:line="238" w:lineRule="auto"/>
        <w:tabs>
          <w:tab w:leader="none" w:pos="782" w:val="left"/>
        </w:tabs>
        <w:numPr>
          <w:ilvl w:val="1"/>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Arrangements with Ms. Harris. </w:t>
      </w:r>
      <w:r>
        <w:rPr>
          <w:rFonts w:ascii="Arial" w:cs="Arial" w:eastAsia="Arial" w:hAnsi="Arial"/>
          <w:sz w:val="18"/>
          <w:szCs w:val="18"/>
          <w:color w:val="auto"/>
        </w:rPr>
        <w:t>Ms. Harris resigned from the Company effective as of March 6, 2026. Following her resignation, Ms.</w:t>
      </w:r>
      <w:r>
        <w:rPr>
          <w:rFonts w:ascii="Arial" w:cs="Arial" w:eastAsia="Arial" w:hAnsi="Arial"/>
          <w:sz w:val="18"/>
          <w:szCs w:val="18"/>
          <w:i w:val="1"/>
          <w:iCs w:val="1"/>
          <w:color w:val="auto"/>
        </w:rPr>
        <w:t xml:space="preserve"> </w:t>
      </w:r>
      <w:r>
        <w:rPr>
          <w:rFonts w:ascii="Arial" w:cs="Arial" w:eastAsia="Arial" w:hAnsi="Arial"/>
          <w:sz w:val="18"/>
          <w:szCs w:val="18"/>
          <w:color w:val="auto"/>
        </w:rPr>
        <w:t>Harris provided consulting services to the Company through March 25, 2026 pursuant to a consulting agreement. In connection with her appointment as senior vice president – finance and chief financial officer in October 2024, Ms. Harris received an annual base salary of $600,000. Ms. Harris participated in the Company’s EVA Plan (as such plan may be amended from time to time) and was eligible to receive annual incentive compensation under the EVA Plan. Subject to the approval of the compensation committee of the Company’s Board of Directors, for the fiscal year beginning February 2, 2025, Ms. Harris became eligible to receive Company stock under the Company’s long-term incentive compensation program equal to 150% of Ms. Harris’ annual base salary, comprised of a mix of 50% time-based RSAs and 50% performance share units. In October 2024, Ms. Harris was granted $300,000 in shares of restricted stock that vest in equal annual installments over a two-year ratable vesting period. In October 2025, one-half of these shares vested and the remaining one-half of the shares were forfeited as of March 6, 2026, effective with Ms. Harris’ resignation from the Company. Ms. Harris received relocation assistance, including coverage of direct moving costs not to exceed $25,000. Ms. Harris was paid a $25,000 quarterly travel and lodging stipend through October 2025.</w:t>
      </w:r>
    </w:p>
    <w:p>
      <w:pPr>
        <w:spacing w:after="0" w:line="182" w:lineRule="exact"/>
        <w:rPr>
          <w:rFonts w:ascii="Arial" w:cs="Arial" w:eastAsia="Arial" w:hAnsi="Arial"/>
          <w:sz w:val="18"/>
          <w:szCs w:val="18"/>
          <w:i w:val="1"/>
          <w:iCs w:val="1"/>
          <w:color w:val="auto"/>
        </w:rPr>
      </w:pPr>
    </w:p>
    <w:p>
      <w:pPr>
        <w:ind w:right="60" w:firstLine="382"/>
        <w:spacing w:after="0" w:line="239" w:lineRule="auto"/>
        <w:tabs>
          <w:tab w:leader="none" w:pos="594"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Defined Contribution and Deferred Income Plans</w:t>
      </w:r>
      <w:r>
        <w:rPr>
          <w:rFonts w:ascii="Arial" w:cs="Arial" w:eastAsia="Arial" w:hAnsi="Arial"/>
          <w:sz w:val="18"/>
          <w:szCs w:val="18"/>
          <w:i w:val="1"/>
          <w:iCs w:val="1"/>
          <w:color w:val="auto"/>
        </w:rPr>
        <w:t xml:space="preserve">. (i) Defined Contribution Plan. </w:t>
      </w:r>
      <w:r>
        <w:rPr>
          <w:rFonts w:ascii="Arial" w:cs="Arial" w:eastAsia="Arial" w:hAnsi="Arial"/>
          <w:sz w:val="18"/>
          <w:szCs w:val="18"/>
          <w:color w:val="auto"/>
        </w:rPr>
        <w:t>The Company also offers to all employees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named executive officers) a voluntary defined contribution plan (the “401(k) Plan”) designed to comply with Section 401(k) of the Internal Revenue Code of 1986, as amended (the “Code”). Participants in the 401(k) Plan (including all the named executive officers) may defer a percentage of their qualifying pre-tax compensation for each year. Beginning with calendar year 2006, the Company has made a matching contribution equal to 100% of deferrals up to 3% of compensation (limited to $250,000) plus 50% of the next 2% of compensation (similarly limited) deferred. Matching contribution amounts for each named executive officer for Fiscal 2026 are included in column (i) of the “Summary Compensation Table,” below. Deferrals and matching contributions to the defined contribution plan may be invested in any of a number of mutual fund investments and in a guaranteed income option. Participants may also self-direct their investments, subject to certain restrictions.</w:t>
      </w:r>
    </w:p>
    <w:p>
      <w:pPr>
        <w:spacing w:after="0" w:line="183" w:lineRule="exact"/>
        <w:rPr>
          <w:rFonts w:ascii="Arial" w:cs="Arial" w:eastAsia="Arial" w:hAnsi="Arial"/>
          <w:sz w:val="18"/>
          <w:szCs w:val="18"/>
          <w:i w:val="1"/>
          <w:iCs w:val="1"/>
          <w:color w:val="auto"/>
        </w:rPr>
      </w:pPr>
    </w:p>
    <w:p>
      <w:pPr>
        <w:ind w:right="260" w:firstLine="382"/>
        <w:spacing w:after="0" w:line="247" w:lineRule="auto"/>
        <w:tabs>
          <w:tab w:leader="none" w:pos="624" w:val="left"/>
        </w:tabs>
        <w:numPr>
          <w:ilvl w:val="1"/>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Deferred Income Plan. </w:t>
      </w:r>
      <w:r>
        <w:rPr>
          <w:rFonts w:ascii="Arial" w:cs="Arial" w:eastAsia="Arial" w:hAnsi="Arial"/>
          <w:sz w:val="18"/>
          <w:szCs w:val="18"/>
          <w:color w:val="auto"/>
        </w:rPr>
        <w:t>The named executive officers, in addition to other eligible employees, may participate in the Genesco Inc.</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Restated Deferred Income Plan (the “Deferred Income Plan”). Under the Deferred Income Plan, the participant may elect to defer up to 15% of base salary and 100% of bonus payouts. Deferrals in the plan are not matched by the Company. The Deferred Income Plan is discussed in further detail under the heading “Nonqualified Deferred Compensation,” below.</w:t>
      </w:r>
    </w:p>
    <w:p>
      <w:pPr>
        <w:spacing w:after="0" w:line="173" w:lineRule="exact"/>
        <w:rPr>
          <w:rFonts w:ascii="Arial" w:cs="Arial" w:eastAsia="Arial" w:hAnsi="Arial"/>
          <w:sz w:val="18"/>
          <w:szCs w:val="18"/>
          <w:i w:val="1"/>
          <w:iCs w:val="1"/>
          <w:color w:val="auto"/>
        </w:rPr>
      </w:pPr>
    </w:p>
    <w:p>
      <w:pPr>
        <w:ind w:firstLine="382"/>
        <w:spacing w:after="0" w:line="244" w:lineRule="auto"/>
        <w:tabs>
          <w:tab w:leader="none" w:pos="664" w:val="left"/>
        </w:tabs>
        <w:numPr>
          <w:ilvl w:val="1"/>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STEP Up Plan. </w:t>
      </w:r>
      <w:r>
        <w:rPr>
          <w:rFonts w:ascii="Arial" w:cs="Arial" w:eastAsia="Arial" w:hAnsi="Arial"/>
          <w:sz w:val="18"/>
          <w:szCs w:val="18"/>
          <w:color w:val="auto"/>
        </w:rPr>
        <w:t>Named executive officers who were participants in the Company’s Retirement Plan as of January 1, 2005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“Step Up” contribution as part of their taxable compensation as highly-compensated employees. The Company pays 2.5% of annual earnings (up to the Social Security taxable wage base) plus 4% of earnings above the taxable wage base to employees who are eligible to receive the Step Up contribution. The contributions for the named executive officers for Fiscal 2026 are included in column (i) of the “Summary Compensation Table,” below.</w:t>
      </w:r>
    </w:p>
    <w:p>
      <w:pPr>
        <w:spacing w:after="0" w:line="176" w:lineRule="exact"/>
        <w:rPr>
          <w:rFonts w:ascii="Arial" w:cs="Arial" w:eastAsia="Arial" w:hAnsi="Arial"/>
          <w:sz w:val="18"/>
          <w:szCs w:val="18"/>
          <w:i w:val="1"/>
          <w:iCs w:val="1"/>
          <w:color w:val="auto"/>
        </w:rPr>
      </w:pPr>
    </w:p>
    <w:p>
      <w:pPr>
        <w:ind w:right="40" w:firstLine="382"/>
        <w:spacing w:after="0" w:line="244" w:lineRule="auto"/>
        <w:tabs>
          <w:tab w:leader="none" w:pos="604"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named executive officers with perquisites and other personal benefits that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believe are reasonable and consistent with its overall compensation program to better enable the Company to attract and retain superior employees for key positions. Employees at vice president level and above, including named executive officers, are entitled to an annual executive physical and a discount on merchandise sold by the Company equal to 40% off the suggested retail price. Additionally, named executive officers are provided with life insurance that has a death benefit equal to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base salary up to $ 500,000. The named executive officers incur imputed income on the cost of the life insurance, which is subject to taxes paid by the named executive officers.</w:t>
      </w:r>
    </w:p>
    <w:p>
      <w:pPr>
        <w:spacing w:after="0" w:line="154" w:lineRule="exact"/>
        <w:rPr>
          <w:sz w:val="20"/>
          <w:szCs w:val="20"/>
          <w:color w:val="auto"/>
        </w:rPr>
      </w:pPr>
    </w:p>
    <w:p>
      <w:pPr>
        <w:ind w:right="80" w:firstLine="382"/>
        <w:spacing w:after="0" w:line="239" w:lineRule="auto"/>
        <w:tabs>
          <w:tab w:leader="none" w:pos="57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Recoupment Policy</w:t>
      </w:r>
      <w:r>
        <w:rPr>
          <w:rFonts w:ascii="Arial" w:cs="Arial" w:eastAsia="Arial" w:hAnsi="Arial"/>
          <w:sz w:val="18"/>
          <w:szCs w:val="18"/>
          <w:color w:val="auto"/>
        </w:rPr>
        <w:t>. On October 26, 2023, the Board adopted an Amended and Restated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Recoupment Policy in accordance with the requirements of Rule 10D-1 of the Exchange Act and the corresponding NYSE listing standards. The Amended and Restated Compensation Recoupment Policy, which applies to current and former executive officers of the Company, provides that, in the event of a qualifying restatement of the Company’s financial statements that would result in less cash incentive compensation or equity-based incentive compensation being earned based on the restated financials than was previously paid for the affected financial period, the Company will reasonably promptly recoup the previously paid or vested but unearned portion of such compensation from each applicable executive officer. Recoupment under the Amended and Restated Compensation Recoupment Policy is mandatory, except in very limited circumstances of impracticability, and recoupment does not require a finding of misconduct or that the executive officer was responsible for the accounting error leading to the triggering restatement. The effective date of the Amended and Restated Compensation Recoupment Policy is October 2, 2023.</w:t>
      </w:r>
    </w:p>
    <w:p>
      <w:pPr>
        <w:spacing w:after="0" w:line="179" w:lineRule="exact"/>
        <w:rPr>
          <w:rFonts w:ascii="Arial" w:cs="Arial" w:eastAsia="Arial" w:hAnsi="Arial"/>
          <w:sz w:val="18"/>
          <w:szCs w:val="18"/>
          <w:b w:val="1"/>
          <w:bCs w:val="1"/>
          <w:color w:val="auto"/>
        </w:rPr>
      </w:pPr>
    </w:p>
    <w:p>
      <w:pPr>
        <w:ind w:right="40" w:firstLine="382"/>
        <w:spacing w:after="0" w:line="247" w:lineRule="auto"/>
        <w:tabs>
          <w:tab w:leader="none" w:pos="57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Anti-Hedging Policy</w:t>
      </w:r>
      <w:r>
        <w:rPr>
          <w:rFonts w:ascii="Arial" w:cs="Arial" w:eastAsia="Arial" w:hAnsi="Arial"/>
          <w:sz w:val="18"/>
          <w:szCs w:val="18"/>
          <w:color w:val="auto"/>
        </w:rPr>
        <w:t>. Pursuant to the Company’s Anti-Hedging Policy for Directors and Officers, the Company has a policy</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prohibiting a director or officer from, directly or indirectly, engaging in any hedging transaction that reduces or limits the director’s or officer’s economic risk with respect to his or her ownership interests in the Company. For additional information, see “</w:t>
      </w:r>
      <w:r>
        <w:rPr>
          <w:rFonts w:ascii="Arial" w:cs="Arial" w:eastAsia="Arial" w:hAnsi="Arial"/>
          <w:sz w:val="18"/>
          <w:szCs w:val="18"/>
          <w:i w:val="1"/>
          <w:iCs w:val="1"/>
          <w:color w:val="auto"/>
        </w:rPr>
        <w:t>Security Ownership of Officers,</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 and Principal Shareholders—Anti-Hedging Policy for Directors and Officers</w:t>
      </w:r>
      <w:r>
        <w:rPr>
          <w:rFonts w:ascii="Arial" w:cs="Arial" w:eastAsia="Arial" w:hAnsi="Arial"/>
          <w:sz w:val="18"/>
          <w:szCs w:val="18"/>
          <w:color w:val="auto"/>
        </w:rPr>
        <w:t>.”</w:t>
      </w:r>
    </w:p>
    <w:p>
      <w:pPr>
        <w:spacing w:after="0" w:line="173" w:lineRule="exact"/>
        <w:rPr>
          <w:rFonts w:ascii="Arial" w:cs="Arial" w:eastAsia="Arial" w:hAnsi="Arial"/>
          <w:sz w:val="18"/>
          <w:szCs w:val="18"/>
          <w:b w:val="1"/>
          <w:bCs w:val="1"/>
          <w:color w:val="auto"/>
        </w:rPr>
      </w:pPr>
    </w:p>
    <w:p>
      <w:pPr>
        <w:ind w:right="500" w:firstLine="382"/>
        <w:spacing w:after="0" w:line="253" w:lineRule="auto"/>
        <w:tabs>
          <w:tab w:leader="none" w:pos="57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insider trading policies and procedures that govern the purchase, sale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dispositions of its securities by directors, officers, employees and the Company. For additional information, see “</w:t>
      </w:r>
      <w:r>
        <w:rPr>
          <w:rFonts w:ascii="Arial" w:cs="Arial" w:eastAsia="Arial" w:hAnsi="Arial"/>
          <w:sz w:val="18"/>
          <w:szCs w:val="18"/>
          <w:i w:val="1"/>
          <w:iCs w:val="1"/>
          <w:color w:val="auto"/>
        </w:rPr>
        <w:t>Security Ownership of</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Directors and Principal Shareholders—Insider Trading Policy."</w:t>
      </w:r>
    </w:p>
    <w:p>
      <w:pPr>
        <w:spacing w:after="0" w:line="168" w:lineRule="exact"/>
        <w:rPr>
          <w:rFonts w:ascii="Arial" w:cs="Arial" w:eastAsia="Arial" w:hAnsi="Arial"/>
          <w:sz w:val="18"/>
          <w:szCs w:val="18"/>
          <w:b w:val="1"/>
          <w:bCs w:val="1"/>
          <w:color w:val="auto"/>
        </w:rPr>
      </w:pPr>
    </w:p>
    <w:p>
      <w:pPr>
        <w:ind w:left="580" w:hanging="190"/>
        <w:spacing w:after="0"/>
        <w:tabs>
          <w:tab w:leader="none" w:pos="5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Considerations</w:t>
      </w:r>
      <w:r>
        <w:rPr>
          <w:rFonts w:ascii="Arial" w:cs="Arial" w:eastAsia="Arial" w:hAnsi="Arial"/>
          <w:sz w:val="18"/>
          <w:szCs w:val="18"/>
          <w:b w:val="1"/>
          <w:bCs w:val="1"/>
          <w:color w:val="auto"/>
        </w:rPr>
        <w:t>.</w:t>
      </w:r>
    </w:p>
    <w:p>
      <w:pPr>
        <w:spacing w:after="0" w:line="212"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i w:val="1"/>
          <w:iCs w:val="1"/>
          <w:u w:val="single" w:color="auto"/>
          <w:color w:val="auto"/>
        </w:rPr>
        <w:t>Tax Deductibility of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reviews and considers the deductibility of executive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U.S. federal income tax purposes. In particular, Section 162(m) of the Code, provides that a publicly-held corporation may not deduct compensation in excess of $1,000,000 that is paid to any one of certain of its highly-compensated officers with respect to any particular year. The compensation committee believes it is in the best interests of the Company to follow the approach to executive compensation described in this proxy statement under the heading “Executive Compensation — Compensation Discussion and Analysis,” regardless of the U.S. federal income tax deductibility of the compensation. The compensation committee has determined that the Company will not necessarily seek to limit executive compensation to amounts deductible under the Code if it believes such limitations are not in the best interest of the Company’s shareholders. While considering the tax implications of its compensation decisions, the compensation committee believes its primary focus should be to attract, retain, and motivate executives, and align the executives’ interest with those of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12" w:lineRule="exact"/>
        <w:rPr>
          <w:sz w:val="20"/>
          <w:szCs w:val="20"/>
          <w:color w:val="auto"/>
        </w:rPr>
      </w:pPr>
    </w:p>
    <w:p>
      <w:pPr>
        <w:ind w:right="80" w:firstLine="382"/>
        <w:spacing w:after="0" w:line="247" w:lineRule="auto"/>
        <w:rPr>
          <w:sz w:val="20"/>
          <w:szCs w:val="20"/>
          <w:color w:val="auto"/>
        </w:rPr>
      </w:pPr>
      <w:r>
        <w:rPr>
          <w:rFonts w:ascii="Arial" w:cs="Arial" w:eastAsia="Arial" w:hAnsi="Arial"/>
          <w:sz w:val="18"/>
          <w:szCs w:val="18"/>
          <w:color w:val="auto"/>
        </w:rPr>
        <w:t>Ms. Barsh and Messrs. Lambros and Sandfort served as members of the compensation committee during Fiscal 2026. 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0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the Compensation Committee:</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John F. Lambros, Chairperson</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Joanna Barsh</w:t>
      </w:r>
    </w:p>
    <w:p>
      <w:pPr>
        <w:ind w:left="6760"/>
        <w:spacing w:after="0"/>
        <w:rPr>
          <w:sz w:val="20"/>
          <w:szCs w:val="20"/>
          <w:color w:val="auto"/>
        </w:rPr>
      </w:pPr>
      <w:r>
        <w:rPr>
          <w:rFonts w:ascii="Arial" w:cs="Arial" w:eastAsia="Arial" w:hAnsi="Arial"/>
          <w:sz w:val="18"/>
          <w:szCs w:val="18"/>
          <w:color w:val="auto"/>
        </w:rPr>
        <w:t>Gregory A. Sandfort</w:t>
      </w:r>
    </w:p>
    <w:p>
      <w:pPr>
        <w:spacing w:after="0" w:line="221" w:lineRule="exact"/>
        <w:rPr>
          <w:sz w:val="20"/>
          <w:szCs w:val="20"/>
          <w:color w:val="auto"/>
        </w:rPr>
      </w:pPr>
    </w:p>
    <w:p>
      <w:pPr>
        <w:ind w:right="340" w:firstLine="382"/>
        <w:spacing w:after="0" w:line="247" w:lineRule="auto"/>
        <w:rPr>
          <w:sz w:val="20"/>
          <w:szCs w:val="20"/>
          <w:color w:val="auto"/>
        </w:rPr>
      </w:pPr>
      <w:r>
        <w:rPr>
          <w:rFonts w:ascii="Arial" w:cs="Arial" w:eastAsia="Arial" w:hAnsi="Arial"/>
          <w:sz w:val="18"/>
          <w:szCs w:val="18"/>
          <w:color w:val="auto"/>
        </w:rPr>
        <w:t>The foregoing report of the compensation committee shall not be deemed incorporated by reference by any general statement incorporating by reference this proxy statement into any filing under the Securities Act of 1933, as amended (the “Securities Act”), or the Exchange Act, except to the extent that the Company specifically incorporates this information by reference, and shall not otherwise be deemed filed under such 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2"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8"/>
          <w:szCs w:val="18"/>
          <w:color w:val="auto"/>
        </w:rPr>
        <w:t>During Fiscal 2026, no member of the compensation committee had at any time been an officer or employee of the Company or any of its subsidiaries. In addition, there are no relationships among the Company’s executive officers, members of the compensation committee or entities whose executives serve on the Board or the compensation committee that require disclosure under applicable SEC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12" w:lineRule="exact"/>
        <w:rPr>
          <w:sz w:val="20"/>
          <w:szCs w:val="20"/>
          <w:color w:val="auto"/>
        </w:rPr>
      </w:pPr>
    </w:p>
    <w:p>
      <w:pPr>
        <w:ind w:right="260" w:firstLine="382"/>
        <w:spacing w:after="0" w:line="271" w:lineRule="auto"/>
        <w:rPr>
          <w:sz w:val="20"/>
          <w:szCs w:val="20"/>
          <w:color w:val="auto"/>
        </w:rPr>
      </w:pPr>
      <w:r>
        <w:rPr>
          <w:rFonts w:ascii="Arial" w:cs="Arial" w:eastAsia="Arial" w:hAnsi="Arial"/>
          <w:sz w:val="18"/>
          <w:szCs w:val="18"/>
          <w:color w:val="auto"/>
        </w:rPr>
        <w:t>The table below summarizes the total compensation earned by each of the named executive officers for Fiscal 2026, Fiscal 2025 and Fiscal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7"/>
              </w:rPr>
              <w:t>Change in</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Pension</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1"/>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Value and</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Nonqualified</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Non-Equity</w:t>
            </w: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Deferred</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386"/>
              <w:spacing w:after="0" w:line="122" w:lineRule="exact"/>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Incentive Plan</w:t>
            </w: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120" w:type="dxa"/>
            <w:vAlign w:val="bottom"/>
          </w:tcPr>
          <w:p>
            <w:pPr>
              <w:spacing w:after="0"/>
              <w:rPr>
                <w:sz w:val="10"/>
                <w:szCs w:val="10"/>
                <w:color w:val="auto"/>
              </w:rPr>
            </w:pPr>
          </w:p>
        </w:tc>
        <w:tc>
          <w:tcPr>
            <w:tcW w:w="98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All Other</w:t>
            </w: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Fiscal</w:t>
            </w:r>
          </w:p>
        </w:tc>
        <w:tc>
          <w:tcPr>
            <w:tcW w:w="120" w:type="dxa"/>
            <w:vAlign w:val="bottom"/>
          </w:tcPr>
          <w:p>
            <w:pPr>
              <w:spacing w:after="0"/>
              <w:rPr>
                <w:sz w:val="10"/>
                <w:szCs w:val="10"/>
                <w:color w:val="auto"/>
              </w:rPr>
            </w:pPr>
          </w:p>
        </w:tc>
        <w:tc>
          <w:tcPr>
            <w:tcW w:w="1160" w:type="dxa"/>
            <w:vAlign w:val="bottom"/>
          </w:tcPr>
          <w:p>
            <w:pPr>
              <w:jc w:val="right"/>
              <w:ind w:right="366"/>
              <w:spacing w:after="0" w:line="122" w:lineRule="exact"/>
              <w:rPr>
                <w:sz w:val="20"/>
                <w:szCs w:val="20"/>
                <w:color w:val="auto"/>
              </w:rPr>
            </w:pPr>
            <w:r>
              <w:rPr>
                <w:rFonts w:ascii="Arial" w:cs="Arial" w:eastAsia="Arial" w:hAnsi="Arial"/>
                <w:sz w:val="11"/>
                <w:szCs w:val="11"/>
                <w:b w:val="1"/>
                <w:bCs w:val="1"/>
                <w:color w:val="auto"/>
              </w:rPr>
              <w:t>Salary</w:t>
            </w:r>
          </w:p>
        </w:tc>
        <w:tc>
          <w:tcPr>
            <w:tcW w:w="120" w:type="dxa"/>
            <w:vAlign w:val="bottom"/>
          </w:tcPr>
          <w:p>
            <w:pPr>
              <w:spacing w:after="0"/>
              <w:rPr>
                <w:sz w:val="10"/>
                <w:szCs w:val="10"/>
                <w:color w:val="auto"/>
              </w:rPr>
            </w:pPr>
          </w:p>
        </w:tc>
        <w:tc>
          <w:tcPr>
            <w:tcW w:w="70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Bonus</w:t>
            </w:r>
          </w:p>
        </w:tc>
        <w:tc>
          <w:tcPr>
            <w:tcW w:w="120" w:type="dxa"/>
            <w:vAlign w:val="bottom"/>
          </w:tcPr>
          <w:p>
            <w:pPr>
              <w:spacing w:after="0"/>
              <w:rPr>
                <w:sz w:val="10"/>
                <w:szCs w:val="10"/>
                <w:color w:val="auto"/>
              </w:rPr>
            </w:pPr>
          </w:p>
        </w:tc>
        <w:tc>
          <w:tcPr>
            <w:tcW w:w="1040" w:type="dxa"/>
            <w:vAlign w:val="bottom"/>
          </w:tcPr>
          <w:p>
            <w:pPr>
              <w:jc w:val="right"/>
              <w:ind w:right="346"/>
              <w:spacing w:after="0" w:line="122" w:lineRule="exact"/>
              <w:rPr>
                <w:sz w:val="20"/>
                <w:szCs w:val="20"/>
                <w:color w:val="auto"/>
              </w:rPr>
            </w:pPr>
            <w:r>
              <w:rPr>
                <w:rFonts w:ascii="Arial" w:cs="Arial" w:eastAsia="Arial" w:hAnsi="Arial"/>
                <w:sz w:val="11"/>
                <w:szCs w:val="11"/>
                <w:b w:val="1"/>
                <w:bCs w:val="1"/>
                <w:color w:val="auto"/>
              </w:rPr>
              <w:t>Awards</w:t>
            </w:r>
          </w:p>
        </w:tc>
        <w:tc>
          <w:tcPr>
            <w:tcW w:w="1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Awards</w:t>
            </w: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Compensation</w:t>
            </w: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Earnings</w:t>
            </w:r>
          </w:p>
        </w:tc>
        <w:tc>
          <w:tcPr>
            <w:tcW w:w="12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Compensation</w:t>
            </w:r>
          </w:p>
        </w:tc>
        <w:tc>
          <w:tcPr>
            <w:tcW w:w="1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Total</w:t>
            </w:r>
          </w:p>
        </w:tc>
      </w:tr>
      <w:tr>
        <w:trPr>
          <w:trHeight w:val="121"/>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Year</w:t>
            </w:r>
          </w:p>
        </w:tc>
        <w:tc>
          <w:tcPr>
            <w:tcW w:w="1280" w:type="dxa"/>
            <w:vAlign w:val="bottom"/>
            <w:gridSpan w:val="2"/>
          </w:tcPr>
          <w:p>
            <w:pPr>
              <w:jc w:val="right"/>
              <w:ind w:right="466"/>
              <w:spacing w:after="0" w:line="122" w:lineRule="exact"/>
              <w:rPr>
                <w:sz w:val="20"/>
                <w:szCs w:val="20"/>
                <w:color w:val="auto"/>
              </w:rPr>
            </w:pPr>
            <w:r>
              <w:rPr>
                <w:rFonts w:ascii="Arial" w:cs="Arial" w:eastAsia="Arial" w:hAnsi="Arial"/>
                <w:sz w:val="11"/>
                <w:szCs w:val="11"/>
                <w:b w:val="1"/>
                <w:bCs w:val="1"/>
                <w:color w:val="auto"/>
              </w:rPr>
              <w:t>($)</w:t>
            </w:r>
          </w:p>
        </w:tc>
        <w:tc>
          <w:tcPr>
            <w:tcW w:w="820" w:type="dxa"/>
            <w:vAlign w:val="bottom"/>
            <w:gridSpan w:val="2"/>
          </w:tcPr>
          <w:p>
            <w:pPr>
              <w:ind w:left="400"/>
              <w:spacing w:after="0" w:line="122" w:lineRule="exact"/>
              <w:rPr>
                <w:sz w:val="20"/>
                <w:szCs w:val="20"/>
                <w:color w:val="auto"/>
              </w:rPr>
            </w:pPr>
            <w:r>
              <w:rPr>
                <w:rFonts w:ascii="Arial" w:cs="Arial" w:eastAsia="Arial" w:hAnsi="Arial"/>
                <w:sz w:val="11"/>
                <w:szCs w:val="11"/>
                <w:b w:val="1"/>
                <w:bCs w:val="1"/>
                <w:color w:val="auto"/>
              </w:rPr>
              <w:t>($)</w:t>
            </w:r>
          </w:p>
        </w:tc>
        <w:tc>
          <w:tcPr>
            <w:tcW w:w="1160" w:type="dxa"/>
            <w:vAlign w:val="bottom"/>
            <w:gridSpan w:val="2"/>
          </w:tcPr>
          <w:p>
            <w:pPr>
              <w:jc w:val="right"/>
              <w:ind w:right="466"/>
              <w:spacing w:after="0" w:line="122" w:lineRule="exact"/>
              <w:rPr>
                <w:sz w:val="20"/>
                <w:szCs w:val="20"/>
                <w:color w:val="auto"/>
              </w:rPr>
            </w:pPr>
            <w:r>
              <w:rPr>
                <w:rFonts w:ascii="Arial" w:cs="Arial" w:eastAsia="Arial" w:hAnsi="Arial"/>
                <w:sz w:val="11"/>
                <w:szCs w:val="11"/>
                <w:b w:val="1"/>
                <w:bCs w:val="1"/>
                <w:color w:val="auto"/>
              </w:rPr>
              <w:t>($)</w:t>
            </w:r>
          </w:p>
        </w:tc>
        <w:tc>
          <w:tcPr>
            <w:tcW w:w="760" w:type="dxa"/>
            <w:vAlign w:val="bottom"/>
            <w:gridSpan w:val="2"/>
          </w:tcPr>
          <w:p>
            <w:pPr>
              <w:jc w:val="center"/>
              <w:ind w:left="46"/>
              <w:spacing w:after="0" w:line="122" w:lineRule="exact"/>
              <w:rPr>
                <w:sz w:val="20"/>
                <w:szCs w:val="20"/>
                <w:color w:val="auto"/>
              </w:rPr>
            </w:pPr>
            <w:r>
              <w:rPr>
                <w:rFonts w:ascii="Arial" w:cs="Arial" w:eastAsia="Arial" w:hAnsi="Arial"/>
                <w:sz w:val="11"/>
                <w:szCs w:val="11"/>
                <w:b w:val="1"/>
                <w:bCs w:val="1"/>
                <w:color w:val="auto"/>
              </w:rPr>
              <w:t>($)</w:t>
            </w:r>
          </w:p>
        </w:tc>
        <w:tc>
          <w:tcPr>
            <w:tcW w:w="1080" w:type="dxa"/>
            <w:vAlign w:val="bottom"/>
            <w:gridSpan w:val="2"/>
          </w:tcPr>
          <w:p>
            <w:pPr>
              <w:jc w:val="right"/>
              <w:ind w:right="362"/>
              <w:spacing w:after="0" w:line="122" w:lineRule="exact"/>
              <w:rPr>
                <w:sz w:val="20"/>
                <w:szCs w:val="20"/>
                <w:color w:val="auto"/>
              </w:rPr>
            </w:pPr>
            <w:r>
              <w:rPr>
                <w:rFonts w:ascii="Arial" w:cs="Arial" w:eastAsia="Arial" w:hAnsi="Arial"/>
                <w:sz w:val="11"/>
                <w:szCs w:val="11"/>
                <w:b w:val="1"/>
                <w:bCs w:val="1"/>
                <w:color w:val="auto"/>
              </w:rPr>
              <w:t>($)</w:t>
            </w:r>
          </w:p>
        </w:tc>
        <w:tc>
          <w:tcPr>
            <w:tcW w:w="1100" w:type="dxa"/>
            <w:vAlign w:val="bottom"/>
            <w:gridSpan w:val="2"/>
          </w:tcPr>
          <w:p>
            <w:pPr>
              <w:jc w:val="center"/>
              <w:ind w:left="66"/>
              <w:spacing w:after="0" w:line="122" w:lineRule="exact"/>
              <w:rPr>
                <w:sz w:val="20"/>
                <w:szCs w:val="20"/>
                <w:color w:val="auto"/>
              </w:rPr>
            </w:pPr>
            <w:r>
              <w:rPr>
                <w:rFonts w:ascii="Arial" w:cs="Arial" w:eastAsia="Arial" w:hAnsi="Arial"/>
                <w:sz w:val="11"/>
                <w:szCs w:val="11"/>
                <w:b w:val="1"/>
                <w:bCs w:val="1"/>
                <w:color w:val="auto"/>
              </w:rPr>
              <w:t>($)</w:t>
            </w:r>
          </w:p>
        </w:tc>
        <w:tc>
          <w:tcPr>
            <w:tcW w:w="1100" w:type="dxa"/>
            <w:vAlign w:val="bottom"/>
            <w:gridSpan w:val="2"/>
          </w:tcPr>
          <w:p>
            <w:pPr>
              <w:jc w:val="right"/>
              <w:ind w:right="386"/>
              <w:spacing w:after="0" w:line="122" w:lineRule="exact"/>
              <w:rPr>
                <w:sz w:val="20"/>
                <w:szCs w:val="20"/>
                <w:color w:val="auto"/>
              </w:rPr>
            </w:pPr>
            <w:r>
              <w:rPr>
                <w:rFonts w:ascii="Arial" w:cs="Arial" w:eastAsia="Arial" w:hAnsi="Arial"/>
                <w:sz w:val="11"/>
                <w:szCs w:val="11"/>
                <w:b w:val="1"/>
                <w:bCs w:val="1"/>
                <w:color w:val="auto"/>
              </w:rPr>
              <w:t>($)</w:t>
            </w:r>
          </w:p>
        </w:tc>
        <w:tc>
          <w:tcPr>
            <w:tcW w:w="1320" w:type="dxa"/>
            <w:vAlign w:val="bottom"/>
            <w:gridSpan w:val="2"/>
          </w:tcPr>
          <w:p>
            <w:pPr>
              <w:jc w:val="center"/>
              <w:ind w:left="38"/>
              <w:spacing w:after="0" w:line="122" w:lineRule="exact"/>
              <w:rPr>
                <w:sz w:val="20"/>
                <w:szCs w:val="20"/>
                <w:color w:val="auto"/>
              </w:rPr>
            </w:pPr>
            <w:r>
              <w:rPr>
                <w:rFonts w:ascii="Arial" w:cs="Arial" w:eastAsia="Arial" w:hAnsi="Arial"/>
                <w:sz w:val="11"/>
                <w:szCs w:val="11"/>
                <w:b w:val="1"/>
                <w:bCs w:val="1"/>
                <w:color w:val="auto"/>
              </w:rPr>
              <w:t>($)</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(b)</w:t>
            </w:r>
          </w:p>
        </w:tc>
        <w:tc>
          <w:tcPr>
            <w:tcW w:w="12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(c)(1)</w:t>
            </w:r>
          </w:p>
        </w:tc>
        <w:tc>
          <w:tcPr>
            <w:tcW w:w="120" w:type="dxa"/>
            <w:vAlign w:val="bottom"/>
          </w:tcPr>
          <w:p>
            <w:pPr>
              <w:spacing w:after="0"/>
              <w:rPr>
                <w:sz w:val="11"/>
                <w:szCs w:val="11"/>
                <w:color w:val="auto"/>
              </w:rPr>
            </w:pP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11"/>
                <w:szCs w:val="11"/>
                <w:color w:val="auto"/>
              </w:rPr>
            </w:pPr>
          </w:p>
        </w:tc>
        <w:tc>
          <w:tcPr>
            <w:tcW w:w="10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9"/>
              </w:rPr>
              <w:t>(e)(2)(3)</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(f)</w:t>
            </w:r>
          </w:p>
        </w:tc>
        <w:tc>
          <w:tcPr>
            <w:tcW w:w="10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(g)(4)</w:t>
            </w:r>
          </w:p>
        </w:tc>
        <w:tc>
          <w:tcPr>
            <w:tcW w:w="12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(h)</w:t>
            </w:r>
          </w:p>
        </w:tc>
        <w:tc>
          <w:tcPr>
            <w:tcW w:w="12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(i)(5)</w:t>
            </w:r>
          </w:p>
        </w:tc>
        <w:tc>
          <w:tcPr>
            <w:tcW w:w="100" w:type="dxa"/>
            <w:vAlign w:val="bottom"/>
          </w:tcPr>
          <w:p>
            <w:pPr>
              <w:spacing w:after="0"/>
              <w:rPr>
                <w:sz w:val="11"/>
                <w:szCs w:val="1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(j)</w:t>
            </w:r>
          </w:p>
        </w:tc>
      </w:tr>
      <w:tr>
        <w:trPr>
          <w:trHeight w:val="111"/>
        </w:trPr>
        <w:tc>
          <w:tcPr>
            <w:tcW w:w="1820" w:type="dxa"/>
            <w:vAlign w:val="bottom"/>
            <w:shd w:val="clear" w:color="auto" w:fill="CFF0FC"/>
          </w:tcPr>
          <w:p>
            <w:pPr>
              <w:spacing w:after="0" w:line="111" w:lineRule="exact"/>
              <w:rPr>
                <w:sz w:val="20"/>
                <w:szCs w:val="20"/>
                <w:color w:val="auto"/>
              </w:rPr>
            </w:pPr>
            <w:r>
              <w:rPr>
                <w:rFonts w:ascii="Arial" w:cs="Arial" w:eastAsia="Arial" w:hAnsi="Arial"/>
                <w:sz w:val="12"/>
                <w:szCs w:val="12"/>
                <w:color w:val="auto"/>
              </w:rPr>
              <w:t>Mimi E. Vaughn</w:t>
            </w:r>
          </w:p>
        </w:tc>
        <w:tc>
          <w:tcPr>
            <w:tcW w:w="800" w:type="dxa"/>
            <w:vAlign w:val="bottom"/>
            <w:gridSpan w:val="2"/>
            <w:shd w:val="clear" w:color="auto" w:fill="CFF0FC"/>
          </w:tcPr>
          <w:p>
            <w:pPr>
              <w:jc w:val="center"/>
              <w:ind w:left="18"/>
              <w:spacing w:after="0" w:line="111" w:lineRule="exact"/>
              <w:rPr>
                <w:sz w:val="20"/>
                <w:szCs w:val="20"/>
                <w:color w:val="auto"/>
              </w:rPr>
            </w:pPr>
            <w:r>
              <w:rPr>
                <w:rFonts w:ascii="Arial" w:cs="Arial" w:eastAsia="Arial" w:hAnsi="Arial"/>
                <w:sz w:val="12"/>
                <w:szCs w:val="12"/>
                <w:color w:val="auto"/>
              </w:rPr>
              <w:t>2026</w:t>
            </w:r>
          </w:p>
        </w:tc>
        <w:tc>
          <w:tcPr>
            <w:tcW w:w="1280" w:type="dxa"/>
            <w:vAlign w:val="bottom"/>
            <w:gridSpan w:val="2"/>
            <w:shd w:val="clear" w:color="auto" w:fill="CFF0FC"/>
          </w:tcPr>
          <w:p>
            <w:pPr>
              <w:jc w:val="right"/>
              <w:ind w:right="206"/>
              <w:spacing w:after="0" w:line="111" w:lineRule="exact"/>
              <w:rPr>
                <w:sz w:val="20"/>
                <w:szCs w:val="20"/>
                <w:color w:val="auto"/>
              </w:rPr>
            </w:pPr>
            <w:r>
              <w:rPr>
                <w:rFonts w:ascii="Arial" w:cs="Arial" w:eastAsia="Arial" w:hAnsi="Arial"/>
                <w:sz w:val="12"/>
                <w:szCs w:val="12"/>
                <w:color w:val="auto"/>
              </w:rPr>
              <w:t>1,025,000</w:t>
            </w:r>
          </w:p>
        </w:tc>
        <w:tc>
          <w:tcPr>
            <w:tcW w:w="120" w:type="dxa"/>
            <w:vAlign w:val="bottom"/>
            <w:shd w:val="clear" w:color="auto" w:fill="CFF0FC"/>
          </w:tcPr>
          <w:p>
            <w:pPr>
              <w:spacing w:after="0"/>
              <w:rPr>
                <w:sz w:val="9"/>
                <w:szCs w:val="9"/>
                <w:color w:val="auto"/>
              </w:rPr>
            </w:pPr>
          </w:p>
        </w:tc>
        <w:tc>
          <w:tcPr>
            <w:tcW w:w="700" w:type="dxa"/>
            <w:vAlign w:val="bottom"/>
            <w:shd w:val="clear" w:color="auto" w:fill="CFF0FC"/>
          </w:tcPr>
          <w:p>
            <w:pPr>
              <w:ind w:left="320"/>
              <w:spacing w:after="0" w:line="111"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FF0FC"/>
          </w:tcPr>
          <w:p>
            <w:pPr>
              <w:jc w:val="right"/>
              <w:ind w:right="86"/>
              <w:spacing w:after="0" w:line="111" w:lineRule="exact"/>
              <w:rPr>
                <w:sz w:val="20"/>
                <w:szCs w:val="20"/>
                <w:color w:val="auto"/>
              </w:rPr>
            </w:pPr>
            <w:r>
              <w:rPr>
                <w:rFonts w:ascii="Arial" w:cs="Arial" w:eastAsia="Arial" w:hAnsi="Arial"/>
                <w:sz w:val="12"/>
                <w:szCs w:val="12"/>
                <w:color w:val="auto"/>
              </w:rPr>
              <w:t>2,717,422</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ind w:left="300"/>
              <w:spacing w:after="0" w:line="111" w:lineRule="exact"/>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162"/>
              <w:spacing w:after="0" w:line="111" w:lineRule="exact"/>
              <w:rPr>
                <w:sz w:val="20"/>
                <w:szCs w:val="20"/>
                <w:color w:val="auto"/>
              </w:rPr>
            </w:pPr>
            <w:r>
              <w:rPr>
                <w:rFonts w:ascii="Arial" w:cs="Arial" w:eastAsia="Arial" w:hAnsi="Arial"/>
                <w:sz w:val="12"/>
                <w:szCs w:val="12"/>
                <w:color w:val="auto"/>
              </w:rPr>
              <w:t>653,310</w:t>
            </w:r>
          </w:p>
        </w:tc>
        <w:tc>
          <w:tcPr>
            <w:tcW w:w="120" w:type="dxa"/>
            <w:vAlign w:val="bottom"/>
            <w:shd w:val="clear" w:color="auto" w:fill="CFF0FC"/>
          </w:tcPr>
          <w:p>
            <w:pPr>
              <w:spacing w:after="0"/>
              <w:rPr>
                <w:sz w:val="9"/>
                <w:szCs w:val="9"/>
                <w:color w:val="auto"/>
              </w:rPr>
            </w:pPr>
          </w:p>
        </w:tc>
        <w:tc>
          <w:tcPr>
            <w:tcW w:w="980" w:type="dxa"/>
            <w:vAlign w:val="bottom"/>
            <w:shd w:val="clear" w:color="auto" w:fill="CFF0FC"/>
          </w:tcPr>
          <w:p>
            <w:pPr>
              <w:ind w:left="620"/>
              <w:spacing w:after="0" w:line="111" w:lineRule="exact"/>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186"/>
              <w:spacing w:after="0" w:line="111" w:lineRule="exact"/>
              <w:rPr>
                <w:sz w:val="20"/>
                <w:szCs w:val="20"/>
                <w:color w:val="auto"/>
              </w:rPr>
            </w:pPr>
            <w:r>
              <w:rPr>
                <w:rFonts w:ascii="Arial" w:cs="Arial" w:eastAsia="Arial" w:hAnsi="Arial"/>
                <w:sz w:val="12"/>
                <w:szCs w:val="12"/>
                <w:color w:val="auto"/>
              </w:rPr>
              <w:t>48,291</w:t>
            </w:r>
          </w:p>
        </w:tc>
        <w:tc>
          <w:tcPr>
            <w:tcW w:w="1320" w:type="dxa"/>
            <w:vAlign w:val="bottom"/>
            <w:gridSpan w:val="2"/>
            <w:shd w:val="clear" w:color="auto" w:fill="CFF0FC"/>
          </w:tcPr>
          <w:p>
            <w:pPr>
              <w:jc w:val="right"/>
              <w:ind w:right="166"/>
              <w:spacing w:after="0" w:line="111" w:lineRule="exact"/>
              <w:rPr>
                <w:sz w:val="20"/>
                <w:szCs w:val="20"/>
                <w:color w:val="auto"/>
              </w:rPr>
            </w:pPr>
            <w:r>
              <w:rPr>
                <w:rFonts w:ascii="Arial" w:cs="Arial" w:eastAsia="Arial" w:hAnsi="Arial"/>
                <w:sz w:val="12"/>
                <w:szCs w:val="12"/>
                <w:color w:val="auto"/>
              </w:rPr>
              <w:t>4,444,023</w:t>
            </w: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Chair of the Board, President,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2025</w:t>
            </w:r>
          </w:p>
        </w:tc>
        <w:tc>
          <w:tcPr>
            <w:tcW w:w="1280" w:type="dxa"/>
            <w:vAlign w:val="bottom"/>
            <w:gridSpan w:val="2"/>
            <w:shd w:val="clear" w:color="auto" w:fill="CFF0FC"/>
          </w:tcPr>
          <w:p>
            <w:pPr>
              <w:jc w:val="right"/>
              <w:ind w:right="206"/>
              <w:spacing w:after="0" w:line="135" w:lineRule="exact"/>
              <w:rPr>
                <w:sz w:val="20"/>
                <w:szCs w:val="20"/>
                <w:color w:val="auto"/>
              </w:rPr>
            </w:pPr>
            <w:r>
              <w:rPr>
                <w:rFonts w:ascii="Arial" w:cs="Arial" w:eastAsia="Arial" w:hAnsi="Arial"/>
                <w:sz w:val="13"/>
                <w:szCs w:val="13"/>
                <w:color w:val="auto"/>
              </w:rPr>
              <w:t>1,025,000</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ind w:left="32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line="135" w:lineRule="exact"/>
              <w:rPr>
                <w:sz w:val="20"/>
                <w:szCs w:val="20"/>
                <w:color w:val="auto"/>
              </w:rPr>
            </w:pPr>
            <w:r>
              <w:rPr>
                <w:rFonts w:ascii="Arial" w:cs="Arial" w:eastAsia="Arial" w:hAnsi="Arial"/>
                <w:sz w:val="13"/>
                <w:szCs w:val="13"/>
                <w:color w:val="auto"/>
              </w:rPr>
              <w:t>3,475,696</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162"/>
              <w:spacing w:after="0" w:line="135" w:lineRule="exact"/>
              <w:rPr>
                <w:sz w:val="20"/>
                <w:szCs w:val="20"/>
                <w:color w:val="auto"/>
              </w:rPr>
            </w:pPr>
            <w:r>
              <w:rPr>
                <w:rFonts w:ascii="Arial" w:cs="Arial" w:eastAsia="Arial" w:hAnsi="Arial"/>
                <w:sz w:val="13"/>
                <w:szCs w:val="13"/>
                <w:color w:val="auto"/>
              </w:rPr>
              <w:t>640,500</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ind w:left="6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line="135" w:lineRule="exact"/>
              <w:rPr>
                <w:sz w:val="20"/>
                <w:szCs w:val="20"/>
                <w:color w:val="auto"/>
              </w:rPr>
            </w:pPr>
            <w:r>
              <w:rPr>
                <w:rFonts w:ascii="Arial" w:cs="Arial" w:eastAsia="Arial" w:hAnsi="Arial"/>
                <w:sz w:val="13"/>
                <w:szCs w:val="13"/>
                <w:color w:val="auto"/>
              </w:rPr>
              <w:t>44,241</w:t>
            </w:r>
          </w:p>
        </w:tc>
        <w:tc>
          <w:tcPr>
            <w:tcW w:w="1320" w:type="dxa"/>
            <w:vAlign w:val="bottom"/>
            <w:gridSpan w:val="2"/>
            <w:shd w:val="clear" w:color="auto" w:fill="CFF0FC"/>
          </w:tcPr>
          <w:p>
            <w:pPr>
              <w:jc w:val="right"/>
              <w:ind w:right="166"/>
              <w:spacing w:after="0" w:line="135" w:lineRule="exact"/>
              <w:rPr>
                <w:sz w:val="20"/>
                <w:szCs w:val="20"/>
                <w:color w:val="auto"/>
              </w:rPr>
            </w:pPr>
            <w:r>
              <w:rPr>
                <w:rFonts w:ascii="Arial" w:cs="Arial" w:eastAsia="Arial" w:hAnsi="Arial"/>
                <w:sz w:val="13"/>
                <w:szCs w:val="13"/>
                <w:color w:val="auto"/>
              </w:rPr>
              <w:t>5,185,437</w:t>
            </w: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Chief Executive Officer and</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53"/>
        </w:trPr>
        <w:tc>
          <w:tcPr>
            <w:tcW w:w="1820" w:type="dxa"/>
            <w:vAlign w:val="bottom"/>
            <w:shd w:val="clear" w:color="auto" w:fill="CFF0FC"/>
          </w:tcPr>
          <w:p>
            <w:pPr>
              <w:ind w:left="40"/>
              <w:spacing w:after="0"/>
              <w:rPr>
                <w:sz w:val="20"/>
                <w:szCs w:val="20"/>
                <w:color w:val="auto"/>
              </w:rPr>
            </w:pPr>
            <w:r>
              <w:rPr>
                <w:rFonts w:ascii="Arial" w:cs="Arial" w:eastAsia="Arial" w:hAnsi="Arial"/>
                <w:sz w:val="13"/>
                <w:szCs w:val="13"/>
                <w:color w:val="auto"/>
              </w:rPr>
              <w:t>Interim Chief Financial Officer</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6"/>
              </w:rPr>
              <w:t>2024</w:t>
            </w:r>
          </w:p>
        </w:tc>
        <w:tc>
          <w:tcPr>
            <w:tcW w:w="1280" w:type="dxa"/>
            <w:vAlign w:val="bottom"/>
            <w:gridSpan w:val="2"/>
            <w:shd w:val="clear" w:color="auto" w:fill="CFF0FC"/>
          </w:tcPr>
          <w:p>
            <w:pPr>
              <w:jc w:val="right"/>
              <w:ind w:right="206"/>
              <w:spacing w:after="0"/>
              <w:rPr>
                <w:sz w:val="20"/>
                <w:szCs w:val="20"/>
                <w:color w:val="auto"/>
              </w:rPr>
            </w:pPr>
            <w:r>
              <w:rPr>
                <w:rFonts w:ascii="Arial" w:cs="Arial" w:eastAsia="Arial" w:hAnsi="Arial"/>
                <w:sz w:val="13"/>
                <w:szCs w:val="13"/>
                <w:color w:val="auto"/>
              </w:rPr>
              <w:t>1,025,000</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ind w:left="3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3,183,204</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62"/>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ind w:left="6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rPr>
                <w:sz w:val="20"/>
                <w:szCs w:val="20"/>
                <w:color w:val="auto"/>
              </w:rPr>
            </w:pPr>
            <w:r>
              <w:rPr>
                <w:rFonts w:ascii="Arial" w:cs="Arial" w:eastAsia="Arial" w:hAnsi="Arial"/>
                <w:sz w:val="13"/>
                <w:szCs w:val="13"/>
                <w:color w:val="auto"/>
              </w:rPr>
              <w:t>41,831</w:t>
            </w:r>
          </w:p>
        </w:tc>
        <w:tc>
          <w:tcPr>
            <w:tcW w:w="1320" w:type="dxa"/>
            <w:vAlign w:val="bottom"/>
            <w:gridSpan w:val="2"/>
            <w:shd w:val="clear" w:color="auto" w:fill="CFF0FC"/>
          </w:tcPr>
          <w:p>
            <w:pPr>
              <w:jc w:val="right"/>
              <w:ind w:right="166"/>
              <w:spacing w:after="0"/>
              <w:rPr>
                <w:sz w:val="20"/>
                <w:szCs w:val="20"/>
                <w:color w:val="auto"/>
              </w:rPr>
            </w:pPr>
            <w:r>
              <w:rPr>
                <w:rFonts w:ascii="Arial" w:cs="Arial" w:eastAsia="Arial" w:hAnsi="Arial"/>
                <w:sz w:val="13"/>
                <w:szCs w:val="13"/>
                <w:color w:val="auto"/>
              </w:rPr>
              <w:t>4,250,035</w:t>
            </w:r>
          </w:p>
        </w:tc>
      </w:tr>
      <w:tr>
        <w:trPr>
          <w:trHeight w:val="117"/>
        </w:trPr>
        <w:tc>
          <w:tcPr>
            <w:tcW w:w="1820" w:type="dxa"/>
            <w:vAlign w:val="bottom"/>
          </w:tcPr>
          <w:p>
            <w:pPr>
              <w:spacing w:after="0" w:line="117" w:lineRule="exact"/>
              <w:rPr>
                <w:sz w:val="20"/>
                <w:szCs w:val="20"/>
                <w:color w:val="auto"/>
              </w:rPr>
            </w:pPr>
            <w:r>
              <w:rPr>
                <w:rFonts w:ascii="Arial" w:cs="Arial" w:eastAsia="Arial" w:hAnsi="Arial"/>
                <w:sz w:val="13"/>
                <w:szCs w:val="13"/>
                <w:color w:val="auto"/>
              </w:rPr>
              <w:t>Cassandra E. Harris</w:t>
            </w:r>
          </w:p>
        </w:tc>
        <w:tc>
          <w:tcPr>
            <w:tcW w:w="1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Arial" w:cs="Arial" w:eastAsia="Arial" w:hAnsi="Arial"/>
                <w:sz w:val="13"/>
                <w:szCs w:val="13"/>
                <w:color w:val="auto"/>
                <w:w w:val="96"/>
              </w:rPr>
              <w:t>2026</w:t>
            </w:r>
          </w:p>
        </w:tc>
        <w:tc>
          <w:tcPr>
            <w:tcW w:w="1280" w:type="dxa"/>
            <w:vAlign w:val="bottom"/>
            <w:gridSpan w:val="2"/>
          </w:tcPr>
          <w:p>
            <w:pPr>
              <w:jc w:val="right"/>
              <w:ind w:right="206"/>
              <w:spacing w:after="0" w:line="117" w:lineRule="exact"/>
              <w:rPr>
                <w:sz w:val="20"/>
                <w:szCs w:val="20"/>
                <w:color w:val="auto"/>
              </w:rPr>
            </w:pPr>
            <w:r>
              <w:rPr>
                <w:rFonts w:ascii="Arial" w:cs="Arial" w:eastAsia="Arial" w:hAnsi="Arial"/>
                <w:sz w:val="13"/>
                <w:szCs w:val="13"/>
                <w:color w:val="auto"/>
              </w:rPr>
              <w:t>600,000</w:t>
            </w:r>
          </w:p>
        </w:tc>
        <w:tc>
          <w:tcPr>
            <w:tcW w:w="120" w:type="dxa"/>
            <w:vAlign w:val="bottom"/>
          </w:tcPr>
          <w:p>
            <w:pPr>
              <w:spacing w:after="0"/>
              <w:rPr>
                <w:sz w:val="10"/>
                <w:szCs w:val="10"/>
                <w:color w:val="auto"/>
              </w:rPr>
            </w:pPr>
          </w:p>
        </w:tc>
        <w:tc>
          <w:tcPr>
            <w:tcW w:w="700" w:type="dxa"/>
            <w:vAlign w:val="bottom"/>
          </w:tcPr>
          <w:p>
            <w:pPr>
              <w:ind w:left="320"/>
              <w:spacing w:after="0" w:line="117"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6"/>
              <w:spacing w:after="0" w:line="117" w:lineRule="exact"/>
              <w:rPr>
                <w:sz w:val="20"/>
                <w:szCs w:val="20"/>
                <w:color w:val="auto"/>
              </w:rPr>
            </w:pPr>
            <w:r>
              <w:rPr>
                <w:rFonts w:ascii="Arial" w:cs="Arial" w:eastAsia="Arial" w:hAnsi="Arial"/>
                <w:sz w:val="13"/>
                <w:szCs w:val="13"/>
                <w:color w:val="auto"/>
              </w:rPr>
              <w:t>627,123</w:t>
            </w:r>
          </w:p>
        </w:tc>
        <w:tc>
          <w:tcPr>
            <w:tcW w:w="100" w:type="dxa"/>
            <w:vAlign w:val="bottom"/>
          </w:tcPr>
          <w:p>
            <w:pPr>
              <w:spacing w:after="0"/>
              <w:rPr>
                <w:sz w:val="10"/>
                <w:szCs w:val="10"/>
                <w:color w:val="auto"/>
              </w:rPr>
            </w:pPr>
          </w:p>
        </w:tc>
        <w:tc>
          <w:tcPr>
            <w:tcW w:w="660" w:type="dxa"/>
            <w:vAlign w:val="bottom"/>
          </w:tcPr>
          <w:p>
            <w:pPr>
              <w:ind w:left="300"/>
              <w:spacing w:after="0" w:line="117"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2"/>
              <w:spacing w:after="0" w:line="117" w:lineRule="exact"/>
              <w:rPr>
                <w:sz w:val="20"/>
                <w:szCs w:val="20"/>
                <w:color w:val="auto"/>
              </w:rPr>
            </w:pPr>
            <w:r>
              <w:rPr>
                <w:rFonts w:ascii="Arial" w:cs="Arial" w:eastAsia="Arial" w:hAnsi="Arial"/>
                <w:sz w:val="13"/>
                <w:szCs w:val="13"/>
                <w:color w:val="auto"/>
              </w:rPr>
              <w:t>220,894</w:t>
            </w:r>
          </w:p>
        </w:tc>
        <w:tc>
          <w:tcPr>
            <w:tcW w:w="120" w:type="dxa"/>
            <w:vAlign w:val="bottom"/>
          </w:tcPr>
          <w:p>
            <w:pPr>
              <w:spacing w:after="0"/>
              <w:rPr>
                <w:sz w:val="10"/>
                <w:szCs w:val="10"/>
                <w:color w:val="auto"/>
              </w:rPr>
            </w:pPr>
          </w:p>
        </w:tc>
        <w:tc>
          <w:tcPr>
            <w:tcW w:w="980" w:type="dxa"/>
            <w:vAlign w:val="bottom"/>
          </w:tcPr>
          <w:p>
            <w:pPr>
              <w:ind w:left="620"/>
              <w:spacing w:after="0" w:line="117"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6"/>
              <w:spacing w:after="0" w:line="117" w:lineRule="exact"/>
              <w:rPr>
                <w:sz w:val="20"/>
                <w:szCs w:val="20"/>
                <w:color w:val="auto"/>
              </w:rPr>
            </w:pPr>
            <w:r>
              <w:rPr>
                <w:rFonts w:ascii="Arial" w:cs="Arial" w:eastAsia="Arial" w:hAnsi="Arial"/>
                <w:sz w:val="13"/>
                <w:szCs w:val="13"/>
                <w:color w:val="auto"/>
              </w:rPr>
              <w:t>126,743</w:t>
            </w:r>
          </w:p>
        </w:tc>
        <w:tc>
          <w:tcPr>
            <w:tcW w:w="1320" w:type="dxa"/>
            <w:vAlign w:val="bottom"/>
            <w:gridSpan w:val="2"/>
          </w:tcPr>
          <w:p>
            <w:pPr>
              <w:jc w:val="right"/>
              <w:ind w:right="166"/>
              <w:spacing w:after="0" w:line="117" w:lineRule="exact"/>
              <w:rPr>
                <w:sz w:val="20"/>
                <w:szCs w:val="20"/>
                <w:color w:val="auto"/>
              </w:rPr>
            </w:pPr>
            <w:r>
              <w:rPr>
                <w:rFonts w:ascii="Arial" w:cs="Arial" w:eastAsia="Arial" w:hAnsi="Arial"/>
                <w:sz w:val="13"/>
                <w:szCs w:val="13"/>
                <w:color w:val="auto"/>
              </w:rPr>
              <w:t>1,574,760</w:t>
            </w:r>
          </w:p>
        </w:tc>
      </w:tr>
      <w:tr>
        <w:trPr>
          <w:trHeight w:val="135"/>
        </w:trPr>
        <w:tc>
          <w:tcPr>
            <w:tcW w:w="1820" w:type="dxa"/>
            <w:vAlign w:val="bottom"/>
          </w:tcPr>
          <w:p>
            <w:pPr>
              <w:ind w:left="40"/>
              <w:spacing w:after="0" w:line="135" w:lineRule="exact"/>
              <w:rPr>
                <w:sz w:val="20"/>
                <w:szCs w:val="20"/>
                <w:color w:val="auto"/>
              </w:rPr>
            </w:pPr>
            <w:r>
              <w:rPr>
                <w:rFonts w:ascii="Arial" w:cs="Arial" w:eastAsia="Arial" w:hAnsi="Arial"/>
                <w:sz w:val="13"/>
                <w:szCs w:val="13"/>
                <w:color w:val="auto"/>
              </w:rPr>
              <w:t>Former Senior Vice President-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5"/>
        </w:trPr>
        <w:tc>
          <w:tcPr>
            <w:tcW w:w="1820" w:type="dxa"/>
            <w:vAlign w:val="bottom"/>
          </w:tcPr>
          <w:p>
            <w:pPr>
              <w:ind w:left="40"/>
              <w:spacing w:after="0" w:line="135" w:lineRule="exact"/>
              <w:rPr>
                <w:sz w:val="20"/>
                <w:szCs w:val="20"/>
                <w:color w:val="auto"/>
              </w:rPr>
            </w:pPr>
            <w:r>
              <w:rPr>
                <w:rFonts w:ascii="Arial" w:cs="Arial" w:eastAsia="Arial" w:hAnsi="Arial"/>
                <w:sz w:val="13"/>
                <w:szCs w:val="13"/>
                <w:color w:val="auto"/>
              </w:rPr>
              <w:t>Finance</w:t>
            </w:r>
          </w:p>
        </w:tc>
        <w:tc>
          <w:tcPr>
            <w:tcW w:w="800" w:type="dxa"/>
            <w:vAlign w:val="bottom"/>
            <w:gridSpan w:val="2"/>
          </w:tcPr>
          <w:p>
            <w:pPr>
              <w:jc w:val="center"/>
              <w:ind w:left="18"/>
              <w:spacing w:after="0" w:line="135" w:lineRule="exact"/>
              <w:rPr>
                <w:sz w:val="20"/>
                <w:szCs w:val="20"/>
                <w:color w:val="auto"/>
              </w:rPr>
            </w:pPr>
            <w:r>
              <w:rPr>
                <w:rFonts w:ascii="Arial" w:cs="Arial" w:eastAsia="Arial" w:hAnsi="Arial"/>
                <w:sz w:val="13"/>
                <w:szCs w:val="13"/>
                <w:color w:val="auto"/>
                <w:w w:val="96"/>
              </w:rPr>
              <w:t>2025</w:t>
            </w:r>
          </w:p>
        </w:tc>
        <w:tc>
          <w:tcPr>
            <w:tcW w:w="1280" w:type="dxa"/>
            <w:vAlign w:val="bottom"/>
            <w:gridSpan w:val="2"/>
          </w:tcPr>
          <w:p>
            <w:pPr>
              <w:jc w:val="right"/>
              <w:ind w:right="206"/>
              <w:spacing w:after="0" w:line="135" w:lineRule="exact"/>
              <w:rPr>
                <w:sz w:val="20"/>
                <w:szCs w:val="20"/>
                <w:color w:val="auto"/>
              </w:rPr>
            </w:pPr>
            <w:r>
              <w:rPr>
                <w:rFonts w:ascii="Arial" w:cs="Arial" w:eastAsia="Arial" w:hAnsi="Arial"/>
                <w:sz w:val="13"/>
                <w:szCs w:val="13"/>
                <w:color w:val="auto"/>
              </w:rPr>
              <w:t>200,000</w:t>
            </w:r>
          </w:p>
        </w:tc>
        <w:tc>
          <w:tcPr>
            <w:tcW w:w="120" w:type="dxa"/>
            <w:vAlign w:val="bottom"/>
          </w:tcPr>
          <w:p>
            <w:pPr>
              <w:spacing w:after="0"/>
              <w:rPr>
                <w:sz w:val="11"/>
                <w:szCs w:val="11"/>
                <w:color w:val="auto"/>
              </w:rPr>
            </w:pPr>
          </w:p>
        </w:tc>
        <w:tc>
          <w:tcPr>
            <w:tcW w:w="70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6"/>
              <w:spacing w:after="0" w:line="135" w:lineRule="exact"/>
              <w:rPr>
                <w:sz w:val="20"/>
                <w:szCs w:val="20"/>
                <w:color w:val="auto"/>
              </w:rPr>
            </w:pPr>
            <w:r>
              <w:rPr>
                <w:rFonts w:ascii="Arial" w:cs="Arial" w:eastAsia="Arial" w:hAnsi="Arial"/>
                <w:sz w:val="13"/>
                <w:szCs w:val="13"/>
                <w:color w:val="auto"/>
              </w:rPr>
              <w:t>284,514</w:t>
            </w:r>
          </w:p>
        </w:tc>
        <w:tc>
          <w:tcPr>
            <w:tcW w:w="100" w:type="dxa"/>
            <w:vAlign w:val="bottom"/>
          </w:tcPr>
          <w:p>
            <w:pPr>
              <w:spacing w:after="0"/>
              <w:rPr>
                <w:sz w:val="11"/>
                <w:szCs w:val="11"/>
                <w:color w:val="auto"/>
              </w:rPr>
            </w:pPr>
          </w:p>
        </w:tc>
        <w:tc>
          <w:tcPr>
            <w:tcW w:w="660" w:type="dxa"/>
            <w:vAlign w:val="bottom"/>
          </w:tcPr>
          <w:p>
            <w:pPr>
              <w:ind w:left="30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75,000</w:t>
            </w:r>
          </w:p>
        </w:tc>
        <w:tc>
          <w:tcPr>
            <w:tcW w:w="120" w:type="dxa"/>
            <w:vAlign w:val="bottom"/>
          </w:tcPr>
          <w:p>
            <w:pPr>
              <w:spacing w:after="0"/>
              <w:rPr>
                <w:sz w:val="11"/>
                <w:szCs w:val="11"/>
                <w:color w:val="auto"/>
              </w:rPr>
            </w:pP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6"/>
              <w:spacing w:after="0" w:line="135" w:lineRule="exact"/>
              <w:rPr>
                <w:sz w:val="20"/>
                <w:szCs w:val="20"/>
                <w:color w:val="auto"/>
              </w:rPr>
            </w:pPr>
            <w:r>
              <w:rPr>
                <w:rFonts w:ascii="Arial" w:cs="Arial" w:eastAsia="Arial" w:hAnsi="Arial"/>
                <w:sz w:val="13"/>
                <w:szCs w:val="13"/>
                <w:color w:val="auto"/>
              </w:rPr>
              <w:t>36,476</w:t>
            </w:r>
          </w:p>
        </w:tc>
        <w:tc>
          <w:tcPr>
            <w:tcW w:w="1320" w:type="dxa"/>
            <w:vAlign w:val="bottom"/>
            <w:gridSpan w:val="2"/>
          </w:tcPr>
          <w:p>
            <w:pPr>
              <w:jc w:val="right"/>
              <w:ind w:right="166"/>
              <w:spacing w:after="0" w:line="135" w:lineRule="exact"/>
              <w:rPr>
                <w:sz w:val="20"/>
                <w:szCs w:val="20"/>
                <w:color w:val="auto"/>
              </w:rPr>
            </w:pPr>
            <w:r>
              <w:rPr>
                <w:rFonts w:ascii="Arial" w:cs="Arial" w:eastAsia="Arial" w:hAnsi="Arial"/>
                <w:sz w:val="13"/>
                <w:szCs w:val="13"/>
                <w:color w:val="auto"/>
              </w:rPr>
              <w:t>595,990</w:t>
            </w:r>
          </w:p>
        </w:tc>
      </w:tr>
      <w:tr>
        <w:trPr>
          <w:trHeight w:val="153"/>
        </w:trPr>
        <w:tc>
          <w:tcPr>
            <w:tcW w:w="1820" w:type="dxa"/>
            <w:vAlign w:val="bottom"/>
          </w:tcPr>
          <w:p>
            <w:pPr>
              <w:ind w:left="40"/>
              <w:spacing w:after="0"/>
              <w:rPr>
                <w:sz w:val="20"/>
                <w:szCs w:val="20"/>
                <w:color w:val="auto"/>
              </w:rPr>
            </w:pPr>
            <w:r>
              <w:rPr>
                <w:rFonts w:ascii="Arial" w:cs="Arial" w:eastAsia="Arial" w:hAnsi="Arial"/>
                <w:sz w:val="13"/>
                <w:szCs w:val="13"/>
                <w:color w:val="auto"/>
              </w:rPr>
              <w:t>and Chief Financial Officer</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17"/>
        </w:trPr>
        <w:tc>
          <w:tcPr>
            <w:tcW w:w="182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Scott E. Becker</w:t>
            </w:r>
          </w:p>
        </w:tc>
        <w:tc>
          <w:tcPr>
            <w:tcW w:w="800" w:type="dxa"/>
            <w:vAlign w:val="bottom"/>
            <w:gridSpan w:val="2"/>
            <w:shd w:val="clear" w:color="auto" w:fill="CFF0FC"/>
          </w:tcPr>
          <w:p>
            <w:pPr>
              <w:jc w:val="center"/>
              <w:ind w:left="18"/>
              <w:spacing w:after="0" w:line="117" w:lineRule="exact"/>
              <w:rPr>
                <w:sz w:val="20"/>
                <w:szCs w:val="20"/>
                <w:color w:val="auto"/>
              </w:rPr>
            </w:pPr>
            <w:r>
              <w:rPr>
                <w:rFonts w:ascii="Arial" w:cs="Arial" w:eastAsia="Arial" w:hAnsi="Arial"/>
                <w:sz w:val="13"/>
                <w:szCs w:val="13"/>
                <w:color w:val="auto"/>
                <w:w w:val="96"/>
              </w:rPr>
              <w:t>2026</w:t>
            </w:r>
          </w:p>
        </w:tc>
        <w:tc>
          <w:tcPr>
            <w:tcW w:w="1280" w:type="dxa"/>
            <w:vAlign w:val="bottom"/>
            <w:gridSpan w:val="2"/>
            <w:shd w:val="clear" w:color="auto" w:fill="CFF0FC"/>
          </w:tcPr>
          <w:p>
            <w:pPr>
              <w:jc w:val="right"/>
              <w:ind w:right="206"/>
              <w:spacing w:after="0" w:line="117" w:lineRule="exact"/>
              <w:rPr>
                <w:sz w:val="20"/>
                <w:szCs w:val="20"/>
                <w:color w:val="auto"/>
              </w:rPr>
            </w:pPr>
            <w:r>
              <w:rPr>
                <w:rFonts w:ascii="Arial" w:cs="Arial" w:eastAsia="Arial" w:hAnsi="Arial"/>
                <w:sz w:val="13"/>
                <w:szCs w:val="13"/>
                <w:color w:val="auto"/>
              </w:rPr>
              <w:t>470,000</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ind w:left="320"/>
              <w:spacing w:after="0" w:line="117"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line="117" w:lineRule="exact"/>
              <w:rPr>
                <w:sz w:val="20"/>
                <w:szCs w:val="20"/>
                <w:color w:val="auto"/>
              </w:rPr>
            </w:pPr>
            <w:r>
              <w:rPr>
                <w:rFonts w:ascii="Arial" w:cs="Arial" w:eastAsia="Arial" w:hAnsi="Arial"/>
                <w:sz w:val="13"/>
                <w:szCs w:val="13"/>
                <w:color w:val="auto"/>
              </w:rPr>
              <w:t>360,260</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ind w:left="300"/>
              <w:spacing w:after="0" w:line="117"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162"/>
              <w:spacing w:after="0" w:line="117" w:lineRule="exact"/>
              <w:rPr>
                <w:sz w:val="20"/>
                <w:szCs w:val="20"/>
                <w:color w:val="auto"/>
              </w:rPr>
            </w:pPr>
            <w:r>
              <w:rPr>
                <w:rFonts w:ascii="Arial" w:cs="Arial" w:eastAsia="Arial" w:hAnsi="Arial"/>
                <w:sz w:val="13"/>
                <w:szCs w:val="13"/>
                <w:color w:val="auto"/>
              </w:rPr>
              <w:t>167,790</w:t>
            </w: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ind w:left="620"/>
              <w:spacing w:after="0" w:line="117"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line="117" w:lineRule="exact"/>
              <w:rPr>
                <w:sz w:val="20"/>
                <w:szCs w:val="20"/>
                <w:color w:val="auto"/>
              </w:rPr>
            </w:pPr>
            <w:r>
              <w:rPr>
                <w:rFonts w:ascii="Arial" w:cs="Arial" w:eastAsia="Arial" w:hAnsi="Arial"/>
                <w:sz w:val="13"/>
                <w:szCs w:val="13"/>
                <w:color w:val="auto"/>
              </w:rPr>
              <w:t>25,684</w:t>
            </w:r>
          </w:p>
        </w:tc>
        <w:tc>
          <w:tcPr>
            <w:tcW w:w="1320" w:type="dxa"/>
            <w:vAlign w:val="bottom"/>
            <w:gridSpan w:val="2"/>
            <w:shd w:val="clear" w:color="auto" w:fill="CFF0FC"/>
          </w:tcPr>
          <w:p>
            <w:pPr>
              <w:jc w:val="right"/>
              <w:ind w:right="166"/>
              <w:spacing w:after="0" w:line="117" w:lineRule="exact"/>
              <w:rPr>
                <w:sz w:val="20"/>
                <w:szCs w:val="20"/>
                <w:color w:val="auto"/>
              </w:rPr>
            </w:pPr>
            <w:r>
              <w:rPr>
                <w:rFonts w:ascii="Arial" w:cs="Arial" w:eastAsia="Arial" w:hAnsi="Arial"/>
                <w:sz w:val="13"/>
                <w:szCs w:val="13"/>
                <w:color w:val="auto"/>
              </w:rPr>
              <w:t>1,023,734</w:t>
            </w: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w w:val="98"/>
              </w:rPr>
              <w:t>Senior Vice President, General</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Counsel</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2025</w:t>
            </w:r>
          </w:p>
        </w:tc>
        <w:tc>
          <w:tcPr>
            <w:tcW w:w="1280" w:type="dxa"/>
            <w:vAlign w:val="bottom"/>
            <w:gridSpan w:val="2"/>
            <w:shd w:val="clear" w:color="auto" w:fill="CFF0FC"/>
          </w:tcPr>
          <w:p>
            <w:pPr>
              <w:jc w:val="right"/>
              <w:ind w:right="206"/>
              <w:spacing w:after="0" w:line="135" w:lineRule="exact"/>
              <w:rPr>
                <w:sz w:val="20"/>
                <w:szCs w:val="20"/>
                <w:color w:val="auto"/>
              </w:rPr>
            </w:pPr>
            <w:r>
              <w:rPr>
                <w:rFonts w:ascii="Arial" w:cs="Arial" w:eastAsia="Arial" w:hAnsi="Arial"/>
                <w:sz w:val="13"/>
                <w:szCs w:val="13"/>
                <w:color w:val="auto"/>
              </w:rPr>
              <w:t>450,000</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ind w:left="32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line="135" w:lineRule="exact"/>
              <w:rPr>
                <w:sz w:val="20"/>
                <w:szCs w:val="20"/>
                <w:color w:val="auto"/>
              </w:rPr>
            </w:pPr>
            <w:r>
              <w:rPr>
                <w:rFonts w:ascii="Arial" w:cs="Arial" w:eastAsia="Arial" w:hAnsi="Arial"/>
                <w:sz w:val="13"/>
                <w:szCs w:val="13"/>
                <w:color w:val="auto"/>
              </w:rPr>
              <w:t>504,886</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162"/>
              <w:spacing w:after="0" w:line="135" w:lineRule="exact"/>
              <w:rPr>
                <w:sz w:val="20"/>
                <w:szCs w:val="20"/>
                <w:color w:val="auto"/>
              </w:rPr>
            </w:pPr>
            <w:r>
              <w:rPr>
                <w:rFonts w:ascii="Arial" w:cs="Arial" w:eastAsia="Arial" w:hAnsi="Arial"/>
                <w:sz w:val="13"/>
                <w:szCs w:val="13"/>
                <w:color w:val="auto"/>
              </w:rPr>
              <w:t>146,250</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ind w:left="6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line="135" w:lineRule="exact"/>
              <w:rPr>
                <w:sz w:val="20"/>
                <w:szCs w:val="20"/>
                <w:color w:val="auto"/>
              </w:rPr>
            </w:pPr>
            <w:r>
              <w:rPr>
                <w:rFonts w:ascii="Arial" w:cs="Arial" w:eastAsia="Arial" w:hAnsi="Arial"/>
                <w:sz w:val="13"/>
                <w:szCs w:val="13"/>
                <w:color w:val="auto"/>
              </w:rPr>
              <w:t>28,105</w:t>
            </w:r>
          </w:p>
        </w:tc>
        <w:tc>
          <w:tcPr>
            <w:tcW w:w="1320" w:type="dxa"/>
            <w:vAlign w:val="bottom"/>
            <w:gridSpan w:val="2"/>
            <w:shd w:val="clear" w:color="auto" w:fill="CFF0FC"/>
          </w:tcPr>
          <w:p>
            <w:pPr>
              <w:jc w:val="right"/>
              <w:ind w:right="166"/>
              <w:spacing w:after="0" w:line="135" w:lineRule="exact"/>
              <w:rPr>
                <w:sz w:val="20"/>
                <w:szCs w:val="20"/>
                <w:color w:val="auto"/>
              </w:rPr>
            </w:pPr>
            <w:r>
              <w:rPr>
                <w:rFonts w:ascii="Arial" w:cs="Arial" w:eastAsia="Arial" w:hAnsi="Arial"/>
                <w:sz w:val="13"/>
                <w:szCs w:val="13"/>
                <w:color w:val="auto"/>
              </w:rPr>
              <w:t>1,129,241</w:t>
            </w:r>
          </w:p>
        </w:tc>
      </w:tr>
      <w:tr>
        <w:trPr>
          <w:trHeight w:val="153"/>
        </w:trPr>
        <w:tc>
          <w:tcPr>
            <w:tcW w:w="1820" w:type="dxa"/>
            <w:vAlign w:val="bottom"/>
            <w:shd w:val="clear" w:color="auto" w:fill="CFF0FC"/>
          </w:tcPr>
          <w:p>
            <w:pPr>
              <w:ind w:left="40"/>
              <w:spacing w:after="0"/>
              <w:rPr>
                <w:sz w:val="20"/>
                <w:szCs w:val="20"/>
                <w:color w:val="auto"/>
              </w:rPr>
            </w:pPr>
            <w:r>
              <w:rPr>
                <w:rFonts w:ascii="Arial" w:cs="Arial" w:eastAsia="Arial" w:hAnsi="Arial"/>
                <w:sz w:val="13"/>
                <w:szCs w:val="13"/>
                <w:color w:val="auto"/>
              </w:rPr>
              <w:t>and Corporate Secretary</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6"/>
              </w:rPr>
              <w:t>2024</w:t>
            </w:r>
          </w:p>
        </w:tc>
        <w:tc>
          <w:tcPr>
            <w:tcW w:w="1280" w:type="dxa"/>
            <w:vAlign w:val="bottom"/>
            <w:gridSpan w:val="2"/>
            <w:shd w:val="clear" w:color="auto" w:fill="CFF0FC"/>
          </w:tcPr>
          <w:p>
            <w:pPr>
              <w:jc w:val="right"/>
              <w:ind w:right="206"/>
              <w:spacing w:after="0"/>
              <w:rPr>
                <w:sz w:val="20"/>
                <w:szCs w:val="20"/>
                <w:color w:val="auto"/>
              </w:rPr>
            </w:pPr>
            <w:r>
              <w:rPr>
                <w:rFonts w:ascii="Arial" w:cs="Arial" w:eastAsia="Arial" w:hAnsi="Arial"/>
                <w:sz w:val="13"/>
                <w:szCs w:val="13"/>
                <w:color w:val="auto"/>
              </w:rPr>
              <w:t>450,000</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ind w:left="3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445,300</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62"/>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ind w:left="6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rPr>
                <w:sz w:val="20"/>
                <w:szCs w:val="20"/>
                <w:color w:val="auto"/>
              </w:rPr>
            </w:pPr>
            <w:r>
              <w:rPr>
                <w:rFonts w:ascii="Arial" w:cs="Arial" w:eastAsia="Arial" w:hAnsi="Arial"/>
                <w:sz w:val="13"/>
                <w:szCs w:val="13"/>
                <w:color w:val="auto"/>
              </w:rPr>
              <w:t>23,122</w:t>
            </w:r>
          </w:p>
        </w:tc>
        <w:tc>
          <w:tcPr>
            <w:tcW w:w="1320" w:type="dxa"/>
            <w:vAlign w:val="bottom"/>
            <w:gridSpan w:val="2"/>
            <w:shd w:val="clear" w:color="auto" w:fill="CFF0FC"/>
          </w:tcPr>
          <w:p>
            <w:pPr>
              <w:jc w:val="right"/>
              <w:ind w:right="166"/>
              <w:spacing w:after="0"/>
              <w:rPr>
                <w:sz w:val="20"/>
                <w:szCs w:val="20"/>
                <w:color w:val="auto"/>
              </w:rPr>
            </w:pPr>
            <w:r>
              <w:rPr>
                <w:rFonts w:ascii="Arial" w:cs="Arial" w:eastAsia="Arial" w:hAnsi="Arial"/>
                <w:sz w:val="13"/>
                <w:szCs w:val="13"/>
                <w:color w:val="auto"/>
              </w:rPr>
              <w:t>918,422</w:t>
            </w:r>
          </w:p>
        </w:tc>
      </w:tr>
      <w:tr>
        <w:trPr>
          <w:trHeight w:val="117"/>
        </w:trPr>
        <w:tc>
          <w:tcPr>
            <w:tcW w:w="1820" w:type="dxa"/>
            <w:vAlign w:val="bottom"/>
          </w:tcPr>
          <w:p>
            <w:pPr>
              <w:spacing w:after="0" w:line="117" w:lineRule="exact"/>
              <w:rPr>
                <w:sz w:val="20"/>
                <w:szCs w:val="20"/>
                <w:color w:val="auto"/>
              </w:rPr>
            </w:pPr>
            <w:r>
              <w:rPr>
                <w:rFonts w:ascii="Arial" w:cs="Arial" w:eastAsia="Arial" w:hAnsi="Arial"/>
                <w:sz w:val="13"/>
                <w:szCs w:val="13"/>
                <w:color w:val="auto"/>
              </w:rPr>
              <w:t>Parag D. Desai</w:t>
            </w:r>
          </w:p>
        </w:tc>
        <w:tc>
          <w:tcPr>
            <w:tcW w:w="1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Arial" w:cs="Arial" w:eastAsia="Arial" w:hAnsi="Arial"/>
                <w:sz w:val="13"/>
                <w:szCs w:val="13"/>
                <w:color w:val="auto"/>
                <w:w w:val="96"/>
              </w:rPr>
              <w:t>2026</w:t>
            </w:r>
          </w:p>
        </w:tc>
        <w:tc>
          <w:tcPr>
            <w:tcW w:w="1280" w:type="dxa"/>
            <w:vAlign w:val="bottom"/>
            <w:gridSpan w:val="2"/>
          </w:tcPr>
          <w:p>
            <w:pPr>
              <w:jc w:val="right"/>
              <w:ind w:right="206"/>
              <w:spacing w:after="0" w:line="117" w:lineRule="exact"/>
              <w:rPr>
                <w:sz w:val="20"/>
                <w:szCs w:val="20"/>
                <w:color w:val="auto"/>
              </w:rPr>
            </w:pPr>
            <w:r>
              <w:rPr>
                <w:rFonts w:ascii="Arial" w:cs="Arial" w:eastAsia="Arial" w:hAnsi="Arial"/>
                <w:sz w:val="13"/>
                <w:szCs w:val="13"/>
                <w:color w:val="auto"/>
              </w:rPr>
              <w:t>450,000</w:t>
            </w:r>
          </w:p>
        </w:tc>
        <w:tc>
          <w:tcPr>
            <w:tcW w:w="120" w:type="dxa"/>
            <w:vAlign w:val="bottom"/>
          </w:tcPr>
          <w:p>
            <w:pPr>
              <w:spacing w:after="0"/>
              <w:rPr>
                <w:sz w:val="10"/>
                <w:szCs w:val="10"/>
                <w:color w:val="auto"/>
              </w:rPr>
            </w:pPr>
          </w:p>
        </w:tc>
        <w:tc>
          <w:tcPr>
            <w:tcW w:w="700" w:type="dxa"/>
            <w:vAlign w:val="bottom"/>
          </w:tcPr>
          <w:p>
            <w:pPr>
              <w:ind w:left="320"/>
              <w:spacing w:after="0" w:line="117"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6"/>
              <w:spacing w:after="0" w:line="117" w:lineRule="exact"/>
              <w:rPr>
                <w:sz w:val="20"/>
                <w:szCs w:val="20"/>
                <w:color w:val="auto"/>
              </w:rPr>
            </w:pPr>
            <w:r>
              <w:rPr>
                <w:rFonts w:ascii="Arial" w:cs="Arial" w:eastAsia="Arial" w:hAnsi="Arial"/>
                <w:sz w:val="13"/>
                <w:szCs w:val="13"/>
                <w:color w:val="auto"/>
              </w:rPr>
              <w:t>404,486</w:t>
            </w:r>
          </w:p>
        </w:tc>
        <w:tc>
          <w:tcPr>
            <w:tcW w:w="100" w:type="dxa"/>
            <w:vAlign w:val="bottom"/>
          </w:tcPr>
          <w:p>
            <w:pPr>
              <w:spacing w:after="0"/>
              <w:rPr>
                <w:sz w:val="10"/>
                <w:szCs w:val="10"/>
                <w:color w:val="auto"/>
              </w:rPr>
            </w:pPr>
          </w:p>
        </w:tc>
        <w:tc>
          <w:tcPr>
            <w:tcW w:w="660" w:type="dxa"/>
            <w:vAlign w:val="bottom"/>
          </w:tcPr>
          <w:p>
            <w:pPr>
              <w:ind w:left="300"/>
              <w:spacing w:after="0" w:line="117"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2"/>
              <w:spacing w:after="0" w:line="117" w:lineRule="exact"/>
              <w:rPr>
                <w:sz w:val="20"/>
                <w:szCs w:val="20"/>
                <w:color w:val="auto"/>
              </w:rPr>
            </w:pPr>
            <w:r>
              <w:rPr>
                <w:rFonts w:ascii="Arial" w:cs="Arial" w:eastAsia="Arial" w:hAnsi="Arial"/>
                <w:sz w:val="13"/>
                <w:szCs w:val="13"/>
                <w:color w:val="auto"/>
              </w:rPr>
              <w:t>172,125</w:t>
            </w:r>
          </w:p>
        </w:tc>
        <w:tc>
          <w:tcPr>
            <w:tcW w:w="120" w:type="dxa"/>
            <w:vAlign w:val="bottom"/>
          </w:tcPr>
          <w:p>
            <w:pPr>
              <w:spacing w:after="0"/>
              <w:rPr>
                <w:sz w:val="10"/>
                <w:szCs w:val="10"/>
                <w:color w:val="auto"/>
              </w:rPr>
            </w:pPr>
          </w:p>
        </w:tc>
        <w:tc>
          <w:tcPr>
            <w:tcW w:w="980" w:type="dxa"/>
            <w:vAlign w:val="bottom"/>
          </w:tcPr>
          <w:p>
            <w:pPr>
              <w:ind w:left="620"/>
              <w:spacing w:after="0" w:line="117"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6"/>
              <w:spacing w:after="0" w:line="117" w:lineRule="exact"/>
              <w:rPr>
                <w:sz w:val="20"/>
                <w:szCs w:val="20"/>
                <w:color w:val="auto"/>
              </w:rPr>
            </w:pPr>
            <w:r>
              <w:rPr>
                <w:rFonts w:ascii="Arial" w:cs="Arial" w:eastAsia="Arial" w:hAnsi="Arial"/>
                <w:sz w:val="13"/>
                <w:szCs w:val="13"/>
                <w:color w:val="auto"/>
              </w:rPr>
              <w:t>22,544</w:t>
            </w:r>
          </w:p>
        </w:tc>
        <w:tc>
          <w:tcPr>
            <w:tcW w:w="1320" w:type="dxa"/>
            <w:vAlign w:val="bottom"/>
            <w:gridSpan w:val="2"/>
          </w:tcPr>
          <w:p>
            <w:pPr>
              <w:jc w:val="right"/>
              <w:ind w:right="166"/>
              <w:spacing w:after="0" w:line="117" w:lineRule="exact"/>
              <w:rPr>
                <w:sz w:val="20"/>
                <w:szCs w:val="20"/>
                <w:color w:val="auto"/>
              </w:rPr>
            </w:pPr>
            <w:r>
              <w:rPr>
                <w:rFonts w:ascii="Arial" w:cs="Arial" w:eastAsia="Arial" w:hAnsi="Arial"/>
                <w:sz w:val="13"/>
                <w:szCs w:val="13"/>
                <w:color w:val="auto"/>
              </w:rPr>
              <w:t>1,049,155</w:t>
            </w:r>
          </w:p>
        </w:tc>
      </w:tr>
      <w:tr>
        <w:trPr>
          <w:trHeight w:val="135"/>
        </w:trPr>
        <w:tc>
          <w:tcPr>
            <w:tcW w:w="1820" w:type="dxa"/>
            <w:vAlign w:val="bottom"/>
          </w:tcPr>
          <w:p>
            <w:pPr>
              <w:ind w:left="40"/>
              <w:spacing w:after="0" w:line="135" w:lineRule="exact"/>
              <w:rPr>
                <w:sz w:val="20"/>
                <w:szCs w:val="20"/>
                <w:color w:val="auto"/>
              </w:rPr>
            </w:pPr>
            <w:r>
              <w:rPr>
                <w:rFonts w:ascii="Arial" w:cs="Arial" w:eastAsia="Arial" w:hAnsi="Arial"/>
                <w:sz w:val="13"/>
                <w:szCs w:val="13"/>
                <w:color w:val="auto"/>
              </w:rPr>
              <w:t>Senior Vice President, Chief</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5"/>
        </w:trPr>
        <w:tc>
          <w:tcPr>
            <w:tcW w:w="1820" w:type="dxa"/>
            <w:vAlign w:val="bottom"/>
          </w:tcPr>
          <w:p>
            <w:pPr>
              <w:ind w:left="40"/>
              <w:spacing w:after="0" w:line="135" w:lineRule="exact"/>
              <w:rPr>
                <w:sz w:val="20"/>
                <w:szCs w:val="20"/>
                <w:color w:val="auto"/>
              </w:rPr>
            </w:pPr>
            <w:r>
              <w:rPr>
                <w:rFonts w:ascii="Arial" w:cs="Arial" w:eastAsia="Arial" w:hAnsi="Arial"/>
                <w:sz w:val="13"/>
                <w:szCs w:val="13"/>
                <w:color w:val="auto"/>
              </w:rPr>
              <w:t>Strategy and</w:t>
            </w:r>
          </w:p>
        </w:tc>
        <w:tc>
          <w:tcPr>
            <w:tcW w:w="800" w:type="dxa"/>
            <w:vAlign w:val="bottom"/>
            <w:gridSpan w:val="2"/>
          </w:tcPr>
          <w:p>
            <w:pPr>
              <w:jc w:val="center"/>
              <w:ind w:left="18"/>
              <w:spacing w:after="0" w:line="135" w:lineRule="exact"/>
              <w:rPr>
                <w:sz w:val="20"/>
                <w:szCs w:val="20"/>
                <w:color w:val="auto"/>
              </w:rPr>
            </w:pPr>
            <w:r>
              <w:rPr>
                <w:rFonts w:ascii="Arial" w:cs="Arial" w:eastAsia="Arial" w:hAnsi="Arial"/>
                <w:sz w:val="13"/>
                <w:szCs w:val="13"/>
                <w:color w:val="auto"/>
                <w:w w:val="96"/>
              </w:rPr>
              <w:t>2025</w:t>
            </w:r>
          </w:p>
        </w:tc>
        <w:tc>
          <w:tcPr>
            <w:tcW w:w="1280" w:type="dxa"/>
            <w:vAlign w:val="bottom"/>
            <w:gridSpan w:val="2"/>
          </w:tcPr>
          <w:p>
            <w:pPr>
              <w:jc w:val="right"/>
              <w:ind w:right="206"/>
              <w:spacing w:after="0" w:line="135" w:lineRule="exact"/>
              <w:rPr>
                <w:sz w:val="20"/>
                <w:szCs w:val="20"/>
                <w:color w:val="auto"/>
              </w:rPr>
            </w:pPr>
            <w:r>
              <w:rPr>
                <w:rFonts w:ascii="Arial" w:cs="Arial" w:eastAsia="Arial" w:hAnsi="Arial"/>
                <w:sz w:val="13"/>
                <w:szCs w:val="13"/>
                <w:color w:val="auto"/>
              </w:rPr>
              <w:t>417,000</w:t>
            </w:r>
          </w:p>
        </w:tc>
        <w:tc>
          <w:tcPr>
            <w:tcW w:w="120" w:type="dxa"/>
            <w:vAlign w:val="bottom"/>
          </w:tcPr>
          <w:p>
            <w:pPr>
              <w:spacing w:after="0"/>
              <w:rPr>
                <w:sz w:val="11"/>
                <w:szCs w:val="11"/>
                <w:color w:val="auto"/>
              </w:rPr>
            </w:pPr>
          </w:p>
        </w:tc>
        <w:tc>
          <w:tcPr>
            <w:tcW w:w="70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6"/>
              <w:spacing w:after="0" w:line="135" w:lineRule="exact"/>
              <w:rPr>
                <w:sz w:val="20"/>
                <w:szCs w:val="20"/>
                <w:color w:val="auto"/>
              </w:rPr>
            </w:pPr>
            <w:r>
              <w:rPr>
                <w:rFonts w:ascii="Arial" w:cs="Arial" w:eastAsia="Arial" w:hAnsi="Arial"/>
                <w:sz w:val="13"/>
                <w:szCs w:val="13"/>
                <w:color w:val="auto"/>
              </w:rPr>
              <w:t>567,208</w:t>
            </w:r>
          </w:p>
        </w:tc>
        <w:tc>
          <w:tcPr>
            <w:tcW w:w="100" w:type="dxa"/>
            <w:vAlign w:val="bottom"/>
          </w:tcPr>
          <w:p>
            <w:pPr>
              <w:spacing w:after="0"/>
              <w:rPr>
                <w:sz w:val="11"/>
                <w:szCs w:val="11"/>
                <w:color w:val="auto"/>
              </w:rPr>
            </w:pPr>
          </w:p>
        </w:tc>
        <w:tc>
          <w:tcPr>
            <w:tcW w:w="660" w:type="dxa"/>
            <w:vAlign w:val="bottom"/>
          </w:tcPr>
          <w:p>
            <w:pPr>
              <w:ind w:left="30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156,375</w:t>
            </w:r>
          </w:p>
        </w:tc>
        <w:tc>
          <w:tcPr>
            <w:tcW w:w="120" w:type="dxa"/>
            <w:vAlign w:val="bottom"/>
          </w:tcPr>
          <w:p>
            <w:pPr>
              <w:spacing w:after="0"/>
              <w:rPr>
                <w:sz w:val="11"/>
                <w:szCs w:val="11"/>
                <w:color w:val="auto"/>
              </w:rPr>
            </w:pP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6"/>
              <w:spacing w:after="0" w:line="135" w:lineRule="exact"/>
              <w:rPr>
                <w:sz w:val="20"/>
                <w:szCs w:val="20"/>
                <w:color w:val="auto"/>
              </w:rPr>
            </w:pPr>
            <w:r>
              <w:rPr>
                <w:rFonts w:ascii="Arial" w:cs="Arial" w:eastAsia="Arial" w:hAnsi="Arial"/>
                <w:sz w:val="13"/>
                <w:szCs w:val="13"/>
                <w:color w:val="auto"/>
              </w:rPr>
              <w:t>18,477</w:t>
            </w:r>
          </w:p>
        </w:tc>
        <w:tc>
          <w:tcPr>
            <w:tcW w:w="1320" w:type="dxa"/>
            <w:vAlign w:val="bottom"/>
            <w:gridSpan w:val="2"/>
          </w:tcPr>
          <w:p>
            <w:pPr>
              <w:jc w:val="right"/>
              <w:ind w:right="166"/>
              <w:spacing w:after="0" w:line="135" w:lineRule="exact"/>
              <w:rPr>
                <w:sz w:val="20"/>
                <w:szCs w:val="20"/>
                <w:color w:val="auto"/>
              </w:rPr>
            </w:pPr>
            <w:r>
              <w:rPr>
                <w:rFonts w:ascii="Arial" w:cs="Arial" w:eastAsia="Arial" w:hAnsi="Arial"/>
                <w:sz w:val="13"/>
                <w:szCs w:val="13"/>
                <w:color w:val="auto"/>
              </w:rPr>
              <w:t>1,159,060</w:t>
            </w:r>
          </w:p>
        </w:tc>
      </w:tr>
      <w:tr>
        <w:trPr>
          <w:trHeight w:val="153"/>
        </w:trPr>
        <w:tc>
          <w:tcPr>
            <w:tcW w:w="1820" w:type="dxa"/>
            <w:vAlign w:val="bottom"/>
          </w:tcPr>
          <w:p>
            <w:pPr>
              <w:ind w:left="40"/>
              <w:spacing w:after="0"/>
              <w:rPr>
                <w:sz w:val="20"/>
                <w:szCs w:val="20"/>
                <w:color w:val="auto"/>
              </w:rPr>
            </w:pPr>
            <w:r>
              <w:rPr>
                <w:rFonts w:ascii="Arial" w:cs="Arial" w:eastAsia="Arial" w:hAnsi="Arial"/>
                <w:sz w:val="13"/>
                <w:szCs w:val="13"/>
                <w:color w:val="auto"/>
              </w:rPr>
              <w:t>Digital Officer</w:t>
            </w:r>
          </w:p>
        </w:tc>
        <w:tc>
          <w:tcPr>
            <w:tcW w:w="800" w:type="dxa"/>
            <w:vAlign w:val="bottom"/>
            <w:gridSpan w:val="2"/>
          </w:tcPr>
          <w:p>
            <w:pPr>
              <w:jc w:val="center"/>
              <w:ind w:left="18"/>
              <w:spacing w:after="0"/>
              <w:rPr>
                <w:sz w:val="20"/>
                <w:szCs w:val="20"/>
                <w:color w:val="auto"/>
              </w:rPr>
            </w:pPr>
            <w:r>
              <w:rPr>
                <w:rFonts w:ascii="Arial" w:cs="Arial" w:eastAsia="Arial" w:hAnsi="Arial"/>
                <w:sz w:val="13"/>
                <w:szCs w:val="13"/>
                <w:color w:val="auto"/>
                <w:w w:val="96"/>
              </w:rPr>
              <w:t>2024</w:t>
            </w:r>
          </w:p>
        </w:tc>
        <w:tc>
          <w:tcPr>
            <w:tcW w:w="1280" w:type="dxa"/>
            <w:vAlign w:val="bottom"/>
            <w:gridSpan w:val="2"/>
          </w:tcPr>
          <w:p>
            <w:pPr>
              <w:jc w:val="right"/>
              <w:ind w:right="206"/>
              <w:spacing w:after="0"/>
              <w:rPr>
                <w:sz w:val="20"/>
                <w:szCs w:val="20"/>
                <w:color w:val="auto"/>
              </w:rPr>
            </w:pPr>
            <w:r>
              <w:rPr>
                <w:rFonts w:ascii="Arial" w:cs="Arial" w:eastAsia="Arial" w:hAnsi="Arial"/>
                <w:sz w:val="13"/>
                <w:szCs w:val="13"/>
                <w:color w:val="auto"/>
              </w:rPr>
              <w:t>417,000</w:t>
            </w:r>
          </w:p>
        </w:tc>
        <w:tc>
          <w:tcPr>
            <w:tcW w:w="120" w:type="dxa"/>
            <w:vAlign w:val="bottom"/>
          </w:tcPr>
          <w:p>
            <w:pPr>
              <w:spacing w:after="0"/>
              <w:rPr>
                <w:sz w:val="13"/>
                <w:szCs w:val="13"/>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6"/>
              <w:spacing w:after="0"/>
              <w:rPr>
                <w:sz w:val="20"/>
                <w:szCs w:val="20"/>
                <w:color w:val="auto"/>
              </w:rPr>
            </w:pPr>
            <w:r>
              <w:rPr>
                <w:rFonts w:ascii="Arial" w:cs="Arial" w:eastAsia="Arial" w:hAnsi="Arial"/>
                <w:sz w:val="13"/>
                <w:szCs w:val="13"/>
                <w:color w:val="auto"/>
              </w:rPr>
              <w:t>502,246</w:t>
            </w:r>
          </w:p>
        </w:tc>
        <w:tc>
          <w:tcPr>
            <w:tcW w:w="100" w:type="dxa"/>
            <w:vAlign w:val="bottom"/>
          </w:tcPr>
          <w:p>
            <w:pPr>
              <w:spacing w:after="0"/>
              <w:rPr>
                <w:sz w:val="13"/>
                <w:szCs w:val="13"/>
                <w:color w:val="auto"/>
              </w:rPr>
            </w:pPr>
          </w:p>
        </w:tc>
        <w:tc>
          <w:tcPr>
            <w:tcW w:w="660" w:type="dxa"/>
            <w:vAlign w:val="bottom"/>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tcPr>
          <w:p>
            <w:pPr>
              <w:jc w:val="right"/>
              <w:ind w:right="162"/>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80" w:type="dxa"/>
            <w:vAlign w:val="bottom"/>
          </w:tcPr>
          <w:p>
            <w:pPr>
              <w:ind w:left="6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6"/>
              <w:spacing w:after="0"/>
              <w:rPr>
                <w:sz w:val="20"/>
                <w:szCs w:val="20"/>
                <w:color w:val="auto"/>
              </w:rPr>
            </w:pPr>
            <w:r>
              <w:rPr>
                <w:rFonts w:ascii="Arial" w:cs="Arial" w:eastAsia="Arial" w:hAnsi="Arial"/>
                <w:sz w:val="13"/>
                <w:szCs w:val="13"/>
                <w:color w:val="auto"/>
              </w:rPr>
              <w:t>17,089</w:t>
            </w:r>
          </w:p>
        </w:tc>
        <w:tc>
          <w:tcPr>
            <w:tcW w:w="1320" w:type="dxa"/>
            <w:vAlign w:val="bottom"/>
            <w:gridSpan w:val="2"/>
          </w:tcPr>
          <w:p>
            <w:pPr>
              <w:jc w:val="right"/>
              <w:ind w:right="166"/>
              <w:spacing w:after="0"/>
              <w:rPr>
                <w:sz w:val="20"/>
                <w:szCs w:val="20"/>
                <w:color w:val="auto"/>
              </w:rPr>
            </w:pPr>
            <w:r>
              <w:rPr>
                <w:rFonts w:ascii="Arial" w:cs="Arial" w:eastAsia="Arial" w:hAnsi="Arial"/>
                <w:sz w:val="13"/>
                <w:szCs w:val="13"/>
                <w:color w:val="auto"/>
              </w:rPr>
              <w:t>936,335</w:t>
            </w:r>
          </w:p>
        </w:tc>
      </w:tr>
      <w:tr>
        <w:trPr>
          <w:trHeight w:val="117"/>
        </w:trPr>
        <w:tc>
          <w:tcPr>
            <w:tcW w:w="182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Andrew I. Gray</w:t>
            </w:r>
          </w:p>
        </w:tc>
        <w:tc>
          <w:tcPr>
            <w:tcW w:w="800" w:type="dxa"/>
            <w:vAlign w:val="bottom"/>
            <w:gridSpan w:val="2"/>
            <w:shd w:val="clear" w:color="auto" w:fill="CFF0FC"/>
          </w:tcPr>
          <w:p>
            <w:pPr>
              <w:jc w:val="center"/>
              <w:ind w:left="18"/>
              <w:spacing w:after="0" w:line="117" w:lineRule="exact"/>
              <w:rPr>
                <w:sz w:val="20"/>
                <w:szCs w:val="20"/>
                <w:color w:val="auto"/>
              </w:rPr>
            </w:pPr>
            <w:r>
              <w:rPr>
                <w:rFonts w:ascii="Arial" w:cs="Arial" w:eastAsia="Arial" w:hAnsi="Arial"/>
                <w:sz w:val="13"/>
                <w:szCs w:val="13"/>
                <w:color w:val="auto"/>
                <w:w w:val="96"/>
              </w:rPr>
              <w:t>2026</w:t>
            </w:r>
          </w:p>
        </w:tc>
        <w:tc>
          <w:tcPr>
            <w:tcW w:w="1280" w:type="dxa"/>
            <w:vAlign w:val="bottom"/>
            <w:gridSpan w:val="2"/>
            <w:shd w:val="clear" w:color="auto" w:fill="CFF0FC"/>
          </w:tcPr>
          <w:p>
            <w:pPr>
              <w:jc w:val="right"/>
              <w:ind w:right="206"/>
              <w:spacing w:after="0" w:line="117" w:lineRule="exact"/>
              <w:rPr>
                <w:sz w:val="20"/>
                <w:szCs w:val="20"/>
                <w:color w:val="auto"/>
              </w:rPr>
            </w:pPr>
            <w:r>
              <w:rPr>
                <w:rFonts w:ascii="Arial" w:cs="Arial" w:eastAsia="Arial" w:hAnsi="Arial"/>
                <w:sz w:val="13"/>
                <w:szCs w:val="13"/>
                <w:color w:val="auto"/>
              </w:rPr>
              <w:t>675,000</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ind w:left="320"/>
              <w:spacing w:after="0" w:line="117"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line="117" w:lineRule="exact"/>
              <w:rPr>
                <w:sz w:val="20"/>
                <w:szCs w:val="20"/>
                <w:color w:val="auto"/>
              </w:rPr>
            </w:pPr>
            <w:r>
              <w:rPr>
                <w:rFonts w:ascii="Arial" w:cs="Arial" w:eastAsia="Arial" w:hAnsi="Arial"/>
                <w:sz w:val="13"/>
                <w:szCs w:val="13"/>
                <w:color w:val="auto"/>
              </w:rPr>
              <w:t>399,620</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ind w:left="300"/>
              <w:spacing w:after="0" w:line="117"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162"/>
              <w:spacing w:after="0" w:line="117" w:lineRule="exact"/>
              <w:rPr>
                <w:sz w:val="20"/>
                <w:szCs w:val="20"/>
                <w:color w:val="auto"/>
              </w:rPr>
            </w:pPr>
            <w:r>
              <w:rPr>
                <w:rFonts w:ascii="Arial" w:cs="Arial" w:eastAsia="Arial" w:hAnsi="Arial"/>
                <w:sz w:val="13"/>
                <w:szCs w:val="13"/>
                <w:color w:val="auto"/>
              </w:rPr>
              <w:t>1,208,203</w:t>
            </w: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ind w:left="620"/>
              <w:spacing w:after="0" w:line="117"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line="117" w:lineRule="exact"/>
              <w:rPr>
                <w:sz w:val="20"/>
                <w:szCs w:val="20"/>
                <w:color w:val="auto"/>
              </w:rPr>
            </w:pPr>
            <w:r>
              <w:rPr>
                <w:rFonts w:ascii="Arial" w:cs="Arial" w:eastAsia="Arial" w:hAnsi="Arial"/>
                <w:sz w:val="13"/>
                <w:szCs w:val="13"/>
                <w:color w:val="auto"/>
              </w:rPr>
              <w:t>241,966</w:t>
            </w:r>
          </w:p>
        </w:tc>
        <w:tc>
          <w:tcPr>
            <w:tcW w:w="1320" w:type="dxa"/>
            <w:vAlign w:val="bottom"/>
            <w:gridSpan w:val="2"/>
            <w:shd w:val="clear" w:color="auto" w:fill="CFF0FC"/>
          </w:tcPr>
          <w:p>
            <w:pPr>
              <w:jc w:val="right"/>
              <w:ind w:right="166"/>
              <w:spacing w:after="0" w:line="117" w:lineRule="exact"/>
              <w:rPr>
                <w:sz w:val="20"/>
                <w:szCs w:val="20"/>
                <w:color w:val="auto"/>
              </w:rPr>
            </w:pPr>
            <w:r>
              <w:rPr>
                <w:rFonts w:ascii="Arial" w:cs="Arial" w:eastAsia="Arial" w:hAnsi="Arial"/>
                <w:sz w:val="13"/>
                <w:szCs w:val="13"/>
                <w:color w:val="auto"/>
              </w:rPr>
              <w:t>2,524,789</w:t>
            </w: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Senior Vice President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2025</w:t>
            </w:r>
          </w:p>
        </w:tc>
        <w:tc>
          <w:tcPr>
            <w:tcW w:w="1280" w:type="dxa"/>
            <w:vAlign w:val="bottom"/>
            <w:gridSpan w:val="2"/>
            <w:shd w:val="clear" w:color="auto" w:fill="CFF0FC"/>
          </w:tcPr>
          <w:p>
            <w:pPr>
              <w:jc w:val="right"/>
              <w:ind w:right="206"/>
              <w:spacing w:after="0" w:line="135" w:lineRule="exact"/>
              <w:rPr>
                <w:sz w:val="20"/>
                <w:szCs w:val="20"/>
                <w:color w:val="auto"/>
              </w:rPr>
            </w:pPr>
            <w:r>
              <w:rPr>
                <w:rFonts w:ascii="Arial" w:cs="Arial" w:eastAsia="Arial" w:hAnsi="Arial"/>
                <w:sz w:val="13"/>
                <w:szCs w:val="13"/>
                <w:color w:val="auto"/>
              </w:rPr>
              <w:t>635,000</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ind w:left="32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line="135" w:lineRule="exact"/>
              <w:rPr>
                <w:sz w:val="20"/>
                <w:szCs w:val="20"/>
                <w:color w:val="auto"/>
              </w:rPr>
            </w:pPr>
            <w:r>
              <w:rPr>
                <w:rFonts w:ascii="Arial" w:cs="Arial" w:eastAsia="Arial" w:hAnsi="Arial"/>
                <w:sz w:val="13"/>
                <w:szCs w:val="13"/>
                <w:color w:val="auto"/>
              </w:rPr>
              <w:t>2,502,929</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162"/>
              <w:spacing w:after="0" w:line="135" w:lineRule="exact"/>
              <w:rPr>
                <w:sz w:val="20"/>
                <w:szCs w:val="20"/>
                <w:color w:val="auto"/>
              </w:rPr>
            </w:pPr>
            <w:r>
              <w:rPr>
                <w:rFonts w:ascii="Arial" w:cs="Arial" w:eastAsia="Arial" w:hAnsi="Arial"/>
                <w:sz w:val="13"/>
                <w:szCs w:val="13"/>
                <w:color w:val="auto"/>
              </w:rPr>
              <w:t>655,760</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ind w:left="6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line="135" w:lineRule="exact"/>
              <w:rPr>
                <w:sz w:val="20"/>
                <w:szCs w:val="20"/>
                <w:color w:val="auto"/>
              </w:rPr>
            </w:pPr>
            <w:r>
              <w:rPr>
                <w:rFonts w:ascii="Arial" w:cs="Arial" w:eastAsia="Arial" w:hAnsi="Arial"/>
                <w:sz w:val="13"/>
                <w:szCs w:val="13"/>
                <w:color w:val="auto"/>
              </w:rPr>
              <w:t>129,845</w:t>
            </w:r>
          </w:p>
        </w:tc>
        <w:tc>
          <w:tcPr>
            <w:tcW w:w="1320" w:type="dxa"/>
            <w:vAlign w:val="bottom"/>
            <w:gridSpan w:val="2"/>
            <w:shd w:val="clear" w:color="auto" w:fill="CFF0FC"/>
          </w:tcPr>
          <w:p>
            <w:pPr>
              <w:jc w:val="right"/>
              <w:ind w:right="166"/>
              <w:spacing w:after="0" w:line="135" w:lineRule="exact"/>
              <w:rPr>
                <w:sz w:val="20"/>
                <w:szCs w:val="20"/>
                <w:color w:val="auto"/>
              </w:rPr>
            </w:pPr>
            <w:r>
              <w:rPr>
                <w:rFonts w:ascii="Arial" w:cs="Arial" w:eastAsia="Arial" w:hAnsi="Arial"/>
                <w:sz w:val="13"/>
                <w:szCs w:val="13"/>
                <w:color w:val="auto"/>
              </w:rPr>
              <w:t>3,923,534</w:t>
            </w: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and Chief Executive Officer</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53"/>
        </w:trPr>
        <w:tc>
          <w:tcPr>
            <w:tcW w:w="1820" w:type="dxa"/>
            <w:vAlign w:val="bottom"/>
            <w:shd w:val="clear" w:color="auto" w:fill="CFF0FC"/>
          </w:tcPr>
          <w:p>
            <w:pPr>
              <w:ind w:left="40"/>
              <w:spacing w:after="0"/>
              <w:rPr>
                <w:sz w:val="20"/>
                <w:szCs w:val="20"/>
                <w:color w:val="auto"/>
              </w:rPr>
            </w:pPr>
            <w:r>
              <w:rPr>
                <w:rFonts w:ascii="Arial" w:cs="Arial" w:eastAsia="Arial" w:hAnsi="Arial"/>
                <w:sz w:val="13"/>
                <w:szCs w:val="13"/>
                <w:color w:val="auto"/>
              </w:rPr>
              <w:t>Journeys Global Retail Group</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bl>
    <w:p>
      <w:pPr>
        <w:spacing w:after="0" w:line="143" w:lineRule="exact"/>
        <w:rPr>
          <w:sz w:val="20"/>
          <w:szCs w:val="20"/>
          <w:color w:val="auto"/>
        </w:rPr>
      </w:pPr>
    </w:p>
    <w:p>
      <w:pPr>
        <w:ind w:left="520" w:right="700" w:hanging="512"/>
        <w:spacing w:after="0" w:line="25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in column (c) include salary voluntarily deferred in the Defined Contribution Plan and the Deferred Income Plan described under the heading “Other Compensation — Defined Contribution and Deferred Income Plans” in the “Compensation Discussion and Analysis” section, above, in the following amounts: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 Deferred ($)</w:t>
            </w: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55"/>
        </w:trPr>
        <w:tc>
          <w:tcPr>
            <w:tcW w:w="5820" w:type="dxa"/>
            <w:vAlign w:val="bottom"/>
          </w:tcPr>
          <w:p>
            <w:pPr>
              <w:spacing w:after="0"/>
              <w:rPr>
                <w:sz w:val="13"/>
                <w:szCs w:val="13"/>
                <w:color w:val="auto"/>
              </w:rPr>
            </w:pPr>
          </w:p>
        </w:tc>
        <w:tc>
          <w:tcPr>
            <w:tcW w:w="13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Fiscal 2026</w:t>
            </w:r>
          </w:p>
        </w:tc>
        <w:tc>
          <w:tcPr>
            <w:tcW w:w="120" w:type="dxa"/>
            <w:vAlign w:val="bottom"/>
          </w:tcPr>
          <w:p>
            <w:pPr>
              <w:spacing w:after="0"/>
              <w:rPr>
                <w:sz w:val="13"/>
                <w:szCs w:val="13"/>
                <w:color w:val="auto"/>
              </w:rPr>
            </w:pPr>
          </w:p>
        </w:tc>
        <w:tc>
          <w:tcPr>
            <w:tcW w:w="13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Fiscal 2025</w:t>
            </w:r>
          </w:p>
        </w:tc>
        <w:tc>
          <w:tcPr>
            <w:tcW w:w="80" w:type="dxa"/>
            <w:vAlign w:val="bottom"/>
          </w:tcPr>
          <w:p>
            <w:pPr>
              <w:spacing w:after="0"/>
              <w:rPr>
                <w:sz w:val="13"/>
                <w:szCs w:val="13"/>
                <w:color w:val="auto"/>
              </w:rPr>
            </w:pPr>
          </w:p>
        </w:tc>
        <w:tc>
          <w:tcPr>
            <w:tcW w:w="136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Fiscal 2024</w:t>
            </w: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380" w:type="dxa"/>
            <w:vAlign w:val="bottom"/>
            <w:shd w:val="clear" w:color="auto" w:fill="CCEEFF"/>
          </w:tcPr>
          <w:p>
            <w:pPr>
              <w:jc w:val="right"/>
              <w:ind w:right="253"/>
              <w:spacing w:after="0" w:line="196" w:lineRule="exact"/>
              <w:rPr>
                <w:sz w:val="20"/>
                <w:szCs w:val="20"/>
                <w:color w:val="auto"/>
              </w:rPr>
            </w:pPr>
            <w:r>
              <w:rPr>
                <w:rFonts w:ascii="Arial" w:cs="Arial" w:eastAsia="Arial" w:hAnsi="Arial"/>
                <w:sz w:val="18"/>
                <w:szCs w:val="18"/>
                <w:color w:val="auto"/>
              </w:rPr>
              <w:t>30,216</w:t>
            </w:r>
          </w:p>
        </w:tc>
        <w:tc>
          <w:tcPr>
            <w:tcW w:w="146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29,748</w:t>
            </w:r>
          </w:p>
        </w:tc>
        <w:tc>
          <w:tcPr>
            <w:tcW w:w="1440" w:type="dxa"/>
            <w:vAlign w:val="bottom"/>
            <w:gridSpan w:val="2"/>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rPr>
              <w:t>29,407</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38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31,000</w:t>
            </w:r>
          </w:p>
        </w:tc>
        <w:tc>
          <w:tcPr>
            <w:tcW w:w="146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9,000</w:t>
            </w:r>
          </w:p>
        </w:tc>
        <w:tc>
          <w:tcPr>
            <w:tcW w:w="80" w:type="dxa"/>
            <w:vAlign w:val="bottom"/>
          </w:tcPr>
          <w:p>
            <w:pPr>
              <w:spacing w:after="0"/>
              <w:rPr>
                <w:sz w:val="17"/>
                <w:szCs w:val="17"/>
                <w:color w:val="auto"/>
              </w:rPr>
            </w:pPr>
          </w:p>
        </w:tc>
        <w:tc>
          <w:tcPr>
            <w:tcW w:w="136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N/A</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38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31,508</w:t>
            </w:r>
          </w:p>
        </w:tc>
        <w:tc>
          <w:tcPr>
            <w:tcW w:w="146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30,500</w:t>
            </w:r>
          </w:p>
        </w:tc>
        <w:tc>
          <w:tcPr>
            <w:tcW w:w="1440" w:type="dxa"/>
            <w:vAlign w:val="bottom"/>
            <w:gridSpan w:val="2"/>
            <w:shd w:val="clear" w:color="auto" w:fill="CCEEFF"/>
          </w:tcPr>
          <w:p>
            <w:pPr>
              <w:jc w:val="right"/>
              <w:ind w:right="236"/>
              <w:spacing w:after="0" w:line="202" w:lineRule="exact"/>
              <w:rPr>
                <w:sz w:val="20"/>
                <w:szCs w:val="20"/>
                <w:color w:val="auto"/>
              </w:rPr>
            </w:pPr>
            <w:r>
              <w:rPr>
                <w:rFonts w:ascii="Arial" w:cs="Arial" w:eastAsia="Arial" w:hAnsi="Arial"/>
                <w:sz w:val="18"/>
                <w:szCs w:val="18"/>
                <w:color w:val="auto"/>
              </w:rPr>
              <w:t>31,155</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38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22,500</w:t>
            </w:r>
          </w:p>
        </w:tc>
        <w:tc>
          <w:tcPr>
            <w:tcW w:w="146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20,850</w:t>
            </w:r>
          </w:p>
        </w:tc>
        <w:tc>
          <w:tcPr>
            <w:tcW w:w="1440" w:type="dxa"/>
            <w:vAlign w:val="bottom"/>
            <w:gridSpan w:val="2"/>
          </w:tcPr>
          <w:p>
            <w:pPr>
              <w:jc w:val="right"/>
              <w:ind w:right="236"/>
              <w:spacing w:after="0" w:line="202" w:lineRule="exact"/>
              <w:rPr>
                <w:sz w:val="20"/>
                <w:szCs w:val="20"/>
                <w:color w:val="auto"/>
              </w:rPr>
            </w:pPr>
            <w:r>
              <w:rPr>
                <w:rFonts w:ascii="Arial" w:cs="Arial" w:eastAsia="Arial" w:hAnsi="Arial"/>
                <w:sz w:val="18"/>
                <w:szCs w:val="18"/>
                <w:color w:val="auto"/>
              </w:rPr>
              <w:t>20,850</w:t>
            </w:r>
          </w:p>
        </w:tc>
      </w:tr>
      <w:tr>
        <w:trPr>
          <w:trHeight w:val="202"/>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38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23,833</w:t>
            </w:r>
          </w:p>
        </w:tc>
        <w:tc>
          <w:tcPr>
            <w:tcW w:w="146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28,292</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36"/>
              <w:spacing w:after="0" w:line="202" w:lineRule="exact"/>
              <w:rPr>
                <w:sz w:val="20"/>
                <w:szCs w:val="20"/>
                <w:color w:val="auto"/>
              </w:rPr>
            </w:pPr>
            <w:r>
              <w:rPr>
                <w:rFonts w:ascii="Arial" w:cs="Arial" w:eastAsia="Arial" w:hAnsi="Arial"/>
                <w:sz w:val="18"/>
                <w:szCs w:val="18"/>
                <w:color w:val="auto"/>
              </w:rPr>
              <w:t>N/A</w:t>
            </w:r>
          </w:p>
        </w:tc>
      </w:tr>
    </w:tbl>
    <w:p>
      <w:pPr>
        <w:spacing w:after="0" w:line="332" w:lineRule="exact"/>
        <w:rPr>
          <w:sz w:val="20"/>
          <w:szCs w:val="20"/>
          <w:color w:val="auto"/>
        </w:rPr>
      </w:pPr>
    </w:p>
    <w:p>
      <w:pPr>
        <w:ind w:left="520" w:right="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 column (e) represent the aggregate grant date fair value of restricted stock and PSU awards, calculated in accordance with ASC Topic 718 “Compensation — Stock Compensation” (“ASC 718”). For a description of the assumptions used by the Company in valuing those awards in Fiscal 2026, please see Note 14 to the Company’s Consolidated Financial Statements included in the Company’s Annual Report on Form 10-K for the fiscal year ended January 31, 2026, filed with the SEC on March 25, 2026. PSUs granted to the Company’s executives in Fiscal 2026 will be earned based on a three-year performance period, and vest on February 1, 2028, subject to continued employment. As further discussed in “Compensation Discussion and Analysis – Stock-Based Compensation – PSUs,” the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PSUs are adjusted operating income by business unit through Fiscal 2028 (i.e., a three-year performance period).</w:t>
      </w:r>
    </w:p>
    <w:p>
      <w:pPr>
        <w:spacing w:after="0" w:line="104"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stock awards for all years presented includes the value of restricted stock and PSUs as of the grant date. The award value included in the table above for PSUs in Fiscal 2026 is based on the grant date fair value of the awards assuming target level achievement, which we have determined in accordance with share-based compensation accounting rules, to be the probable level of achievement of the performance metrics underlying those awards as of the grant date. The table below shows the grant date fair value of PSUs granted to each named executive officer during Fiscal 2026, assuming that: (i) the Company’s performance with respect to those performance metrics will be at target levels (i.e., probable performance) and (ii) the Company’s performance with respect to those performance metrics will be at levels that result in maximum payout.</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Grant Date Fair</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Grant Date Fair</w:t>
            </w: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Year of</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Value (Probable</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Value (Maximum</w:t>
            </w:r>
          </w:p>
        </w:tc>
      </w:tr>
      <w:tr>
        <w:trPr>
          <w:trHeight w:val="17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196"/>
        </w:trPr>
        <w:tc>
          <w:tcPr>
            <w:tcW w:w="20" w:type="dxa"/>
            <w:vAlign w:val="bottom"/>
          </w:tcPr>
          <w:p>
            <w:pPr>
              <w:spacing w:after="0"/>
              <w:rPr>
                <w:sz w:val="17"/>
                <w:szCs w:val="17"/>
                <w:color w:val="auto"/>
              </w:rPr>
            </w:pPr>
          </w:p>
        </w:tc>
        <w:tc>
          <w:tcPr>
            <w:tcW w:w="5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2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2026</w:t>
            </w:r>
          </w:p>
        </w:tc>
        <w:tc>
          <w:tcPr>
            <w:tcW w:w="100" w:type="dxa"/>
            <w:vAlign w:val="bottom"/>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304"/>
              <w:spacing w:after="0" w:line="196" w:lineRule="exact"/>
              <w:rPr>
                <w:sz w:val="20"/>
                <w:szCs w:val="20"/>
                <w:color w:val="auto"/>
              </w:rPr>
            </w:pPr>
            <w:r>
              <w:rPr>
                <w:rFonts w:ascii="Arial" w:cs="Arial" w:eastAsia="Arial" w:hAnsi="Arial"/>
                <w:sz w:val="18"/>
                <w:szCs w:val="18"/>
                <w:color w:val="auto"/>
              </w:rPr>
              <w:t>1,550,590</w:t>
            </w:r>
          </w:p>
        </w:tc>
        <w:tc>
          <w:tcPr>
            <w:tcW w:w="80" w:type="dxa"/>
            <w:vAlign w:val="bottom"/>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ind w:right="304"/>
              <w:spacing w:after="0" w:line="196" w:lineRule="exact"/>
              <w:rPr>
                <w:sz w:val="20"/>
                <w:szCs w:val="20"/>
                <w:color w:val="auto"/>
              </w:rPr>
            </w:pPr>
            <w:r>
              <w:rPr>
                <w:rFonts w:ascii="Arial" w:cs="Arial" w:eastAsia="Arial" w:hAnsi="Arial"/>
                <w:sz w:val="18"/>
                <w:szCs w:val="18"/>
                <w:color w:val="auto"/>
              </w:rPr>
              <w:t>3,101,180</w:t>
            </w: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3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2026</w:t>
            </w:r>
          </w:p>
        </w:tc>
        <w:tc>
          <w:tcPr>
            <w:tcW w:w="1720" w:type="dxa"/>
            <w:vAlign w:val="bottom"/>
            <w:gridSpan w:val="2"/>
          </w:tcPr>
          <w:p>
            <w:pPr>
              <w:jc w:val="right"/>
              <w:ind w:right="304"/>
              <w:spacing w:after="0" w:line="202" w:lineRule="exact"/>
              <w:rPr>
                <w:sz w:val="20"/>
                <w:szCs w:val="20"/>
                <w:color w:val="auto"/>
              </w:rPr>
            </w:pPr>
            <w:r>
              <w:rPr>
                <w:rFonts w:ascii="Arial" w:cs="Arial" w:eastAsia="Arial" w:hAnsi="Arial"/>
                <w:sz w:val="18"/>
                <w:szCs w:val="18"/>
                <w:color w:val="auto"/>
              </w:rPr>
              <w:t>357,843</w:t>
            </w:r>
          </w:p>
        </w:tc>
        <w:tc>
          <w:tcPr>
            <w:tcW w:w="1720" w:type="dxa"/>
            <w:vAlign w:val="bottom"/>
            <w:gridSpan w:val="2"/>
          </w:tcPr>
          <w:p>
            <w:pPr>
              <w:jc w:val="right"/>
              <w:ind w:right="304"/>
              <w:spacing w:after="0" w:line="202" w:lineRule="exact"/>
              <w:rPr>
                <w:sz w:val="20"/>
                <w:szCs w:val="20"/>
                <w:color w:val="auto"/>
              </w:rPr>
            </w:pPr>
            <w:r>
              <w:rPr>
                <w:rFonts w:ascii="Arial" w:cs="Arial" w:eastAsia="Arial" w:hAnsi="Arial"/>
                <w:sz w:val="18"/>
                <w:szCs w:val="18"/>
                <w:color w:val="auto"/>
              </w:rPr>
              <w:t>715,686</w:t>
            </w: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30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9"/>
              </w:rPr>
              <w:t>2026</w:t>
            </w:r>
          </w:p>
        </w:tc>
        <w:tc>
          <w:tcPr>
            <w:tcW w:w="172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205,568</w:t>
            </w:r>
          </w:p>
        </w:tc>
        <w:tc>
          <w:tcPr>
            <w:tcW w:w="172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411,137</w:t>
            </w: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3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2026</w:t>
            </w:r>
          </w:p>
        </w:tc>
        <w:tc>
          <w:tcPr>
            <w:tcW w:w="1720" w:type="dxa"/>
            <w:vAlign w:val="bottom"/>
            <w:gridSpan w:val="2"/>
          </w:tcPr>
          <w:p>
            <w:pPr>
              <w:jc w:val="right"/>
              <w:ind w:right="304"/>
              <w:spacing w:after="0" w:line="202" w:lineRule="exact"/>
              <w:rPr>
                <w:sz w:val="20"/>
                <w:szCs w:val="20"/>
                <w:color w:val="auto"/>
              </w:rPr>
            </w:pPr>
            <w:r>
              <w:rPr>
                <w:rFonts w:ascii="Arial" w:cs="Arial" w:eastAsia="Arial" w:hAnsi="Arial"/>
                <w:sz w:val="18"/>
                <w:szCs w:val="18"/>
                <w:color w:val="auto"/>
              </w:rPr>
              <w:t>230,804</w:t>
            </w:r>
          </w:p>
        </w:tc>
        <w:tc>
          <w:tcPr>
            <w:tcW w:w="1720" w:type="dxa"/>
            <w:vAlign w:val="bottom"/>
            <w:gridSpan w:val="2"/>
          </w:tcPr>
          <w:p>
            <w:pPr>
              <w:jc w:val="right"/>
              <w:ind w:right="304"/>
              <w:spacing w:after="0" w:line="202" w:lineRule="exact"/>
              <w:rPr>
                <w:sz w:val="20"/>
                <w:szCs w:val="20"/>
                <w:color w:val="auto"/>
              </w:rPr>
            </w:pPr>
            <w:r>
              <w:rPr>
                <w:rFonts w:ascii="Arial" w:cs="Arial" w:eastAsia="Arial" w:hAnsi="Arial"/>
                <w:sz w:val="18"/>
                <w:szCs w:val="18"/>
                <w:color w:val="auto"/>
              </w:rPr>
              <w:t>461,608</w:t>
            </w: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30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9"/>
              </w:rPr>
              <w:t>2026</w:t>
            </w:r>
          </w:p>
        </w:tc>
        <w:tc>
          <w:tcPr>
            <w:tcW w:w="172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390,638</w:t>
            </w:r>
          </w:p>
        </w:tc>
        <w:tc>
          <w:tcPr>
            <w:tcW w:w="172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781,275</w:t>
            </w:r>
          </w:p>
        </w:tc>
      </w:tr>
    </w:tbl>
    <w:p>
      <w:pPr>
        <w:spacing w:after="0" w:line="224" w:lineRule="exact"/>
        <w:rPr>
          <w:sz w:val="20"/>
          <w:szCs w:val="20"/>
          <w:color w:val="auto"/>
        </w:rPr>
      </w:pPr>
    </w:p>
    <w:p>
      <w:pPr>
        <w:ind w:left="520" w:hanging="512"/>
        <w:spacing w:after="0" w:line="242"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in column (g) are cash awards under the Company’s EVA Plan, discussed in greater detail under the headings “Elements of Direct Compensation — Annual Incentive Compensation” in the “Compensation Discussion and Analysis” section, above. They include amounts voluntarily deferred by the named executive officers in the Company’s 401(k) Plan and Deferred Income Plan, discussed under the heading “Other Compensation — Defined Contribution and Deferred Income Plans” in the “Compensation Discussion and Analysis” section, above. Of the amounts reported in column (g), the named executive officers elected to defer the following amounts in the 401(k) Plan and/or the Deferred Income Plan:</w:t>
      </w:r>
    </w:p>
    <w:p>
      <w:pPr>
        <w:spacing w:after="0" w:line="215"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 Deferred ($)</w:t>
            </w: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gridSpan w:val="3"/>
            <w:vMerge w:val="continue"/>
          </w:tcPr>
          <w:p>
            <w:pPr>
              <w:spacing w:after="0"/>
              <w:rPr>
                <w:sz w:val="13"/>
                <w:szCs w:val="13"/>
                <w:color w:val="auto"/>
              </w:rPr>
            </w:pPr>
          </w:p>
        </w:tc>
        <w:tc>
          <w:tcPr>
            <w:tcW w:w="13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Fiscal 2026</w:t>
            </w:r>
          </w:p>
        </w:tc>
        <w:tc>
          <w:tcPr>
            <w:tcW w:w="120" w:type="dxa"/>
            <w:vAlign w:val="bottom"/>
          </w:tcPr>
          <w:p>
            <w:pPr>
              <w:spacing w:after="0"/>
              <w:rPr>
                <w:sz w:val="13"/>
                <w:szCs w:val="13"/>
                <w:color w:val="auto"/>
              </w:rPr>
            </w:pPr>
          </w:p>
        </w:tc>
        <w:tc>
          <w:tcPr>
            <w:tcW w:w="134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Fiscal 2025</w:t>
            </w:r>
          </w:p>
        </w:tc>
        <w:tc>
          <w:tcPr>
            <w:tcW w:w="80" w:type="dxa"/>
            <w:vAlign w:val="bottom"/>
          </w:tcPr>
          <w:p>
            <w:pPr>
              <w:spacing w:after="0"/>
              <w:rPr>
                <w:sz w:val="13"/>
                <w:szCs w:val="13"/>
                <w:color w:val="auto"/>
              </w:rPr>
            </w:pPr>
          </w:p>
        </w:tc>
        <w:tc>
          <w:tcPr>
            <w:tcW w:w="13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Fiscal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00" w:type="dxa"/>
            <w:vAlign w:val="bottom"/>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70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393"/>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tcPr>
          <w:p>
            <w:pPr>
              <w:spacing w:after="0" w:line="202" w:lineRule="exact"/>
              <w:rPr>
                <w:sz w:val="20"/>
                <w:szCs w:val="20"/>
                <w:color w:val="auto"/>
              </w:rPr>
            </w:pPr>
            <w:r>
              <w:rPr>
                <w:rFonts w:ascii="Arial" w:cs="Arial" w:eastAsia="Arial" w:hAnsi="Arial"/>
                <w:sz w:val="18"/>
                <w:szCs w:val="18"/>
                <w:color w:val="auto"/>
              </w:rPr>
              <w:t>Cassandra E. Harris</w:t>
            </w:r>
          </w:p>
        </w:tc>
        <w:tc>
          <w:tcPr>
            <w:tcW w:w="1380" w:type="dxa"/>
            <w:vAlign w:val="bottom"/>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4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36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3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tcPr>
          <w:p>
            <w:pPr>
              <w:spacing w:after="0" w:line="202" w:lineRule="exact"/>
              <w:rPr>
                <w:sz w:val="20"/>
                <w:szCs w:val="20"/>
                <w:color w:val="auto"/>
              </w:rPr>
            </w:pPr>
            <w:r>
              <w:rPr>
                <w:rFonts w:ascii="Arial" w:cs="Arial" w:eastAsia="Arial" w:hAnsi="Arial"/>
                <w:sz w:val="18"/>
                <w:szCs w:val="18"/>
                <w:color w:val="auto"/>
              </w:rPr>
              <w:t>Parag D. Desai</w:t>
            </w:r>
          </w:p>
        </w:tc>
        <w:tc>
          <w:tcPr>
            <w:tcW w:w="1380" w:type="dxa"/>
            <w:vAlign w:val="bottom"/>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4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36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3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20"/>
        <w:spacing w:after="0" w:line="242" w:lineRule="auto"/>
        <w:rPr>
          <w:sz w:val="20"/>
          <w:szCs w:val="20"/>
          <w:color w:val="auto"/>
        </w:rPr>
      </w:pPr>
      <w:r>
        <w:rPr>
          <w:rFonts w:ascii="Arial" w:cs="Arial" w:eastAsia="Arial" w:hAnsi="Arial"/>
          <w:sz w:val="18"/>
          <w:szCs w:val="18"/>
          <w:color w:val="auto"/>
        </w:rPr>
        <w:t>Bonuses reported in column (g) of the Summary Compensation Table are bonuses actually payable for the years indicated, reflecting, where applicable, reductions of amounts otherwise payable by the recapture of previously accrued negative balances pursuant to the prior “banking” feature of the EVA Plan and positive bank balances held back in prior years that became payable for the year indicated because of performance in that year. No named executive officer had a positive “bank” balance at the end of Fiscal 2026 and all negative bonus banks were cancelled at the end of Fiscal 2026. See “Annual Incentive Compensation — Historical Bonus Bank” in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in column (i) for Fiscal 2026 include the following amounts:</w:t>
      </w:r>
    </w:p>
    <w:p>
      <w:pPr>
        <w:spacing w:after="0" w:line="24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Matching</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Life Insurance</w:t>
            </w:r>
          </w:p>
        </w:tc>
        <w:tc>
          <w:tcPr>
            <w:tcW w:w="80" w:type="dxa"/>
            <w:vAlign w:val="bottom"/>
          </w:tcPr>
          <w:p>
            <w:pPr>
              <w:spacing w:after="0"/>
              <w:rPr>
                <w:sz w:val="14"/>
                <w:szCs w:val="14"/>
                <w:color w:val="auto"/>
              </w:rPr>
            </w:pPr>
          </w:p>
        </w:tc>
        <w:tc>
          <w:tcPr>
            <w:tcW w:w="1540" w:type="dxa"/>
            <w:vAlign w:val="bottom"/>
          </w:tcPr>
          <w:p>
            <w:pPr>
              <w:ind w:left="460"/>
              <w:spacing w:after="0"/>
              <w:rPr>
                <w:sz w:val="20"/>
                <w:szCs w:val="20"/>
                <w:color w:val="auto"/>
              </w:rPr>
            </w:pPr>
            <w:r>
              <w:rPr>
                <w:rFonts w:ascii="Arial" w:cs="Arial" w:eastAsia="Arial" w:hAnsi="Arial"/>
                <w:sz w:val="14"/>
                <w:szCs w:val="14"/>
                <w:b w:val="1"/>
                <w:bCs w:val="1"/>
                <w:color w:val="auto"/>
              </w:rPr>
              <w:t>Personal</w:t>
            </w: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Premiums</w:t>
            </w:r>
          </w:p>
        </w:tc>
        <w:tc>
          <w:tcPr>
            <w:tcW w:w="80" w:type="dxa"/>
            <w:vAlign w:val="bottom"/>
          </w:tcPr>
          <w:p>
            <w:pPr>
              <w:spacing w:after="0"/>
              <w:rPr>
                <w:sz w:val="14"/>
                <w:szCs w:val="14"/>
                <w:color w:val="auto"/>
              </w:rPr>
            </w:pPr>
          </w:p>
        </w:tc>
        <w:tc>
          <w:tcPr>
            <w:tcW w:w="1540" w:type="dxa"/>
            <w:vAlign w:val="bottom"/>
          </w:tcPr>
          <w:p>
            <w:pPr>
              <w:ind w:left="480"/>
              <w:spacing w:after="0"/>
              <w:rPr>
                <w:sz w:val="20"/>
                <w:szCs w:val="20"/>
                <w:color w:val="auto"/>
              </w:rPr>
            </w:pPr>
            <w:r>
              <w:rPr>
                <w:rFonts w:ascii="Arial" w:cs="Arial" w:eastAsia="Arial" w:hAnsi="Arial"/>
                <w:sz w:val="14"/>
                <w:szCs w:val="14"/>
                <w:b w:val="1"/>
                <w:bCs w:val="1"/>
                <w:color w:val="auto"/>
              </w:rPr>
              <w:t>Benefits</w:t>
            </w:r>
          </w:p>
        </w:tc>
        <w:tc>
          <w:tcPr>
            <w:tcW w:w="80" w:type="dxa"/>
            <w:vAlign w:val="bottom"/>
          </w:tcPr>
          <w:p>
            <w:pPr>
              <w:spacing w:after="0"/>
              <w:rPr>
                <w:sz w:val="14"/>
                <w:szCs w:val="14"/>
                <w:color w:val="auto"/>
              </w:rPr>
            </w:pPr>
          </w:p>
        </w:tc>
        <w:tc>
          <w:tcPr>
            <w:tcW w:w="2640" w:type="dxa"/>
            <w:vAlign w:val="bottom"/>
          </w:tcPr>
          <w:p>
            <w:pPr>
              <w:jc w:val="right"/>
              <w:ind w:right="962"/>
              <w:spacing w:after="0"/>
              <w:rPr>
                <w:sz w:val="20"/>
                <w:szCs w:val="20"/>
                <w:color w:val="auto"/>
              </w:rPr>
            </w:pPr>
            <w:r>
              <w:rPr>
                <w:rFonts w:ascii="Arial" w:cs="Arial" w:eastAsia="Arial" w:hAnsi="Arial"/>
                <w:sz w:val="14"/>
                <w:szCs w:val="14"/>
                <w:b w:val="1"/>
                <w:bCs w:val="1"/>
                <w:color w:val="auto"/>
              </w:rPr>
              <w:t>Total All</w:t>
            </w:r>
          </w:p>
        </w:tc>
      </w:tr>
      <w:tr>
        <w:trPr>
          <w:trHeight w:val="17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(13-a) ($)</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(13-b) ($)</w:t>
            </w:r>
          </w:p>
        </w:tc>
        <w:tc>
          <w:tcPr>
            <w:tcW w:w="80" w:type="dxa"/>
            <w:vAlign w:val="bottom"/>
          </w:tcPr>
          <w:p>
            <w:pPr>
              <w:spacing w:after="0"/>
              <w:rPr>
                <w:sz w:val="14"/>
                <w:szCs w:val="14"/>
                <w:color w:val="auto"/>
              </w:rPr>
            </w:pPr>
          </w:p>
        </w:tc>
        <w:tc>
          <w:tcPr>
            <w:tcW w:w="1540" w:type="dxa"/>
            <w:vAlign w:val="bottom"/>
          </w:tcPr>
          <w:p>
            <w:pPr>
              <w:ind w:left="460"/>
              <w:spacing w:after="0"/>
              <w:rPr>
                <w:sz w:val="20"/>
                <w:szCs w:val="20"/>
                <w:color w:val="auto"/>
              </w:rPr>
            </w:pPr>
            <w:r>
              <w:rPr>
                <w:rFonts w:ascii="Arial" w:cs="Arial" w:eastAsia="Arial" w:hAnsi="Arial"/>
                <w:sz w:val="14"/>
                <w:szCs w:val="14"/>
                <w:b w:val="1"/>
                <w:bCs w:val="1"/>
                <w:color w:val="auto"/>
              </w:rPr>
              <w:t>(13-c) ($)</w:t>
            </w:r>
          </w:p>
        </w:tc>
        <w:tc>
          <w:tcPr>
            <w:tcW w:w="80" w:type="dxa"/>
            <w:vAlign w:val="bottom"/>
          </w:tcPr>
          <w:p>
            <w:pPr>
              <w:spacing w:after="0"/>
              <w:rPr>
                <w:sz w:val="14"/>
                <w:szCs w:val="14"/>
                <w:color w:val="auto"/>
              </w:rPr>
            </w:pPr>
          </w:p>
        </w:tc>
        <w:tc>
          <w:tcPr>
            <w:tcW w:w="2640" w:type="dxa"/>
            <w:vAlign w:val="bottom"/>
          </w:tcPr>
          <w:p>
            <w:pPr>
              <w:jc w:val="right"/>
              <w:ind w:right="422"/>
              <w:spacing w:after="0"/>
              <w:rPr>
                <w:sz w:val="20"/>
                <w:szCs w:val="20"/>
                <w:color w:val="auto"/>
              </w:rPr>
            </w:pPr>
            <w:r>
              <w:rPr>
                <w:rFonts w:ascii="Arial" w:cs="Arial" w:eastAsia="Arial" w:hAnsi="Arial"/>
                <w:sz w:val="14"/>
                <w:szCs w:val="14"/>
                <w:b w:val="1"/>
                <w:bCs w:val="1"/>
                <w:color w:val="auto"/>
              </w:rPr>
              <w:t>Other Compensation ($)</w:t>
            </w:r>
          </w:p>
        </w:tc>
      </w:tr>
      <w:tr>
        <w:trPr>
          <w:trHeight w:val="196"/>
        </w:trPr>
        <w:tc>
          <w:tcPr>
            <w:tcW w:w="20" w:type="dxa"/>
            <w:vAlign w:val="bottom"/>
          </w:tcPr>
          <w:p>
            <w:pPr>
              <w:spacing w:after="0"/>
              <w:rPr>
                <w:sz w:val="17"/>
                <w:szCs w:val="17"/>
                <w:color w:val="auto"/>
              </w:rPr>
            </w:pPr>
          </w:p>
        </w:tc>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ind w:right="344"/>
              <w:spacing w:after="0" w:line="196" w:lineRule="exact"/>
              <w:rPr>
                <w:sz w:val="20"/>
                <w:szCs w:val="20"/>
                <w:color w:val="auto"/>
              </w:rPr>
            </w:pPr>
            <w:r>
              <w:rPr>
                <w:rFonts w:ascii="Arial" w:cs="Arial" w:eastAsia="Arial" w:hAnsi="Arial"/>
                <w:sz w:val="18"/>
                <w:szCs w:val="18"/>
                <w:color w:val="auto"/>
              </w:rPr>
              <w:t>14,000</w:t>
            </w:r>
          </w:p>
        </w:tc>
        <w:tc>
          <w:tcPr>
            <w:tcW w:w="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ind w:right="344"/>
              <w:spacing w:after="0" w:line="196" w:lineRule="exact"/>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ind w:right="344"/>
              <w:spacing w:after="0" w:line="196" w:lineRule="exact"/>
              <w:rPr>
                <w:sz w:val="20"/>
                <w:szCs w:val="20"/>
                <w:color w:val="auto"/>
              </w:rPr>
            </w:pPr>
            <w:r>
              <w:rPr>
                <w:rFonts w:ascii="Arial" w:cs="Arial" w:eastAsia="Arial" w:hAnsi="Arial"/>
                <w:sz w:val="18"/>
                <w:szCs w:val="18"/>
                <w:color w:val="auto"/>
              </w:rPr>
              <w:t>34,051</w:t>
            </w:r>
          </w:p>
        </w:tc>
        <w:tc>
          <w:tcPr>
            <w:tcW w:w="80" w:type="dxa"/>
            <w:vAlign w:val="bottom"/>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right"/>
              <w:ind w:right="922"/>
              <w:spacing w:after="0" w:line="196" w:lineRule="exact"/>
              <w:rPr>
                <w:sz w:val="20"/>
                <w:szCs w:val="20"/>
                <w:color w:val="auto"/>
              </w:rPr>
            </w:pPr>
            <w:r>
              <w:rPr>
                <w:rFonts w:ascii="Arial" w:cs="Arial" w:eastAsia="Arial" w:hAnsi="Arial"/>
                <w:sz w:val="18"/>
                <w:szCs w:val="18"/>
                <w:color w:val="auto"/>
              </w:rPr>
              <w:t>48,291</w:t>
            </w:r>
          </w:p>
        </w:tc>
      </w:tr>
      <w:tr>
        <w:trPr>
          <w:trHeight w:val="203"/>
        </w:trPr>
        <w:tc>
          <w:tcPr>
            <w:tcW w:w="20" w:type="dxa"/>
            <w:vAlign w:val="bottom"/>
          </w:tcPr>
          <w:p>
            <w:pPr>
              <w:spacing w:after="0"/>
              <w:rPr>
                <w:sz w:val="17"/>
                <w:szCs w:val="17"/>
                <w:color w:val="auto"/>
              </w:rPr>
            </w:pPr>
          </w:p>
        </w:tc>
        <w:tc>
          <w:tcPr>
            <w:tcW w:w="250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14,000</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240</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112,503</w:t>
            </w:r>
          </w:p>
        </w:tc>
        <w:tc>
          <w:tcPr>
            <w:tcW w:w="2720" w:type="dxa"/>
            <w:vAlign w:val="bottom"/>
            <w:gridSpan w:val="2"/>
          </w:tcPr>
          <w:p>
            <w:pPr>
              <w:jc w:val="right"/>
              <w:ind w:right="922"/>
              <w:spacing w:after="0" w:line="202" w:lineRule="exact"/>
              <w:rPr>
                <w:sz w:val="20"/>
                <w:szCs w:val="20"/>
                <w:color w:val="auto"/>
              </w:rPr>
            </w:pPr>
            <w:r>
              <w:rPr>
                <w:rFonts w:ascii="Arial" w:cs="Arial" w:eastAsia="Arial" w:hAnsi="Arial"/>
                <w:sz w:val="18"/>
                <w:szCs w:val="18"/>
                <w:color w:val="auto"/>
              </w:rPr>
              <w:t>126,743</w:t>
            </w: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14,067</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240</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11,377</w:t>
            </w:r>
          </w:p>
        </w:tc>
        <w:tc>
          <w:tcPr>
            <w:tcW w:w="2720" w:type="dxa"/>
            <w:vAlign w:val="bottom"/>
            <w:gridSpan w:val="2"/>
            <w:shd w:val="clear" w:color="auto" w:fill="CCEEFF"/>
          </w:tcPr>
          <w:p>
            <w:pPr>
              <w:jc w:val="right"/>
              <w:ind w:right="922"/>
              <w:spacing w:after="0" w:line="202" w:lineRule="exact"/>
              <w:rPr>
                <w:sz w:val="20"/>
                <w:szCs w:val="20"/>
                <w:color w:val="auto"/>
              </w:rPr>
            </w:pPr>
            <w:r>
              <w:rPr>
                <w:rFonts w:ascii="Arial" w:cs="Arial" w:eastAsia="Arial" w:hAnsi="Arial"/>
                <w:sz w:val="18"/>
                <w:szCs w:val="18"/>
                <w:color w:val="auto"/>
              </w:rPr>
              <w:t>25,684</w:t>
            </w:r>
          </w:p>
        </w:tc>
      </w:tr>
      <w:tr>
        <w:trPr>
          <w:trHeight w:val="203"/>
        </w:trPr>
        <w:tc>
          <w:tcPr>
            <w:tcW w:w="20" w:type="dxa"/>
            <w:vAlign w:val="bottom"/>
          </w:tcPr>
          <w:p>
            <w:pPr>
              <w:spacing w:after="0"/>
              <w:rPr>
                <w:sz w:val="17"/>
                <w:szCs w:val="17"/>
                <w:color w:val="auto"/>
              </w:rPr>
            </w:pPr>
          </w:p>
        </w:tc>
        <w:tc>
          <w:tcPr>
            <w:tcW w:w="250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14,110</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240</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8,194</w:t>
            </w:r>
          </w:p>
        </w:tc>
        <w:tc>
          <w:tcPr>
            <w:tcW w:w="2720" w:type="dxa"/>
            <w:vAlign w:val="bottom"/>
            <w:gridSpan w:val="2"/>
          </w:tcPr>
          <w:p>
            <w:pPr>
              <w:jc w:val="right"/>
              <w:ind w:right="922"/>
              <w:spacing w:after="0" w:line="202" w:lineRule="exact"/>
              <w:rPr>
                <w:sz w:val="20"/>
                <w:szCs w:val="20"/>
                <w:color w:val="auto"/>
              </w:rPr>
            </w:pPr>
            <w:r>
              <w:rPr>
                <w:rFonts w:ascii="Arial" w:cs="Arial" w:eastAsia="Arial" w:hAnsi="Arial"/>
                <w:sz w:val="18"/>
                <w:szCs w:val="18"/>
                <w:color w:val="auto"/>
              </w:rPr>
              <w:t>22,544</w:t>
            </w: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10,535</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240</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231,191</w:t>
            </w:r>
          </w:p>
        </w:tc>
        <w:tc>
          <w:tcPr>
            <w:tcW w:w="2720" w:type="dxa"/>
            <w:vAlign w:val="bottom"/>
            <w:gridSpan w:val="2"/>
            <w:shd w:val="clear" w:color="auto" w:fill="CCEEFF"/>
          </w:tcPr>
          <w:p>
            <w:pPr>
              <w:jc w:val="right"/>
              <w:ind w:right="922"/>
              <w:spacing w:after="0" w:line="202" w:lineRule="exact"/>
              <w:rPr>
                <w:sz w:val="20"/>
                <w:szCs w:val="20"/>
                <w:color w:val="auto"/>
              </w:rPr>
            </w:pPr>
            <w:r>
              <w:rPr>
                <w:rFonts w:ascii="Arial" w:cs="Arial" w:eastAsia="Arial" w:hAnsi="Arial"/>
                <w:sz w:val="18"/>
                <w:szCs w:val="18"/>
                <w:color w:val="auto"/>
              </w:rPr>
              <w:t>241,966</w:t>
            </w:r>
          </w:p>
        </w:tc>
      </w:tr>
    </w:tbl>
    <w:p>
      <w:pPr>
        <w:spacing w:after="0" w:line="14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(13-a)</w:t>
      </w:r>
      <w:r>
        <w:rPr>
          <w:sz w:val="20"/>
          <w:szCs w:val="20"/>
          <w:color w:val="auto"/>
        </w:rPr>
        <w:tab/>
      </w:r>
      <w:r>
        <w:rPr>
          <w:rFonts w:ascii="Arial" w:cs="Arial" w:eastAsia="Arial" w:hAnsi="Arial"/>
          <w:sz w:val="18"/>
          <w:szCs w:val="18"/>
          <w:color w:val="auto"/>
        </w:rPr>
        <w:t>Matching contributions paid under the Company’s 401(k) plan to each of the named executive officers.</w:t>
      </w:r>
    </w:p>
    <w:p>
      <w:pPr>
        <w:spacing w:after="0" w:line="104" w:lineRule="exact"/>
        <w:rPr>
          <w:sz w:val="20"/>
          <w:szCs w:val="20"/>
          <w:color w:val="auto"/>
        </w:rPr>
      </w:pPr>
    </w:p>
    <w:p>
      <w:pPr>
        <w:ind w:left="640" w:right="400" w:hanging="628"/>
        <w:spacing w:after="0" w:line="271" w:lineRule="auto"/>
        <w:tabs>
          <w:tab w:leader="none" w:pos="620" w:val="left"/>
        </w:tabs>
        <w:rPr>
          <w:sz w:val="20"/>
          <w:szCs w:val="20"/>
          <w:color w:val="auto"/>
        </w:rPr>
      </w:pPr>
      <w:r>
        <w:rPr>
          <w:rFonts w:ascii="Arial" w:cs="Arial" w:eastAsia="Arial" w:hAnsi="Arial"/>
          <w:sz w:val="18"/>
          <w:szCs w:val="18"/>
          <w:color w:val="auto"/>
        </w:rPr>
        <w:t>(13-b)</w:t>
        <w:tab/>
        <w:t>Life insurance premium paid by the Company for the benefit of the named executive officers with a death benefit equal to their base salary up to $500,000.</w:t>
      </w:r>
    </w:p>
    <w:p>
      <w:pPr>
        <w:spacing w:after="0" w:line="46" w:lineRule="exact"/>
        <w:rPr>
          <w:sz w:val="20"/>
          <w:szCs w:val="20"/>
          <w:color w:val="auto"/>
        </w:rPr>
      </w:pPr>
    </w:p>
    <w:p>
      <w:pPr>
        <w:ind w:left="640" w:hanging="628"/>
        <w:spacing w:after="0"/>
        <w:tabs>
          <w:tab w:leader="none" w:pos="620" w:val="left"/>
        </w:tabs>
        <w:rPr>
          <w:sz w:val="20"/>
          <w:szCs w:val="20"/>
          <w:color w:val="auto"/>
        </w:rPr>
      </w:pPr>
      <w:r>
        <w:rPr>
          <w:rFonts w:ascii="Arial" w:cs="Arial" w:eastAsia="Arial" w:hAnsi="Arial"/>
          <w:sz w:val="18"/>
          <w:szCs w:val="18"/>
          <w:color w:val="auto"/>
        </w:rPr>
        <w:t>(13-c)</w:t>
        <w:tab/>
        <w:t>Includes (i) for each named executive officer, (a) an employee discount on merchandise sold by the Company that is available to all employees and (b) the Company’s contribution to the named executive officer’s health and dental benefits, as applicable; (ii) stipend payments to Ms. Harris of $75,000 for travel and $19,928 in lieu of relocation assistance; (iii) stipend payments to Mr. Gray of $75,000 for travel and $138,310 in lieu of relocation assistance; (iv) reimbursement of the cost of $3,000 for annual executive physicals for Ms. Vaughn, Ms. Harris, Mr. Desai and Mr. Gray; and (v) a payment of $15,681 to Ms. Vaughn pursuant to the STEP Up Plan as described under the heading “Other Compensation — Defined Contribution and Deferred Income Plans” in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GRANTS OF PLAN-BASED AWARDS FOR FISCAL 2026</w:t>
      </w:r>
    </w:p>
    <w:p>
      <w:pPr>
        <w:spacing w:after="0" w:line="212" w:lineRule="exact"/>
        <w:rPr>
          <w:sz w:val="20"/>
          <w:szCs w:val="20"/>
          <w:color w:val="auto"/>
        </w:rPr>
      </w:pPr>
    </w:p>
    <w:p>
      <w:pPr>
        <w:ind w:right="180" w:firstLine="382"/>
        <w:spacing w:after="0" w:line="271" w:lineRule="auto"/>
        <w:rPr>
          <w:sz w:val="20"/>
          <w:szCs w:val="20"/>
          <w:color w:val="auto"/>
        </w:rPr>
      </w:pPr>
      <w:r>
        <w:rPr>
          <w:rFonts w:ascii="Arial" w:cs="Arial" w:eastAsia="Arial" w:hAnsi="Arial"/>
          <w:sz w:val="18"/>
          <w:szCs w:val="18"/>
          <w:color w:val="auto"/>
        </w:rPr>
        <w:t>The following table shows, for each of the named executive officers, information regarding his or her award under the Company’s EVA Plan for Fiscal 2026 and grants of restricted stock and PSUs under the Amended and Restated 2020 Equity Incentive Plan in Fiscal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22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gridSpan w:val="5"/>
            <w:vMerge w:val="restart"/>
          </w:tcPr>
          <w:p>
            <w:pPr>
              <w:jc w:val="right"/>
              <w:ind w:right="460"/>
              <w:spacing w:after="0"/>
              <w:rPr>
                <w:sz w:val="20"/>
                <w:szCs w:val="20"/>
                <w:color w:val="auto"/>
              </w:rPr>
            </w:pPr>
            <w:r>
              <w:rPr>
                <w:rFonts w:ascii="Arial" w:cs="Arial" w:eastAsia="Arial" w:hAnsi="Arial"/>
                <w:sz w:val="13"/>
                <w:szCs w:val="13"/>
                <w:b w:val="1"/>
                <w:bCs w:val="1"/>
                <w:color w:val="auto"/>
              </w:rPr>
              <w:t>Estimated Possible Payouts Under</w:t>
            </w:r>
          </w:p>
        </w:tc>
        <w:tc>
          <w:tcPr>
            <w:tcW w:w="220" w:type="dxa"/>
            <w:vAlign w:val="bottom"/>
          </w:tcPr>
          <w:p>
            <w:pPr>
              <w:spacing w:after="0"/>
              <w:rPr>
                <w:sz w:val="11"/>
                <w:szCs w:val="11"/>
                <w:color w:val="auto"/>
              </w:rPr>
            </w:pPr>
          </w:p>
        </w:tc>
        <w:tc>
          <w:tcPr>
            <w:tcW w:w="27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6"/>
              </w:rPr>
              <w:t>Estimated Possible Payouts Under</w:t>
            </w: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2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274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Shares of</w:t>
            </w:r>
          </w:p>
        </w:tc>
        <w:tc>
          <w:tcPr>
            <w:tcW w:w="220" w:type="dxa"/>
            <w:vAlign w:val="bottom"/>
          </w:tcPr>
          <w:p>
            <w:pPr>
              <w:spacing w:after="0"/>
              <w:rPr>
                <w:sz w:val="10"/>
                <w:szCs w:val="10"/>
                <w:color w:val="auto"/>
              </w:rPr>
            </w:pPr>
          </w:p>
        </w:tc>
        <w:tc>
          <w:tcPr>
            <w:tcW w:w="122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97"/>
              </w:rPr>
              <w:t>Fair Value of</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rPr>
              <w:t>Non-Equity Incentive Plan Awards</w:t>
            </w:r>
          </w:p>
        </w:tc>
        <w:tc>
          <w:tcPr>
            <w:tcW w:w="220" w:type="dxa"/>
            <w:vAlign w:val="bottom"/>
          </w:tcPr>
          <w:p>
            <w:pPr>
              <w:spacing w:after="0"/>
              <w:rPr>
                <w:sz w:val="12"/>
                <w:szCs w:val="12"/>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7"/>
              </w:rPr>
              <w:t>Equity Incentive Plan Awards</w:t>
            </w:r>
          </w:p>
        </w:tc>
        <w:tc>
          <w:tcPr>
            <w:tcW w:w="2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Stock or</w:t>
            </w:r>
          </w:p>
        </w:tc>
        <w:tc>
          <w:tcPr>
            <w:tcW w:w="220" w:type="dxa"/>
            <w:vAlign w:val="bottom"/>
          </w:tcPr>
          <w:p>
            <w:pPr>
              <w:spacing w:after="0"/>
              <w:rPr>
                <w:sz w:val="12"/>
                <w:szCs w:val="12"/>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Stock and</w:t>
            </w:r>
          </w:p>
        </w:tc>
        <w:tc>
          <w:tcPr>
            <w:tcW w:w="0" w:type="dxa"/>
            <w:vAlign w:val="bottom"/>
          </w:tcPr>
          <w:p>
            <w:pPr>
              <w:spacing w:after="0"/>
              <w:rPr>
                <w:sz w:val="1"/>
                <w:szCs w:val="1"/>
                <w:color w:val="auto"/>
              </w:rPr>
            </w:pPr>
          </w:p>
        </w:tc>
      </w:tr>
      <w:tr>
        <w:trPr>
          <w:trHeight w:val="111"/>
        </w:trPr>
        <w:tc>
          <w:tcPr>
            <w:tcW w:w="1260" w:type="dxa"/>
            <w:vAlign w:val="bottom"/>
          </w:tcPr>
          <w:p>
            <w:pPr>
              <w:spacing w:after="0"/>
              <w:rPr>
                <w:sz w:val="9"/>
                <w:szCs w:val="9"/>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Grant Date</w:t>
            </w:r>
          </w:p>
        </w:tc>
        <w:tc>
          <w:tcPr>
            <w:tcW w:w="800" w:type="dxa"/>
            <w:vAlign w:val="bottom"/>
          </w:tcPr>
          <w:p>
            <w:pPr>
              <w:jc w:val="right"/>
              <w:ind w:right="38"/>
              <w:spacing w:after="0" w:line="111" w:lineRule="exact"/>
              <w:rPr>
                <w:sz w:val="20"/>
                <w:szCs w:val="20"/>
                <w:color w:val="auto"/>
              </w:rPr>
            </w:pPr>
            <w:r>
              <w:rPr>
                <w:rFonts w:ascii="Arial" w:cs="Arial" w:eastAsia="Arial" w:hAnsi="Arial"/>
                <w:sz w:val="12"/>
                <w:szCs w:val="12"/>
                <w:b w:val="1"/>
                <w:bCs w:val="1"/>
                <w:color w:val="auto"/>
              </w:rPr>
              <w:t>Threshold</w:t>
            </w:r>
          </w:p>
        </w:tc>
        <w:tc>
          <w:tcPr>
            <w:tcW w:w="240" w:type="dxa"/>
            <w:vAlign w:val="bottom"/>
          </w:tcPr>
          <w:p>
            <w:pPr>
              <w:spacing w:after="0"/>
              <w:rPr>
                <w:sz w:val="9"/>
                <w:szCs w:val="9"/>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Target ($)</w:t>
            </w:r>
          </w:p>
        </w:tc>
        <w:tc>
          <w:tcPr>
            <w:tcW w:w="240" w:type="dxa"/>
            <w:vAlign w:val="bottom"/>
          </w:tcPr>
          <w:p>
            <w:pPr>
              <w:spacing w:after="0"/>
              <w:rPr>
                <w:sz w:val="9"/>
                <w:szCs w:val="9"/>
                <w:color w:val="auto"/>
              </w:rPr>
            </w:pPr>
          </w:p>
        </w:tc>
        <w:tc>
          <w:tcPr>
            <w:tcW w:w="1040" w:type="dxa"/>
            <w:vAlign w:val="bottom"/>
          </w:tcPr>
          <w:p>
            <w:pPr>
              <w:jc w:val="right"/>
              <w:ind w:right="180"/>
              <w:spacing w:after="0" w:line="111" w:lineRule="exact"/>
              <w:rPr>
                <w:sz w:val="20"/>
                <w:szCs w:val="20"/>
                <w:color w:val="auto"/>
              </w:rPr>
            </w:pPr>
            <w:r>
              <w:rPr>
                <w:rFonts w:ascii="Arial" w:cs="Arial" w:eastAsia="Arial" w:hAnsi="Arial"/>
                <w:sz w:val="12"/>
                <w:szCs w:val="12"/>
                <w:b w:val="1"/>
                <w:bCs w:val="1"/>
                <w:color w:val="auto"/>
              </w:rPr>
              <w:t>Maximum</w:t>
            </w:r>
          </w:p>
        </w:tc>
        <w:tc>
          <w:tcPr>
            <w:tcW w:w="22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Threshold</w:t>
            </w:r>
          </w:p>
        </w:tc>
        <w:tc>
          <w:tcPr>
            <w:tcW w:w="20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Target</w:t>
            </w:r>
          </w:p>
        </w:tc>
        <w:tc>
          <w:tcPr>
            <w:tcW w:w="220" w:type="dxa"/>
            <w:vAlign w:val="bottom"/>
          </w:tcPr>
          <w:p>
            <w:pPr>
              <w:spacing w:after="0"/>
              <w:rPr>
                <w:sz w:val="9"/>
                <w:szCs w:val="9"/>
                <w:color w:val="auto"/>
              </w:rPr>
            </w:pPr>
          </w:p>
        </w:tc>
        <w:tc>
          <w:tcPr>
            <w:tcW w:w="760" w:type="dxa"/>
            <w:vAlign w:val="bottom"/>
          </w:tcPr>
          <w:p>
            <w:pPr>
              <w:jc w:val="right"/>
              <w:ind w:right="40"/>
              <w:spacing w:after="0" w:line="111" w:lineRule="exact"/>
              <w:rPr>
                <w:sz w:val="20"/>
                <w:szCs w:val="20"/>
                <w:color w:val="auto"/>
              </w:rPr>
            </w:pPr>
            <w:r>
              <w:rPr>
                <w:rFonts w:ascii="Arial" w:cs="Arial" w:eastAsia="Arial" w:hAnsi="Arial"/>
                <w:sz w:val="12"/>
                <w:szCs w:val="12"/>
                <w:b w:val="1"/>
                <w:bCs w:val="1"/>
                <w:color w:val="auto"/>
              </w:rPr>
              <w:t>Maximum</w:t>
            </w:r>
          </w:p>
        </w:tc>
        <w:tc>
          <w:tcPr>
            <w:tcW w:w="220" w:type="dxa"/>
            <w:vAlign w:val="bottom"/>
          </w:tcPr>
          <w:p>
            <w:pPr>
              <w:spacing w:after="0"/>
              <w:rPr>
                <w:sz w:val="9"/>
                <w:szCs w:val="9"/>
                <w:color w:val="auto"/>
              </w:rPr>
            </w:pPr>
          </w:p>
        </w:tc>
        <w:tc>
          <w:tcPr>
            <w:tcW w:w="8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Units</w:t>
            </w:r>
          </w:p>
        </w:tc>
        <w:tc>
          <w:tcPr>
            <w:tcW w:w="220" w:type="dxa"/>
            <w:vAlign w:val="bottom"/>
          </w:tcPr>
          <w:p>
            <w:pPr>
              <w:spacing w:after="0"/>
              <w:rPr>
                <w:sz w:val="9"/>
                <w:szCs w:val="9"/>
                <w:color w:val="auto"/>
              </w:rPr>
            </w:pPr>
          </w:p>
        </w:tc>
        <w:tc>
          <w:tcPr>
            <w:tcW w:w="1220" w:type="dxa"/>
            <w:vAlign w:val="bottom"/>
            <w:gridSpan w:val="2"/>
          </w:tcPr>
          <w:p>
            <w:pPr>
              <w:jc w:val="center"/>
              <w:ind w:right="120"/>
              <w:spacing w:after="0" w:line="111" w:lineRule="exact"/>
              <w:rPr>
                <w:sz w:val="20"/>
                <w:szCs w:val="20"/>
                <w:color w:val="auto"/>
              </w:rPr>
            </w:pPr>
            <w:r>
              <w:rPr>
                <w:rFonts w:ascii="Arial" w:cs="Arial" w:eastAsia="Arial" w:hAnsi="Arial"/>
                <w:sz w:val="12"/>
                <w:szCs w:val="12"/>
                <w:b w:val="1"/>
                <w:bCs w:val="1"/>
                <w:color w:val="auto"/>
              </w:rPr>
              <w:t>Option Awards</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00" w:type="dxa"/>
            <w:vAlign w:val="bottom"/>
          </w:tcPr>
          <w:p>
            <w:pPr>
              <w:jc w:val="right"/>
              <w:ind w:right="258"/>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8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w:t>
            </w:r>
          </w:p>
        </w:tc>
        <w:tc>
          <w:tcPr>
            <w:tcW w:w="1000" w:type="dxa"/>
            <w:vAlign w:val="bottom"/>
            <w:gridSpan w:val="2"/>
          </w:tcPr>
          <w:p>
            <w:pPr>
              <w:jc w:val="center"/>
              <w:ind w:left="138"/>
              <w:spacing w:after="0" w:line="135" w:lineRule="exact"/>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w:t>
            </w:r>
          </w:p>
        </w:tc>
        <w:tc>
          <w:tcPr>
            <w:tcW w:w="1100" w:type="dxa"/>
            <w:vAlign w:val="bottom"/>
            <w:gridSpan w:val="2"/>
          </w:tcPr>
          <w:p>
            <w:pPr>
              <w:jc w:val="right"/>
              <w:ind w:right="298"/>
              <w:spacing w:after="0" w:line="135" w:lineRule="exact"/>
              <w:rPr>
                <w:sz w:val="20"/>
                <w:szCs w:val="20"/>
                <w:color w:val="auto"/>
              </w:rPr>
            </w:pPr>
            <w:r>
              <w:rPr>
                <w:rFonts w:ascii="Arial" w:cs="Arial" w:eastAsia="Arial" w:hAnsi="Arial"/>
                <w:sz w:val="13"/>
                <w:szCs w:val="13"/>
                <w:b w:val="1"/>
                <w:bCs w:val="1"/>
                <w:color w:val="auto"/>
              </w:rPr>
              <w:t>(#)</w:t>
            </w:r>
          </w:p>
        </w:tc>
        <w:tc>
          <w:tcPr>
            <w:tcW w:w="134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(c)</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(d)(1)</w:t>
            </w: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(e)</w:t>
            </w:r>
          </w:p>
        </w:tc>
        <w:tc>
          <w:tcPr>
            <w:tcW w:w="22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(g)(2)</w:t>
            </w: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(h)</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(i)(3)</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(j)</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2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Mimi E. Vaughn</w:t>
            </w:r>
          </w:p>
        </w:tc>
        <w:tc>
          <w:tcPr>
            <w:tcW w:w="1360" w:type="dxa"/>
            <w:vAlign w:val="bottom"/>
            <w:gridSpan w:val="2"/>
            <w:shd w:val="clear" w:color="auto" w:fill="CCEEFF"/>
          </w:tcPr>
          <w:p>
            <w:pPr>
              <w:jc w:val="center"/>
              <w:ind w:right="120"/>
              <w:spacing w:after="0" w:line="111" w:lineRule="exact"/>
              <w:rPr>
                <w:sz w:val="20"/>
                <w:szCs w:val="20"/>
                <w:color w:val="auto"/>
              </w:rPr>
            </w:pPr>
            <w:r>
              <w:rPr>
                <w:rFonts w:ascii="Arial" w:cs="Arial" w:eastAsia="Arial" w:hAnsi="Arial"/>
                <w:sz w:val="12"/>
                <w:szCs w:val="12"/>
                <w:color w:val="auto"/>
              </w:rPr>
              <w:t>July 30, 2025</w:t>
            </w: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32,412</w:t>
            </w:r>
          </w:p>
        </w:tc>
        <w:tc>
          <w:tcPr>
            <w:tcW w:w="9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64,824</w:t>
            </w:r>
          </w:p>
        </w:tc>
        <w:tc>
          <w:tcPr>
            <w:tcW w:w="9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129,648</w:t>
            </w: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34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1,550,590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8"/>
              </w:rPr>
              <w:t>April 4, 2025</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64,824</w:t>
            </w:r>
          </w:p>
        </w:tc>
        <w:tc>
          <w:tcPr>
            <w:tcW w:w="1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1,166,832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1,281,000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3,843,000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tcPr>
          <w:p>
            <w:pPr>
              <w:spacing w:after="0" w:line="117" w:lineRule="exact"/>
              <w:rPr>
                <w:sz w:val="20"/>
                <w:szCs w:val="20"/>
                <w:color w:val="auto"/>
              </w:rPr>
            </w:pPr>
            <w:r>
              <w:rPr>
                <w:rFonts w:ascii="Arial" w:cs="Arial" w:eastAsia="Arial" w:hAnsi="Arial"/>
                <w:sz w:val="13"/>
                <w:szCs w:val="13"/>
                <w:color w:val="auto"/>
              </w:rPr>
              <w:t>Cassandra E.</w:t>
            </w: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Harris</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8"/>
              </w:rPr>
              <w:t>July 30, 2025</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7,480</w:t>
            </w: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14,960</w:t>
            </w: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29,920</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357,843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8"/>
              </w:rPr>
              <w:t>April 4, 2025</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14,960</w:t>
            </w:r>
          </w:p>
        </w:tc>
        <w:tc>
          <w:tcPr>
            <w:tcW w:w="1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269,280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N/A</w:t>
            </w:r>
          </w:p>
        </w:tc>
        <w:tc>
          <w:tcPr>
            <w:tcW w:w="800" w:type="dxa"/>
            <w:vAlign w:val="bottom"/>
          </w:tcPr>
          <w:p>
            <w:pPr>
              <w:jc w:val="right"/>
              <w:spacing w:after="0"/>
              <w:rPr>
                <w:sz w:val="20"/>
                <w:szCs w:val="20"/>
                <w:color w:val="auto"/>
              </w:rPr>
            </w:pPr>
            <w:r>
              <w:rPr>
                <w:rFonts w:ascii="Arial" w:cs="Arial" w:eastAsia="Arial" w:hAnsi="Arial"/>
                <w:sz w:val="13"/>
                <w:szCs w:val="13"/>
                <w:color w:val="auto"/>
              </w:rPr>
              <w:t>112,500</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450,000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1,350,000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Scott E. Becker</w:t>
            </w:r>
          </w:p>
        </w:tc>
        <w:tc>
          <w:tcPr>
            <w:tcW w:w="136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98"/>
              </w:rPr>
              <w:t>July 30, 2025</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4,297</w:t>
            </w:r>
          </w:p>
        </w:tc>
        <w:tc>
          <w:tcPr>
            <w:tcW w:w="98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8,594</w:t>
            </w:r>
          </w:p>
        </w:tc>
        <w:tc>
          <w:tcPr>
            <w:tcW w:w="98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17,188</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205,568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8"/>
              </w:rPr>
              <w:t>April 4, 2025</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8,594</w:t>
            </w:r>
          </w:p>
        </w:tc>
        <w:tc>
          <w:tcPr>
            <w:tcW w:w="1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154,692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329,000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987,000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tcPr>
          <w:p>
            <w:pPr>
              <w:spacing w:after="0" w:line="117" w:lineRule="exact"/>
              <w:rPr>
                <w:sz w:val="20"/>
                <w:szCs w:val="20"/>
                <w:color w:val="auto"/>
              </w:rPr>
            </w:pPr>
            <w:r>
              <w:rPr>
                <w:rFonts w:ascii="Arial" w:cs="Arial" w:eastAsia="Arial" w:hAnsi="Arial"/>
                <w:sz w:val="13"/>
                <w:szCs w:val="13"/>
                <w:color w:val="auto"/>
              </w:rPr>
              <w:t>Parag D. Desai</w:t>
            </w:r>
          </w:p>
        </w:tc>
        <w:tc>
          <w:tcPr>
            <w:tcW w:w="1360" w:type="dxa"/>
            <w:vAlign w:val="bottom"/>
            <w:gridSpan w:val="2"/>
          </w:tcPr>
          <w:p>
            <w:pPr>
              <w:jc w:val="center"/>
              <w:ind w:right="120"/>
              <w:spacing w:after="0" w:line="117" w:lineRule="exact"/>
              <w:rPr>
                <w:sz w:val="20"/>
                <w:szCs w:val="20"/>
                <w:color w:val="auto"/>
              </w:rPr>
            </w:pPr>
            <w:r>
              <w:rPr>
                <w:rFonts w:ascii="Arial" w:cs="Arial" w:eastAsia="Arial" w:hAnsi="Arial"/>
                <w:sz w:val="13"/>
                <w:szCs w:val="13"/>
                <w:color w:val="auto"/>
                <w:w w:val="98"/>
              </w:rPr>
              <w:t>July 30, 2025</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4,825</w:t>
            </w:r>
          </w:p>
        </w:tc>
        <w:tc>
          <w:tcPr>
            <w:tcW w:w="98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9,649</w:t>
            </w:r>
          </w:p>
        </w:tc>
        <w:tc>
          <w:tcPr>
            <w:tcW w:w="98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19,298</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230,804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8"/>
              </w:rPr>
              <w:t>April 4, 2025</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9,649</w:t>
            </w:r>
          </w:p>
        </w:tc>
        <w:tc>
          <w:tcPr>
            <w:tcW w:w="1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173,682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N/A</w:t>
            </w:r>
          </w:p>
        </w:tc>
        <w:tc>
          <w:tcPr>
            <w:tcW w:w="800" w:type="dxa"/>
            <w:vAlign w:val="bottom"/>
          </w:tcPr>
          <w:p>
            <w:pPr>
              <w:jc w:val="right"/>
              <w:spacing w:after="0"/>
              <w:rPr>
                <w:sz w:val="20"/>
                <w:szCs w:val="20"/>
                <w:color w:val="auto"/>
              </w:rPr>
            </w:pPr>
            <w:r>
              <w:rPr>
                <w:rFonts w:ascii="Arial" w:cs="Arial" w:eastAsia="Arial" w:hAnsi="Arial"/>
                <w:sz w:val="13"/>
                <w:szCs w:val="13"/>
                <w:color w:val="auto"/>
              </w:rPr>
              <w:t>84,375</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337,500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1,012,500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Andrew I. Gray</w:t>
            </w:r>
          </w:p>
        </w:tc>
        <w:tc>
          <w:tcPr>
            <w:tcW w:w="136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98"/>
              </w:rPr>
              <w:t>July 30, 2025</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8,166</w:t>
            </w:r>
          </w:p>
        </w:tc>
        <w:tc>
          <w:tcPr>
            <w:tcW w:w="98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16,331</w:t>
            </w:r>
          </w:p>
        </w:tc>
        <w:tc>
          <w:tcPr>
            <w:tcW w:w="98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32,662</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390,638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8"/>
              </w:rPr>
              <w:t>April 4, 2025</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499</w:t>
            </w:r>
          </w:p>
        </w:tc>
        <w:tc>
          <w:tcPr>
            <w:tcW w:w="1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8,982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727,833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2,183,499</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right="280" w:hanging="512"/>
        <w:spacing w:after="0" w:line="271"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Columns (c), (d) and (e) relate to the EVA Plan. The EVA Plan provides for threshold, target and maximum payouts as discussed in detail under the heading “Annual Incentive Compensation” in “Compensation Discussion and Analysis.”</w:t>
      </w:r>
    </w:p>
    <w:p>
      <w:pPr>
        <w:spacing w:after="0" w:line="45" w:lineRule="exact"/>
        <w:rPr>
          <w:rFonts w:ascii="Arial" w:cs="Arial" w:eastAsia="Arial" w:hAnsi="Arial"/>
          <w:sz w:val="18"/>
          <w:szCs w:val="18"/>
          <w:color w:val="auto"/>
        </w:rPr>
      </w:pPr>
    </w:p>
    <w:p>
      <w:pPr>
        <w:ind w:left="520" w:hanging="512"/>
        <w:spacing w:after="0" w:line="254"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amounts in columns (f), (g) and (h) represent the threshold, target and maximum number of shares that may vest with respect to PSUs granted under the Amended and Restated 2020 Equity Incentive Plan during Fiscal 2026. The PSUs granted to the Company’s executives in Fiscal 2026 will be earned based on a three-year performance period and if the performance objectives are achieved, PSUs will vest on February 1, 2028, subject to continued employment. As further discussed in “Compensation Discussion and Analysis</w:t>
      </w:r>
    </w:p>
    <w:p>
      <w:pPr>
        <w:ind w:left="520" w:right="180"/>
        <w:spacing w:after="0" w:line="250" w:lineRule="auto"/>
        <w:rPr>
          <w:rFonts w:ascii="Arial" w:cs="Arial" w:eastAsia="Arial" w:hAnsi="Arial"/>
          <w:sz w:val="17"/>
          <w:szCs w:val="17"/>
          <w:color w:val="auto"/>
        </w:rPr>
      </w:pPr>
      <w:r>
        <w:rPr>
          <w:rFonts w:ascii="Arial" w:cs="Arial" w:eastAsia="Arial" w:hAnsi="Arial"/>
          <w:sz w:val="18"/>
          <w:szCs w:val="18"/>
          <w:color w:val="auto"/>
        </w:rPr>
        <w:t>– Stock-Based Compensation-PSUs,” the performance metrics for the PSUs are adjusted operating income by business unit through Fiscal 2028 (i.e., a three-year performance period).</w:t>
      </w:r>
    </w:p>
    <w:p>
      <w:pPr>
        <w:spacing w:after="0" w:line="63" w:lineRule="exact"/>
        <w:rPr>
          <w:rFonts w:ascii="Arial" w:cs="Arial" w:eastAsia="Arial" w:hAnsi="Arial"/>
          <w:sz w:val="17"/>
          <w:szCs w:val="17"/>
          <w:color w:val="auto"/>
        </w:rPr>
      </w:pPr>
    </w:p>
    <w:p>
      <w:pPr>
        <w:ind w:left="520" w:right="140" w:hanging="512"/>
        <w:spacing w:after="0" w:line="24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Column (i) reflects awards of restricted stock under the Amended and Restated 2020 Equity Incentive Plan, the grant date fair values of which were calculated in accordance with ASC 718 by multiplying the closing price of the Company’s common stock on the NYSE on the grant date by the number of shares granted. The awards of restricted stock granted on April 4, 2025 vest in three equal annual increments, subject to continued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EQUITY AWARDS AT FISCAL 2026 YEAR-END</w:t>
      </w:r>
    </w:p>
    <w:p>
      <w:pPr>
        <w:spacing w:after="0" w:line="212" w:lineRule="exact"/>
        <w:rPr>
          <w:sz w:val="20"/>
          <w:szCs w:val="20"/>
          <w:color w:val="auto"/>
        </w:rPr>
      </w:pPr>
    </w:p>
    <w:p>
      <w:pPr>
        <w:ind w:right="480" w:firstLine="382"/>
        <w:spacing w:after="0" w:line="253" w:lineRule="auto"/>
        <w:rPr>
          <w:sz w:val="20"/>
          <w:szCs w:val="20"/>
          <w:color w:val="auto"/>
        </w:rPr>
      </w:pPr>
      <w:r>
        <w:rPr>
          <w:rFonts w:ascii="Arial" w:cs="Arial" w:eastAsia="Arial" w:hAnsi="Arial"/>
          <w:sz w:val="18"/>
          <w:szCs w:val="18"/>
          <w:color w:val="auto"/>
        </w:rPr>
        <w:t>The following table shows, for each named executive officer, certain information concerning vested and unvested equity awards outstanding at January 31, 2026. The awards include restricted stock, PSUs and stock options, as described under the heading “Stock-Based Compensation” in the “Compensation Discussion and Analysis,”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w w:val="97"/>
              </w:rPr>
              <w:t>Option Awards</w:t>
            </w: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3"/>
                <w:szCs w:val="13"/>
                <w:b w:val="1"/>
                <w:bCs w:val="1"/>
                <w:color w:val="auto"/>
              </w:rPr>
              <w:t>Stock Awards</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Incentive</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Plan</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9"/>
              </w:rPr>
              <w:t>Market or</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Market</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Payout</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Value of</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4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Unearned</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Shares,</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Shares,</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2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Units of</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Units of</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Units or</w:t>
            </w:r>
          </w:p>
        </w:tc>
        <w:tc>
          <w:tcPr>
            <w:tcW w:w="20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2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Underlying</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center"/>
              <w:ind w:right="117"/>
              <w:spacing w:after="0"/>
              <w:rPr>
                <w:sz w:val="20"/>
                <w:szCs w:val="20"/>
                <w:color w:val="auto"/>
              </w:rPr>
            </w:pPr>
            <w:r>
              <w:rPr>
                <w:rFonts w:ascii="Arial" w:cs="Arial" w:eastAsia="Arial" w:hAnsi="Arial"/>
                <w:sz w:val="13"/>
                <w:szCs w:val="13"/>
                <w:b w:val="1"/>
                <w:bCs w:val="1"/>
                <w:color w:val="auto"/>
                <w:w w:val="95"/>
              </w:rPr>
              <w:t>Option</w:t>
            </w:r>
          </w:p>
        </w:tc>
        <w:tc>
          <w:tcPr>
            <w:tcW w:w="2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That</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That</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Other Rights</w:t>
            </w:r>
          </w:p>
        </w:tc>
        <w:tc>
          <w:tcPr>
            <w:tcW w:w="20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Other Rights</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2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Have Not</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That Have</w:t>
            </w:r>
          </w:p>
        </w:tc>
        <w:tc>
          <w:tcPr>
            <w:tcW w:w="20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That Have</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Options (#)</w:t>
            </w:r>
          </w:p>
        </w:tc>
        <w:tc>
          <w:tcPr>
            <w:tcW w:w="2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Options (#)</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7"/>
              </w:rPr>
              <w:t>Exercise</w:t>
            </w: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Expiration</w:t>
            </w: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Not Vested</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Not</w:t>
            </w:r>
          </w:p>
        </w:tc>
        <w:tc>
          <w:tcPr>
            <w:tcW w:w="0" w:type="dxa"/>
            <w:vAlign w:val="bottom"/>
          </w:tcPr>
          <w:p>
            <w:pPr>
              <w:spacing w:after="0"/>
              <w:rPr>
                <w:sz w:val="1"/>
                <w:szCs w:val="1"/>
                <w:color w:val="auto"/>
              </w:rPr>
            </w:pPr>
          </w:p>
        </w:tc>
      </w:tr>
      <w:tr>
        <w:trPr>
          <w:trHeight w:val="135"/>
        </w:trPr>
        <w:tc>
          <w:tcPr>
            <w:tcW w:w="1700" w:type="dxa"/>
            <w:vAlign w:val="bottom"/>
            <w:vMerge w:val="restart"/>
          </w:tcPr>
          <w:p>
            <w:pPr>
              <w:spacing w:after="0"/>
              <w:rPr>
                <w:sz w:val="20"/>
                <w:szCs w:val="20"/>
                <w:color w:val="auto"/>
              </w:rPr>
            </w:pPr>
            <w:r>
              <w:rPr>
                <w:rFonts w:ascii="Arial" w:cs="Arial" w:eastAsia="Arial" w:hAnsi="Arial"/>
                <w:sz w:val="13"/>
                <w:szCs w:val="13"/>
                <w:b w:val="1"/>
                <w:bCs w:val="1"/>
                <w:color w:val="auto"/>
              </w:rPr>
              <w:t>Name (a)</w:t>
            </w:r>
          </w:p>
        </w:tc>
        <w:tc>
          <w:tcPr>
            <w:tcW w:w="120" w:type="dxa"/>
            <w:vAlign w:val="bottom"/>
            <w:vMerge w:val="restart"/>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Exercisable</w:t>
            </w:r>
          </w:p>
        </w:tc>
        <w:tc>
          <w:tcPr>
            <w:tcW w:w="2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Unexercisable</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Price ($)</w:t>
            </w: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Date</w:t>
            </w:r>
          </w:p>
        </w:tc>
        <w:tc>
          <w:tcPr>
            <w:tcW w:w="1020" w:type="dxa"/>
            <w:vAlign w:val="bottom"/>
            <w:gridSpan w:val="2"/>
          </w:tcPr>
          <w:p>
            <w:pPr>
              <w:jc w:val="right"/>
              <w:ind w:right="317"/>
              <w:spacing w:after="0" w:line="135" w:lineRule="exact"/>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right"/>
              <w:ind w:right="317"/>
              <w:spacing w:after="0" w:line="135" w:lineRule="exact"/>
              <w:rPr>
                <w:sz w:val="20"/>
                <w:szCs w:val="20"/>
                <w:color w:val="auto"/>
              </w:rPr>
            </w:pPr>
            <w:r>
              <w:rPr>
                <w:rFonts w:ascii="Arial" w:cs="Arial" w:eastAsia="Arial" w:hAnsi="Arial"/>
                <w:sz w:val="13"/>
                <w:szCs w:val="13"/>
                <w:b w:val="1"/>
                <w:bCs w:val="1"/>
                <w:color w:val="auto"/>
              </w:rPr>
              <w:t>($)</w:t>
            </w:r>
          </w:p>
        </w:tc>
        <w:tc>
          <w:tcPr>
            <w:tcW w:w="1240" w:type="dxa"/>
            <w:vAlign w:val="bottom"/>
            <w:gridSpan w:val="2"/>
          </w:tcPr>
          <w:p>
            <w:pPr>
              <w:jc w:val="right"/>
              <w:ind w:right="377"/>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Vested ($)</w:t>
            </w:r>
          </w:p>
        </w:tc>
        <w:tc>
          <w:tcPr>
            <w:tcW w:w="0" w:type="dxa"/>
            <w:vAlign w:val="bottom"/>
          </w:tcPr>
          <w:p>
            <w:pPr>
              <w:spacing w:after="0"/>
              <w:rPr>
                <w:sz w:val="1"/>
                <w:szCs w:val="1"/>
                <w:color w:val="auto"/>
              </w:rPr>
            </w:pPr>
          </w:p>
        </w:tc>
      </w:tr>
      <w:tr>
        <w:trPr>
          <w:trHeight w:val="153"/>
        </w:trPr>
        <w:tc>
          <w:tcPr>
            <w:tcW w:w="17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(b)(1)</w:t>
            </w:r>
          </w:p>
        </w:tc>
        <w:tc>
          <w:tcPr>
            <w:tcW w:w="24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(d)</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1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(f)(2)</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(g)(3)</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(h)(2)</w:t>
            </w:r>
          </w:p>
        </w:tc>
        <w:tc>
          <w:tcPr>
            <w:tcW w:w="20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Mimi E. Vaughn</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26,620</w:t>
            </w: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w w:val="91"/>
              </w:rPr>
              <w:t>—</w:t>
            </w:r>
          </w:p>
        </w:tc>
        <w:tc>
          <w:tcPr>
            <w:tcW w:w="4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41.41</w:t>
            </w:r>
          </w:p>
        </w:tc>
        <w:tc>
          <w:tcPr>
            <w:tcW w:w="12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02/05/2030</w:t>
            </w:r>
          </w:p>
        </w:tc>
        <w:tc>
          <w:tcPr>
            <w:tcW w:w="10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134,448</w:t>
            </w:r>
          </w:p>
        </w:tc>
        <w:tc>
          <w:tcPr>
            <w:tcW w:w="11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3,889,581</w:t>
            </w:r>
          </w:p>
        </w:tc>
        <w:tc>
          <w:tcPr>
            <w:tcW w:w="1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114,098</w:t>
            </w:r>
          </w:p>
        </w:tc>
        <w:tc>
          <w:tcPr>
            <w:tcW w:w="1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3,300,855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Cassandra E. Harris</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160" w:type="dxa"/>
            <w:vAlign w:val="bottom"/>
          </w:tcPr>
          <w:p>
            <w:pPr>
              <w:ind w:left="1020"/>
              <w:spacing w:after="0" w:line="135" w:lineRule="exact"/>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20,282</w:t>
            </w:r>
          </w:p>
        </w:tc>
        <w:tc>
          <w:tcPr>
            <w:tcW w:w="1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586,758</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14,960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432,793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Scott E. Becker</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color w:val="auto"/>
                <w:w w:val="91"/>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18,837</w:t>
            </w:r>
          </w:p>
        </w:tc>
        <w:tc>
          <w:tcPr>
            <w:tcW w:w="1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544,954</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15,751</w:t>
            </w: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455,676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Parag D. Desai</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160" w:type="dxa"/>
            <w:vAlign w:val="bottom"/>
          </w:tcPr>
          <w:p>
            <w:pPr>
              <w:ind w:left="1020"/>
              <w:spacing w:after="0" w:line="135" w:lineRule="exact"/>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21,169</w:t>
            </w:r>
          </w:p>
        </w:tc>
        <w:tc>
          <w:tcPr>
            <w:tcW w:w="1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612,419</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17,690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511,772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Andrew I. Gray</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color w:val="auto"/>
                <w:w w:val="91"/>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47,950</w:t>
            </w:r>
          </w:p>
        </w:tc>
        <w:tc>
          <w:tcPr>
            <w:tcW w:w="1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1,387,194</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47,983</w:t>
            </w: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1,388,148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Ms. Vaughn’s stock option award vested in four equal installments on each of February 5, 2021, 2022, 2023 and 2024.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shares of restricted stock and PSUs vest on the following schedule: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40" w:type="dxa"/>
            <w:vAlign w:val="bottom"/>
          </w:tcPr>
          <w:p>
            <w:pPr>
              <w:jc w:val="right"/>
              <w:ind w:right="468"/>
              <w:spacing w:after="0"/>
              <w:rPr>
                <w:sz w:val="20"/>
                <w:szCs w:val="20"/>
                <w:color w:val="auto"/>
              </w:rPr>
            </w:pPr>
            <w:r>
              <w:rPr>
                <w:rFonts w:ascii="Arial" w:cs="Arial" w:eastAsia="Arial" w:hAnsi="Arial"/>
                <w:sz w:val="14"/>
                <w:szCs w:val="14"/>
                <w:b w:val="1"/>
                <w:bCs w:val="1"/>
                <w:color w:val="auto"/>
              </w:rPr>
              <w:t>PSUs</w:t>
            </w: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71"/>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2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Vesting Increments</w:t>
            </w:r>
          </w:p>
        </w:tc>
      </w:tr>
      <w:tr>
        <w:trPr>
          <w:trHeight w:val="156"/>
        </w:trPr>
        <w:tc>
          <w:tcPr>
            <w:tcW w:w="4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Mimi E. Vaughn</w:t>
            </w:r>
          </w:p>
        </w:tc>
        <w:tc>
          <w:tcPr>
            <w:tcW w:w="1480" w:type="dxa"/>
            <w:vAlign w:val="bottom"/>
            <w:gridSpan w:val="2"/>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6/8/2022</w:t>
            </w:r>
            <w:r>
              <w:rPr>
                <w:rFonts w:ascii="Arial" w:cs="Arial" w:eastAsia="Arial" w:hAnsi="Arial"/>
                <w:sz w:val="18"/>
                <w:szCs w:val="18"/>
                <w:color w:val="auto"/>
                <w:vertAlign w:val="superscript"/>
              </w:rPr>
              <w:t>(4)</w:t>
            </w:r>
          </w:p>
        </w:tc>
        <w:tc>
          <w:tcPr>
            <w:tcW w:w="1700" w:type="dxa"/>
            <w:vAlign w:val="bottom"/>
            <w:gridSpan w:val="2"/>
            <w:shd w:val="clear" w:color="auto" w:fill="CCEEFF"/>
          </w:tcPr>
          <w:p>
            <w:pPr>
              <w:jc w:val="right"/>
              <w:ind w:right="268"/>
              <w:spacing w:after="0" w:line="155" w:lineRule="exact"/>
              <w:rPr>
                <w:sz w:val="20"/>
                <w:szCs w:val="20"/>
                <w:color w:val="auto"/>
              </w:rPr>
            </w:pPr>
            <w:r>
              <w:rPr>
                <w:rFonts w:ascii="Arial" w:cs="Arial" w:eastAsia="Arial" w:hAnsi="Arial"/>
                <w:sz w:val="14"/>
                <w:szCs w:val="14"/>
                <w:color w:val="auto"/>
              </w:rPr>
              <w:t>12,317</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12,317 on 6/28/2026</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4/4/2023</w:t>
            </w:r>
            <w:r>
              <w:rPr>
                <w:rFonts w:ascii="Arial" w:cs="Arial" w:eastAsia="Arial" w:hAnsi="Arial"/>
                <w:sz w:val="18"/>
                <w:szCs w:val="18"/>
                <w:color w:val="auto"/>
                <w:vertAlign w:val="superscript"/>
              </w:rPr>
              <w:t>(5)</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14,254</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14,254 on 4/4/2026</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43,053</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21,526 on 4/4/2026</w:t>
            </w:r>
          </w:p>
        </w:tc>
      </w:t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21,527 on 4/4/2027</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(6)</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49,274</w:t>
            </w: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24,637 on 2/1/2026</w:t>
            </w:r>
          </w:p>
        </w:tc>
      </w:t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24,637 on 2/1/2027</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4/4/2025</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64,824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21,608 on 4/4/2026</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21,608 on 4/4/2027</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21,608 on 4/4/2028</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7/30/2025</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64,824</w:t>
            </w: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64,824 on 1/29/2028</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162"/>
        </w:trPr>
        <w:tc>
          <w:tcPr>
            <w:tcW w:w="4060" w:type="dxa"/>
            <w:vAlign w:val="bottom"/>
          </w:tcPr>
          <w:p>
            <w:pPr>
              <w:spacing w:after="0" w:line="162" w:lineRule="exact"/>
              <w:rPr>
                <w:sz w:val="20"/>
                <w:szCs w:val="20"/>
                <w:color w:val="auto"/>
              </w:rPr>
            </w:pPr>
            <w:r>
              <w:rPr>
                <w:rFonts w:ascii="Arial" w:cs="Arial" w:eastAsia="Arial" w:hAnsi="Arial"/>
                <w:sz w:val="14"/>
                <w:szCs w:val="14"/>
                <w:color w:val="auto"/>
              </w:rPr>
              <w:t>Cassandra E. Harris</w:t>
            </w:r>
            <w:r>
              <w:rPr>
                <w:rFonts w:ascii="Arial" w:cs="Arial" w:eastAsia="Arial" w:hAnsi="Arial"/>
                <w:sz w:val="18"/>
                <w:szCs w:val="18"/>
                <w:color w:val="auto"/>
                <w:vertAlign w:val="superscript"/>
              </w:rPr>
              <w:t>(9)</w:t>
            </w:r>
          </w:p>
        </w:tc>
        <w:tc>
          <w:tcPr>
            <w:tcW w:w="1480" w:type="dxa"/>
            <w:vAlign w:val="bottom"/>
            <w:gridSpan w:val="2"/>
          </w:tcPr>
          <w:p>
            <w:pPr>
              <w:jc w:val="right"/>
              <w:ind w:right="168"/>
              <w:spacing w:after="0"/>
              <w:rPr>
                <w:sz w:val="20"/>
                <w:szCs w:val="20"/>
                <w:color w:val="auto"/>
              </w:rPr>
            </w:pPr>
            <w:r>
              <w:rPr>
                <w:rFonts w:ascii="Arial" w:cs="Arial" w:eastAsia="Arial" w:hAnsi="Arial"/>
                <w:sz w:val="14"/>
                <w:szCs w:val="14"/>
                <w:color w:val="auto"/>
              </w:rPr>
              <w:t>10/1/2024</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5,322</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5,322 on 10/1/2026</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4/4/2025</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14,960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4,987 on 4/4/2026</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4,986 on 4/4/2027</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4,987 on 4/4/2028</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7/30/2025</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14,960</w:t>
            </w: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14,960 on 1/29/2028</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Scott E. Becker</w:t>
            </w: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6/28/2022</w:t>
            </w:r>
            <w:r>
              <w:rPr>
                <w:rFonts w:ascii="Arial" w:cs="Arial" w:eastAsia="Arial" w:hAnsi="Arial"/>
                <w:sz w:val="18"/>
                <w:szCs w:val="18"/>
                <w:color w:val="auto"/>
                <w:vertAlign w:val="superscript"/>
              </w:rPr>
              <w:t>(4)</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1,995</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1,995 on 6/28/2026</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4/4/2023</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1,994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 on 4/4/2026</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(5)</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6,254</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3,127 on 4/4/2026</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3,127 on 4/4/2027</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(6)</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7,157</w:t>
            </w: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3,579 on 2/1/2026</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3,578 on 2/1/2027</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4/4/2025</w:t>
            </w:r>
            <w:r>
              <w:rPr>
                <w:rFonts w:ascii="Arial" w:cs="Arial" w:eastAsia="Arial" w:hAnsi="Arial"/>
                <w:sz w:val="18"/>
                <w:szCs w:val="18"/>
                <w:color w:val="auto"/>
                <w:vertAlign w:val="superscript"/>
              </w:rPr>
              <w:t>(5)</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8,594</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2,865 on 4/4/2026</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 on 4/4/2027</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2,865 on 4/4/2028</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7/30/2025</w:t>
            </w:r>
            <w:r>
              <w:rPr>
                <w:rFonts w:ascii="Arial" w:cs="Arial" w:eastAsia="Arial" w:hAnsi="Arial"/>
                <w:sz w:val="18"/>
                <w:szCs w:val="18"/>
                <w:color w:val="auto"/>
                <w:vertAlign w:val="superscript"/>
              </w:rPr>
              <w:t>(8)</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8,594</w:t>
            </w: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8,594 on 1/29/2028</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2"/>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Parag D. Desai</w:t>
            </w: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6/28/2022</w:t>
            </w:r>
            <w:r>
              <w:rPr>
                <w:rFonts w:ascii="Arial" w:cs="Arial" w:eastAsia="Arial" w:hAnsi="Arial"/>
                <w:sz w:val="18"/>
                <w:szCs w:val="18"/>
                <w:color w:val="auto"/>
                <w:vertAlign w:val="superscript"/>
              </w:rPr>
              <w:t>(4)</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2,245</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 on 6/28/2026</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4/4/2023</w:t>
            </w:r>
            <w:r>
              <w:rPr>
                <w:rFonts w:ascii="Arial" w:cs="Arial" w:eastAsia="Arial" w:hAnsi="Arial"/>
                <w:sz w:val="18"/>
                <w:szCs w:val="18"/>
                <w:color w:val="auto"/>
                <w:vertAlign w:val="superscript"/>
              </w:rPr>
              <w:t>(5)</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2,249</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2,249 on 4/4/2026</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7,026</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3,513 on 4/4/2026</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3,513 on 4/4/2027</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(6)</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8,041</w:t>
            </w: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4,021 on 2/1/2026</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4,020 on 2/1/2027</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4/4/2025</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9,649</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 on 4/4/2026</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3,217 on 4/4/2027</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 on 4/4/2028</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7/30/2025</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9,649</w:t>
            </w: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9,649 on 1/29/2028</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Andrew I. Gray</w:t>
            </w: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(6)</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31,652</w:t>
            </w: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15,826 on 2/1/2026</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15,826 on 2/1/2027</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12/10/2024</w:t>
            </w:r>
            <w:r>
              <w:rPr>
                <w:rFonts w:ascii="Arial" w:cs="Arial" w:eastAsia="Arial" w:hAnsi="Arial"/>
                <w:sz w:val="18"/>
                <w:szCs w:val="18"/>
                <w:color w:val="auto"/>
                <w:vertAlign w:val="superscript"/>
              </w:rPr>
              <w:t>(7)</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47,451</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5,272 on 4/4/2026</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10,545 on 4/4/2027</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15,817 on 4/4/2028</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10,545 on 4/4/2029</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5,272 on 4/4/2030</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4/4/2025</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on 4/4/2026</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167 on 4/4/2027</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on 4/4/2028</w:t>
            </w:r>
          </w:p>
        </w:tc>
      </w:tr>
      <w:tr>
        <w:trPr>
          <w:trHeight w:val="282"/>
        </w:trPr>
        <w:tc>
          <w:tcPr>
            <w:tcW w:w="4060" w:type="dxa"/>
            <w:vAlign w:val="bottom"/>
          </w:tcPr>
          <w:p>
            <w:pPr>
              <w:spacing w:after="0"/>
              <w:rPr>
                <w:sz w:val="24"/>
                <w:szCs w:val="24"/>
                <w:color w:val="auto"/>
              </w:rPr>
            </w:pPr>
          </w:p>
        </w:tc>
        <w:tc>
          <w:tcPr>
            <w:tcW w:w="1480" w:type="dxa"/>
            <w:vAlign w:val="bottom"/>
            <w:gridSpan w:val="2"/>
          </w:tcPr>
          <w:p>
            <w:pPr>
              <w:jc w:val="right"/>
              <w:ind w:right="28"/>
              <w:spacing w:after="0"/>
              <w:rPr>
                <w:sz w:val="20"/>
                <w:szCs w:val="20"/>
                <w:color w:val="auto"/>
              </w:rPr>
            </w:pPr>
            <w:r>
              <w:rPr>
                <w:rFonts w:ascii="Arial" w:cs="Arial" w:eastAsia="Arial" w:hAnsi="Arial"/>
                <w:sz w:val="14"/>
                <w:szCs w:val="14"/>
                <w:color w:val="auto"/>
              </w:rPr>
              <w:t>7/30/2025</w:t>
            </w:r>
            <w:r>
              <w:rPr>
                <w:rFonts w:ascii="Arial" w:cs="Arial" w:eastAsia="Arial" w:hAnsi="Arial"/>
                <w:sz w:val="19"/>
                <w:szCs w:val="19"/>
                <w:color w:val="auto"/>
                <w:vertAlign w:val="superscript"/>
              </w:rPr>
              <w:t>(8)</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16,331</w:t>
            </w:r>
          </w:p>
        </w:tc>
        <w:tc>
          <w:tcPr>
            <w:tcW w:w="1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16,331 on 1/29/2028</w:t>
            </w:r>
          </w:p>
        </w:tc>
      </w:tr>
    </w:tbl>
    <w:p>
      <w:pPr>
        <w:spacing w:after="0" w:line="158" w:lineRule="exact"/>
        <w:rPr>
          <w:sz w:val="20"/>
          <w:szCs w:val="20"/>
          <w:color w:val="auto"/>
        </w:rPr>
      </w:pPr>
    </w:p>
    <w:p>
      <w:pPr>
        <w:ind w:left="520" w:hanging="512"/>
        <w:spacing w:after="0" w:line="271"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 value is calculated based on the closing price of the Company’s common stock on the NYSE on January 30, 2026 ($28.93), the last trading day prior to the end of Fiscal 2026 on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restricted shares subject to this award vest ratably over four years, subject to the terms of the applicable award agreement.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restricted shares subject to this award vest ratably over three years, subject to the terms of the applicable award agreement.</w:t>
      </w:r>
    </w:p>
    <w:p>
      <w:pPr>
        <w:spacing w:after="0" w:line="103" w:lineRule="exact"/>
        <w:rPr>
          <w:rFonts w:ascii="Arial" w:cs="Arial" w:eastAsia="Arial" w:hAnsi="Arial"/>
          <w:sz w:val="18"/>
          <w:szCs w:val="18"/>
          <w:color w:val="auto"/>
        </w:rPr>
      </w:pPr>
    </w:p>
    <w:p>
      <w:pPr>
        <w:ind w:left="520" w:hanging="512"/>
        <w:spacing w:after="0" w:line="24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PSUs granted on April 4, 2024 had a one-year performance period that elapsed on February 1, 2025, and the PSUs earned as a result of the Company’s performance during the performance period have been reflected in columns (f) and (g). One-half of the restricted shares subject to this performance award vest on each of February 1, 2026 and February 1, 2027, subject to the terms of the applicable award agreement.</w:t>
      </w:r>
    </w:p>
    <w:p>
      <w:pPr>
        <w:spacing w:after="0" w:line="65" w:lineRule="exact"/>
        <w:rPr>
          <w:rFonts w:ascii="Arial" w:cs="Arial" w:eastAsia="Arial" w:hAnsi="Arial"/>
          <w:sz w:val="18"/>
          <w:szCs w:val="18"/>
          <w:color w:val="auto"/>
        </w:rPr>
      </w:pPr>
    </w:p>
    <w:p>
      <w:pPr>
        <w:ind w:left="520" w:right="220" w:hanging="512"/>
        <w:spacing w:after="0" w:line="271"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restricted shares subject to this award vest over a five-year period with one-ninth vesting on April 4, 2026, two-ninths vesting on April 4, 2027, one-third vesting on April 4, 2028, two-ninths vesting on April 4, 2029, and one-ninth vesting on April 4, 2030.</w:t>
      </w:r>
    </w:p>
    <w:p>
      <w:pPr>
        <w:spacing w:after="0" w:line="45" w:lineRule="exact"/>
        <w:rPr>
          <w:rFonts w:ascii="Arial" w:cs="Arial" w:eastAsia="Arial" w:hAnsi="Arial"/>
          <w:sz w:val="18"/>
          <w:szCs w:val="18"/>
          <w:color w:val="auto"/>
        </w:rPr>
      </w:pPr>
    </w:p>
    <w:p>
      <w:pPr>
        <w:ind w:left="520" w:right="100" w:hanging="512"/>
        <w:spacing w:after="0" w:line="24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PSUs granted on July 30, 2025 have a three-year performance period, and if the performance objectives are achieved, the PSUs will vest on January 29, 2028, subject to continued employment. The number of PSUs reported reflects the target level of achievement. The number of PSUs that vest, if any, is based upon the achievement of targeted performance metrics and can range from 50% of target (at threshold) to 200% of target (at maximum) (or 0%, if performance is below the threshold level).</w:t>
      </w:r>
    </w:p>
    <w:p>
      <w:pPr>
        <w:spacing w:after="0" w:line="65" w:lineRule="exact"/>
        <w:rPr>
          <w:rFonts w:ascii="Arial" w:cs="Arial" w:eastAsia="Arial" w:hAnsi="Arial"/>
          <w:sz w:val="18"/>
          <w:szCs w:val="18"/>
          <w:color w:val="auto"/>
        </w:rPr>
      </w:pPr>
    </w:p>
    <w:p>
      <w:pPr>
        <w:jc w:val="both"/>
        <w:ind w:left="520" w:right="260" w:hanging="512"/>
        <w:spacing w:after="0" w:line="275"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As noted above, Ms. Harris departed the Company effective March 6, 2026, and continued to support the Company as a consultant and principal accounting officer through March 25, 2026, pursuant to a Consulting Agreement dated January 29, 2026. All unvested restricted share awards and PSUs reflected in the table above for Ms. Harris were forfeited in connection with her departure.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 EXERCISES AND STOCK VESTED IN FISCAL 2026</w:t>
      </w:r>
    </w:p>
    <w:p>
      <w:pPr>
        <w:spacing w:after="0" w:line="212" w:lineRule="exact"/>
        <w:rPr>
          <w:sz w:val="20"/>
          <w:szCs w:val="20"/>
          <w:color w:val="auto"/>
        </w:rPr>
      </w:pPr>
    </w:p>
    <w:p>
      <w:pPr>
        <w:ind w:right="220" w:firstLine="382"/>
        <w:spacing w:after="0" w:line="271" w:lineRule="auto"/>
        <w:rPr>
          <w:sz w:val="20"/>
          <w:szCs w:val="20"/>
          <w:color w:val="auto"/>
        </w:rPr>
      </w:pPr>
      <w:r>
        <w:rPr>
          <w:rFonts w:ascii="Arial" w:cs="Arial" w:eastAsia="Arial" w:hAnsi="Arial"/>
          <w:sz w:val="18"/>
          <w:szCs w:val="18"/>
          <w:color w:val="auto"/>
        </w:rPr>
        <w:t>The following table shows, for each named executive officer, certain information about his or her shares of restricted stock that vested during Fiscal 2026: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1368"/>
              <w:spacing w:after="0"/>
              <w:rPr>
                <w:sz w:val="20"/>
                <w:szCs w:val="20"/>
                <w:color w:val="auto"/>
              </w:rPr>
            </w:pPr>
            <w:r>
              <w:rPr>
                <w:rFonts w:ascii="Arial" w:cs="Arial" w:eastAsia="Arial" w:hAnsi="Arial"/>
                <w:sz w:val="14"/>
                <w:szCs w:val="14"/>
                <w:b w:val="1"/>
                <w:bCs w:val="1"/>
                <w:color w:val="auto"/>
              </w:rPr>
              <w:t>Stock Awards</w:t>
            </w:r>
          </w:p>
        </w:tc>
      </w:tr>
      <w:tr>
        <w:trPr>
          <w:trHeight w:val="146"/>
        </w:trPr>
        <w:tc>
          <w:tcPr>
            <w:tcW w:w="7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left="279"/>
              <w:spacing w:after="0" w:line="147"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162"/>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left="279"/>
              <w:spacing w:after="0"/>
              <w:rPr>
                <w:sz w:val="20"/>
                <w:szCs w:val="20"/>
                <w:color w:val="auto"/>
              </w:rPr>
            </w:pPr>
            <w:r>
              <w:rPr>
                <w:rFonts w:ascii="Arial" w:cs="Arial" w:eastAsia="Arial" w:hAnsi="Arial"/>
                <w:sz w:val="14"/>
                <w:szCs w:val="14"/>
                <w:b w:val="1"/>
                <w:bCs w:val="1"/>
                <w:color w:val="auto"/>
              </w:rPr>
              <w:t>of Shares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162"/>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left="279"/>
              <w:spacing w:after="0"/>
              <w:rPr>
                <w:sz w:val="20"/>
                <w:szCs w:val="20"/>
                <w:color w:val="auto"/>
              </w:rPr>
            </w:pPr>
            <w:r>
              <w:rPr>
                <w:rFonts w:ascii="Arial" w:cs="Arial" w:eastAsia="Arial" w:hAnsi="Arial"/>
                <w:sz w:val="14"/>
                <w:szCs w:val="14"/>
                <w:b w:val="1"/>
                <w:bCs w:val="1"/>
                <w:color w:val="auto"/>
              </w:rPr>
              <w:t>Acquired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Realized</w:t>
            </w:r>
          </w:p>
        </w:tc>
      </w:tr>
      <w:tr>
        <w:trPr>
          <w:trHeight w:val="162"/>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left="279"/>
              <w:spacing w:after="0"/>
              <w:rPr>
                <w:sz w:val="20"/>
                <w:szCs w:val="20"/>
                <w:color w:val="auto"/>
              </w:rPr>
            </w:pPr>
            <w:r>
              <w:rPr>
                <w:rFonts w:ascii="Arial" w:cs="Arial" w:eastAsia="Arial" w:hAnsi="Arial"/>
                <w:sz w:val="14"/>
                <w:szCs w:val="14"/>
                <w:b w:val="1"/>
                <w:bCs w:val="1"/>
                <w:color w:val="auto"/>
              </w:rPr>
              <w:t>on Vesting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on Vesting</w:t>
            </w:r>
          </w:p>
        </w:tc>
      </w:tr>
      <w:tr>
        <w:trPr>
          <w:trHeight w:val="171"/>
        </w:trPr>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138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rPr>
              <w:t>(#)(1)</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r>
      <w:tr>
        <w:trPr>
          <w:trHeight w:val="196"/>
        </w:trPr>
        <w:tc>
          <w:tcPr>
            <w:tcW w:w="7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57,683</w:t>
            </w:r>
          </w:p>
        </w:tc>
        <w:tc>
          <w:tcPr>
            <w:tcW w:w="2420" w:type="dxa"/>
            <w:vAlign w:val="bottom"/>
            <w:gridSpan w:val="3"/>
            <w:shd w:val="clear" w:color="auto" w:fill="CCEEFF"/>
          </w:tcPr>
          <w:p>
            <w:pPr>
              <w:jc w:val="right"/>
              <w:ind w:right="328"/>
              <w:spacing w:after="0" w:line="196" w:lineRule="exact"/>
              <w:rPr>
                <w:sz w:val="20"/>
                <w:szCs w:val="20"/>
                <w:color w:val="auto"/>
              </w:rPr>
            </w:pPr>
            <w:r>
              <w:rPr>
                <w:rFonts w:ascii="Arial" w:cs="Arial" w:eastAsia="Arial" w:hAnsi="Arial"/>
                <w:sz w:val="18"/>
                <w:szCs w:val="18"/>
                <w:color w:val="auto"/>
              </w:rPr>
              <w:t>1,098,525</w:t>
            </w: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Cassandra E. Harris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5,322</w:t>
            </w:r>
          </w:p>
        </w:tc>
        <w:tc>
          <w:tcPr>
            <w:tcW w:w="2420" w:type="dxa"/>
            <w:vAlign w:val="bottom"/>
            <w:gridSpan w:val="3"/>
          </w:tcPr>
          <w:p>
            <w:pPr>
              <w:jc w:val="right"/>
              <w:ind w:right="328"/>
              <w:spacing w:after="0" w:line="202" w:lineRule="exact"/>
              <w:rPr>
                <w:sz w:val="20"/>
                <w:szCs w:val="20"/>
                <w:color w:val="auto"/>
              </w:rPr>
            </w:pPr>
            <w:r>
              <w:rPr>
                <w:rFonts w:ascii="Arial" w:cs="Arial" w:eastAsia="Arial" w:hAnsi="Arial"/>
                <w:sz w:val="18"/>
                <w:szCs w:val="18"/>
                <w:color w:val="auto"/>
              </w:rPr>
              <w:t>158,755</w:t>
            </w:r>
          </w:p>
        </w:tc>
      </w:tr>
      <w:tr>
        <w:trPr>
          <w:trHeight w:val="203"/>
        </w:trPr>
        <w:tc>
          <w:tcPr>
            <w:tcW w:w="7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9,600</w:t>
            </w:r>
          </w:p>
        </w:tc>
        <w:tc>
          <w:tcPr>
            <w:tcW w:w="2420" w:type="dxa"/>
            <w:vAlign w:val="bottom"/>
            <w:gridSpan w:val="3"/>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185,117</w:t>
            </w: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Parag D. Desai</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10,738</w:t>
            </w:r>
          </w:p>
        </w:tc>
        <w:tc>
          <w:tcPr>
            <w:tcW w:w="2420" w:type="dxa"/>
            <w:vAlign w:val="bottom"/>
            <w:gridSpan w:val="3"/>
          </w:tcPr>
          <w:p>
            <w:pPr>
              <w:jc w:val="right"/>
              <w:ind w:right="328"/>
              <w:spacing w:after="0" w:line="202" w:lineRule="exact"/>
              <w:rPr>
                <w:sz w:val="20"/>
                <w:szCs w:val="20"/>
                <w:color w:val="auto"/>
              </w:rPr>
            </w:pPr>
            <w:r>
              <w:rPr>
                <w:rFonts w:ascii="Arial" w:cs="Arial" w:eastAsia="Arial" w:hAnsi="Arial"/>
                <w:sz w:val="18"/>
                <w:szCs w:val="18"/>
                <w:color w:val="auto"/>
              </w:rPr>
              <w:t>206,968</w:t>
            </w:r>
          </w:p>
        </w:tc>
      </w:tr>
      <w:tr>
        <w:trPr>
          <w:trHeight w:val="203"/>
        </w:trPr>
        <w:tc>
          <w:tcPr>
            <w:tcW w:w="7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7,236</w:t>
            </w:r>
          </w:p>
        </w:tc>
        <w:tc>
          <w:tcPr>
            <w:tcW w:w="2420" w:type="dxa"/>
            <w:vAlign w:val="bottom"/>
            <w:gridSpan w:val="3"/>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234,663</w:t>
            </w:r>
          </w:p>
        </w:tc>
      </w:tr>
    </w:tbl>
    <w:p>
      <w:pPr>
        <w:spacing w:after="0" w:line="143"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reflect gross shares vested which excludes shares withheld for taxes.</w:t>
      </w:r>
    </w:p>
    <w:p>
      <w:pPr>
        <w:spacing w:after="0" w:line="103" w:lineRule="exact"/>
        <w:rPr>
          <w:rFonts w:ascii="Arial" w:cs="Arial" w:eastAsia="Arial" w:hAnsi="Arial"/>
          <w:sz w:val="18"/>
          <w:szCs w:val="18"/>
          <w:color w:val="auto"/>
        </w:rPr>
      </w:pPr>
    </w:p>
    <w:p>
      <w:pPr>
        <w:ind w:left="520" w:right="80" w:hanging="512"/>
        <w:spacing w:after="0" w:line="244"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reflect the product of the closing price of the Company’s common stock on the NYSE on the last trading day before the vesting date ((i) $18.00 for Ms. Vaughn, Mr. Desai and Mr. Becker for restricted stock that vested on April 4, 2025, (ii) $20.75 for Ms. Vaughn, Mr. Desai, and Mr. Becker for restricted stock that vested on June 28, 2025, (iii) $29.83 for Ms. Harris for restricted stock that vested on October 1, 2025 and (iv) $32.43 for Mr. Gray for restricted stock that vested on January 12, 2026) multiplied by the number of shares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212" w:lineRule="exact"/>
        <w:rPr>
          <w:sz w:val="20"/>
          <w:szCs w:val="20"/>
          <w:color w:val="auto"/>
        </w:rPr>
      </w:pPr>
    </w:p>
    <w:p>
      <w:pPr>
        <w:ind w:right="260" w:firstLine="382"/>
        <w:spacing w:after="0" w:line="247" w:lineRule="auto"/>
        <w:rPr>
          <w:sz w:val="20"/>
          <w:szCs w:val="20"/>
          <w:color w:val="auto"/>
        </w:rPr>
      </w:pPr>
      <w:r>
        <w:rPr>
          <w:rFonts w:ascii="Arial" w:cs="Arial" w:eastAsia="Arial" w:hAnsi="Arial"/>
          <w:sz w:val="18"/>
          <w:szCs w:val="18"/>
          <w:color w:val="auto"/>
        </w:rPr>
        <w:t>The following table shows, for each named executive officer, his or her contributions to and investment earnings on balances in the Company’s Deferred Income Plan, described under the heading “Deferred Income Plan” in the “Defined Contribution and Deferred Income Plans” section of the “Compensation Discussion and Analysis,” above. Earnings on plan balances are from investments selected by the participants, which may not include Company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at Last</w:t>
            </w:r>
          </w:p>
        </w:tc>
      </w:tr>
      <w:tr>
        <w:trPr>
          <w:trHeight w:val="16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Distributions</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FYE</w:t>
            </w:r>
          </w:p>
        </w:tc>
      </w:tr>
      <w:tr>
        <w:trPr>
          <w:trHeight w:val="162"/>
        </w:trPr>
        <w:tc>
          <w:tcPr>
            <w:tcW w:w="36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right"/>
              <w:ind w:right="578"/>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479"/>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3"/>
              </w:rPr>
              <w:t>($)</w:t>
            </w: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r>
      <w:tr>
        <w:trPr>
          <w:trHeight w:val="171"/>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(b)(1)</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(d)(2)</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(f)(3)</w:t>
            </w:r>
          </w:p>
        </w:tc>
      </w:tr>
      <w:tr>
        <w:trPr>
          <w:trHeight w:val="196"/>
        </w:trPr>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79"/>
              <w:spacing w:after="0" w:line="196" w:lineRule="exact"/>
              <w:rPr>
                <w:sz w:val="20"/>
                <w:szCs w:val="20"/>
                <w:color w:val="auto"/>
              </w:rPr>
            </w:pPr>
            <w:r>
              <w:rPr>
                <w:rFonts w:ascii="Arial" w:cs="Arial" w:eastAsia="Arial" w:hAnsi="Arial"/>
                <w:sz w:val="18"/>
                <w:szCs w:val="18"/>
                <w:color w:val="auto"/>
              </w:rPr>
              <w:t>19,825</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98"/>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180,135</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20" w:type="dxa"/>
            <w:vAlign w:val="bottom"/>
          </w:tcPr>
          <w:p>
            <w:pPr>
              <w:spacing w:after="0"/>
              <w:rPr>
                <w:sz w:val="17"/>
                <w:szCs w:val="17"/>
                <w:color w:val="auto"/>
              </w:rPr>
            </w:pPr>
          </w:p>
        </w:tc>
        <w:tc>
          <w:tcPr>
            <w:tcW w:w="150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50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30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13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320" w:type="dxa"/>
            <w:vAlign w:val="bottom"/>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20" w:type="dxa"/>
            <w:vAlign w:val="bottom"/>
          </w:tcPr>
          <w:p>
            <w:pPr>
              <w:spacing w:after="0"/>
              <w:rPr>
                <w:sz w:val="17"/>
                <w:szCs w:val="17"/>
                <w:color w:val="auto"/>
              </w:rPr>
            </w:pPr>
          </w:p>
        </w:tc>
        <w:tc>
          <w:tcPr>
            <w:tcW w:w="150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50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30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13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320" w:type="dxa"/>
            <w:vAlign w:val="bottom"/>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r>
    </w:tbl>
    <w:p>
      <w:pPr>
        <w:spacing w:after="0" w:line="143" w:lineRule="exact"/>
        <w:rPr>
          <w:sz w:val="20"/>
          <w:szCs w:val="20"/>
          <w:color w:val="auto"/>
        </w:rPr>
      </w:pPr>
    </w:p>
    <w:p>
      <w:pPr>
        <w:ind w:left="520" w:right="160" w:hanging="512"/>
        <w:spacing w:after="0" w:line="271"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amounts reported in column (b) are included in the salary reported for each named executive officer in column (c) of the Summary Compensation Table for Fiscal 2026.</w:t>
      </w:r>
    </w:p>
    <w:p>
      <w:pPr>
        <w:spacing w:after="0" w:line="45" w:lineRule="exact"/>
        <w:rPr>
          <w:rFonts w:ascii="Arial" w:cs="Arial" w:eastAsia="Arial" w:hAnsi="Arial"/>
          <w:sz w:val="18"/>
          <w:szCs w:val="18"/>
          <w:color w:val="auto"/>
        </w:rPr>
      </w:pPr>
    </w:p>
    <w:p>
      <w:pPr>
        <w:ind w:left="520" w:right="320" w:hanging="512"/>
        <w:spacing w:after="0" w:line="253"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Because no named executive officer’s deferred compensation earnings for Fiscal 2026 constituted above-market interest under the disclosure requirements applicable to the Summary Compensation Table, above, none of the amounts reported in column (d) are reflected in column (h) of the Summary Compensation Table.</w:t>
      </w:r>
    </w:p>
    <w:p>
      <w:pPr>
        <w:spacing w:after="0" w:line="60" w:lineRule="exact"/>
        <w:rPr>
          <w:rFonts w:ascii="Arial" w:cs="Arial" w:eastAsia="Arial" w:hAnsi="Arial"/>
          <w:sz w:val="18"/>
          <w:szCs w:val="18"/>
          <w:color w:val="auto"/>
        </w:rPr>
      </w:pPr>
    </w:p>
    <w:p>
      <w:pPr>
        <w:ind w:left="520" w:right="220" w:hanging="512"/>
        <w:spacing w:after="0" w:line="271"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reported in column (f) includes, for each named executive officer, the following amount reported as compensation in the Summary Compensation Table for each of the three fiscal years in the Summary Compensation Table.</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6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Fiscal 2026</w:t>
            </w:r>
          </w:p>
        </w:tc>
        <w:tc>
          <w:tcPr>
            <w:tcW w:w="120" w:type="dxa"/>
            <w:vAlign w:val="bottom"/>
          </w:tcPr>
          <w:p>
            <w:pPr>
              <w:spacing w:after="0"/>
              <w:rPr>
                <w:sz w:val="14"/>
                <w:szCs w:val="14"/>
                <w:color w:val="auto"/>
              </w:rPr>
            </w:pPr>
          </w:p>
        </w:tc>
        <w:tc>
          <w:tcPr>
            <w:tcW w:w="16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Fiscal 2025</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Fiscal 2024</w:t>
            </w:r>
          </w:p>
        </w:tc>
      </w:tr>
      <w:tr>
        <w:trPr>
          <w:trHeight w:val="196"/>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660" w:type="dxa"/>
            <w:vAlign w:val="bottom"/>
            <w:shd w:val="clear" w:color="auto" w:fill="CCEEFF"/>
          </w:tcPr>
          <w:p>
            <w:pPr>
              <w:jc w:val="right"/>
              <w:ind w:right="353"/>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66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66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168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N/A</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66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N/A</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66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66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168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N/A</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66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 OF CONTROL ARRANGEMENTS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SEVERANCE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Protection Agreements</w:t>
      </w:r>
    </w:p>
    <w:p>
      <w:pPr>
        <w:spacing w:after="0" w:line="212" w:lineRule="exact"/>
        <w:rPr>
          <w:sz w:val="20"/>
          <w:szCs w:val="20"/>
          <w:color w:val="auto"/>
        </w:rPr>
      </w:pPr>
    </w:p>
    <w:p>
      <w:pPr>
        <w:ind w:firstLine="382"/>
        <w:spacing w:after="0" w:line="236" w:lineRule="auto"/>
        <w:rPr>
          <w:sz w:val="20"/>
          <w:szCs w:val="20"/>
          <w:color w:val="auto"/>
        </w:rPr>
      </w:pPr>
      <w:r>
        <w:rPr>
          <w:rFonts w:ascii="Arial" w:cs="Arial" w:eastAsia="Arial" w:hAnsi="Arial"/>
          <w:sz w:val="18"/>
          <w:szCs w:val="18"/>
          <w:color w:val="auto"/>
        </w:rPr>
        <w:t>All the named executive officers are parties to employment protection agreements (collectively, the “Employment Protection Agreements”). The agreements become effective only in the event of a Change of Control, which is defined as occurring when (i) any person (as defined in Section 3(a)(9) of the Exchange Act, and as used in Sections 13(d) and 14(d) thereof), excluding the Company, any majority owned subsidiary of the Company (a “Subsidiary”) and any employee benefit plan sponsored or maintained by the Company or any Subsidiary (including any trustee of such plan acting as trustee), but including a “group” as defined in Section 13(d)(3) of the Exchange Act (a “Person”), becomes the beneficial owner of shares of the Company having at least 20% of the total number of votes that may be cast for the election of directors of the Company (the “Voting Shares”); provided, however, that such an event will not constitute a Change of Control if the acquiring Person has entered into an agreement with the Company approved by the Board which materially restricts the right of such Person to direct or influence the management or policies of the Company; (ii) the shareholders of the Company approve any merger or other business combination of the Company, sale of the Company’s assets or combination of the foregoing transactions (a “Transaction”) other than a Transaction involving only the Company and one or more of its Subsidiaries, or a Transaction immediately following which the shareholders of the Company immediately prior to the Transaction (excluding for this purpose any shareholder of the Company who also owns directly or indirectly more than 10% of the shares of the other company involved in the Transaction) continue to have a majority of the voting power in the resulting entity; or (iii) within any 24-month period beginning on or after the date of the agreements, the persons who were directors of the Company immediately before the beginning of such period (the “Incumbent Directors”) cease (for any reason other than death) to constitute at least a majority of the Board or of the board of directors of any successor to the Company, provided that any director who was not a director as of the date of the applicable Employment Protection Agreement will be deemed to be an Incumbent Director if such director was elected to the Board by, or on the recommendation of or with the approval of, at least two-thirds of the members of the Board who then qualified as Incumbent Directors either actually or by prior operation of Section 2(a) of the agreements. Each Employment Protection Agreement provides for employment by the Company for a term of up to three years following a Change of Control. The executive is to exercise authority and perform duties commensurate with his or her authority and duties existing during the 90 days immediately prior to the Change of Control. He or she is also to receive compensation (including incentive compensation and benefits) during the term in an amount not less than that which he or she was receiving immediately prior to the Change of Control. Any amounts paid to the named executive officers (with the exception of Ms. Vaughn and Mr. Desai) under the Employment Protection Agreement will be reduced to the maximum amount that could be paid without being subject to the excise tax imposed under Sections 280G and 4999 of the Code, but only if the after-tax benefit of the reduced amount is higher than the after-tax benefit of the unreduced amount.</w:t>
      </w:r>
    </w:p>
    <w:p>
      <w:pPr>
        <w:spacing w:after="0" w:line="189"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If the executive’s employment is terminated by death or Disability (as defined in the agreements) determined in accordance with the Employment Protection Agreements during the term of the agreement, he or she, or his or her legal representative (as applicable), is entitled to receive from the Company, in a lump sum in cash within 30 days from the date of termination (except for payments due to the executive under any employee benefit plan), his or her accrued but unpaid base salary, all amounts owing to him or her under any applicable employee benefit plans, and a bonus equal to the average of the two most recent annual bonuses received by the executive (including the value of any equity paid in lieu of cash and excluding any year in which no bonus was paid and any discretionary bonus paid to the executive), prorated for the number of days in the current fiscal year that the executive was employed. A deceased executive’s family is also entitled to receive benefits at least equal to the most favorable level of benefits available to surviving families of executives of the Company under provisions of benefit plans relating to family death benefits that were in effect at any time during the 90 days prior to the Change of Control. If the executive is terminated for Cause (as defined in the Employment Protection Agreements) or quits voluntarily (other than on account of Good Reason (as defined in the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Protection Agreements)) during the employment period, he or she is entitled to receive from the Company, in a lump sum in cash within 30 days from the date of termination (except for payments due to the executive under any employee benefit plan), the same compensation payable in case of termination by death or disability, except that the prorated bonus would not be payable.</w:t>
      </w:r>
    </w:p>
    <w:p>
      <w:pPr>
        <w:spacing w:after="0" w:line="169" w:lineRule="exact"/>
        <w:rPr>
          <w:sz w:val="20"/>
          <w:szCs w:val="20"/>
          <w:color w:val="auto"/>
        </w:rPr>
      </w:pPr>
    </w:p>
    <w:p>
      <w:pPr>
        <w:ind w:firstLine="382"/>
        <w:spacing w:after="0" w:line="237" w:lineRule="auto"/>
        <w:rPr>
          <w:sz w:val="20"/>
          <w:szCs w:val="20"/>
          <w:color w:val="auto"/>
        </w:rPr>
      </w:pPr>
      <w:r>
        <w:rPr>
          <w:rFonts w:ascii="Arial" w:cs="Arial" w:eastAsia="Arial" w:hAnsi="Arial"/>
          <w:sz w:val="18"/>
          <w:szCs w:val="18"/>
          <w:color w:val="auto"/>
        </w:rPr>
        <w:t>As defined in the Employment Protection Agreements, “Cause” means (i) an act or acts of dishonesty or gross misconduct on the executive’s part which result or are intended to result in material damage to the Company’s business or reputation or (ii) repeated material violations by the executive of his or her obligations under the agreement which violations are demonstrably willful and deliberate on the executive’s part. “Good Reason” is defined to include (i) a good faith determination by the executive that the Company has taken (without his or her consent) action that materially changes his or her authority or responsibilities or materially reduces his or her ability to carry out such responsibilities; (ii) the Company’s failure to comply with provisions of the agreement involving the executive’s compensation, annual bonuses, incentive and savings plans, retirement programs, benefit plans, expenses, vacations and fringe benefits and working conditions;</w:t>
      </w:r>
    </w:p>
    <w:p>
      <w:pPr>
        <w:spacing w:after="0" w:line="5" w:lineRule="exact"/>
        <w:rPr>
          <w:sz w:val="20"/>
          <w:szCs w:val="20"/>
          <w:color w:val="auto"/>
        </w:rPr>
      </w:pPr>
    </w:p>
    <w:p>
      <w:pPr>
        <w:ind w:right="220" w:firstLine="8"/>
        <w:spacing w:after="0" w:line="242" w:lineRule="auto"/>
        <w:tabs>
          <w:tab w:leader="none" w:pos="2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requiring the executive to be employed at a location more than 50 miles further from his or her principal residence than the location at which the executive worked immediately before the agreement became effective; and (iv) the Company’s failure subject to certain exceptions to require a successor to assume and agree to perform under the agreement.</w:t>
      </w:r>
    </w:p>
    <w:p>
      <w:pPr>
        <w:spacing w:after="0" w:line="179" w:lineRule="exact"/>
        <w:rPr>
          <w:sz w:val="20"/>
          <w:szCs w:val="20"/>
          <w:color w:val="auto"/>
        </w:rPr>
      </w:pPr>
    </w:p>
    <w:p>
      <w:pPr>
        <w:ind w:right="40" w:firstLine="382"/>
        <w:spacing w:after="0" w:line="237" w:lineRule="auto"/>
        <w:rPr>
          <w:sz w:val="20"/>
          <w:szCs w:val="20"/>
          <w:color w:val="auto"/>
        </w:rPr>
      </w:pPr>
      <w:r>
        <w:rPr>
          <w:rFonts w:ascii="Arial" w:cs="Arial" w:eastAsia="Arial" w:hAnsi="Arial"/>
          <w:sz w:val="18"/>
          <w:szCs w:val="18"/>
          <w:color w:val="auto"/>
        </w:rPr>
        <w:t>If the executive’s employment is actually or constructively terminated by the Company without Cause, or if the executive terminates his or her employment for Good Reason during the term of the agreement, the executive will be entitled to receive from the Company, in a lump sum in cash within 15 days from the date of termination, his or her base salary through the termination date, and a severance allowance equal to two times (i) his or her annual base salary, plus (ii) the average of his or her two most recent annual bonuses received by the executive (including the value of any equity paid in lieu of cash and excluding any year in which no bonus was paid and any discretionary bonus paid to the executive), plus (iii) the present value of the annual cost to the Company of obtaining coverage equivalent to the coverage provided by the Company prior to the Change of Control under any welfare benefit plans (including medical, dental, disability, group life and accidental death insurance) plus the annualized value of fringe benefits provided to the executive prior to the Change of Control, plus, in the case of Employment Protection Agreements entered into prior to Fiscal 2020 for Ms. Vaughn and Mr. Desai, reimbursement for any excise tax owed thereon and for taxes payable by reason of the reimbursement. Amounts payable under the Employment Protection Agreements are to be reduced by any amount received under the general severance plan described below, and may offset on a dollar-by-dollar basis payments due under the Executive Severance Plan described below. On February 6, 2025, the Company approved amendments to the Employment Protection Agreement to be entered into with certain executive officers of the Company, with the exception of Ms. Vaughn and Mr. Desai. Among other things, the Employment Protection Agreement was amended to revise the operation of the Employment Protection Agreement such that any Termination Notice (as defined in the Employment Protection Agreement) shall be effective at any time that the Company is in active negotiations with respect to a transaction that would constitute a Change of Control, if consummated. In addition, the Employment Protection Agreement was amended to remove the automatic termination of the Employment Protection Agreement upon the attainment of a certain retirement age by the applicable executive.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Severance Plan.</w:t>
      </w:r>
    </w:p>
    <w:p>
      <w:pPr>
        <w:spacing w:after="0" w:line="210" w:lineRule="exact"/>
        <w:rPr>
          <w:sz w:val="20"/>
          <w:szCs w:val="20"/>
          <w:color w:val="auto"/>
        </w:rPr>
      </w:pPr>
    </w:p>
    <w:p>
      <w:pPr>
        <w:ind w:right="40" w:firstLine="382"/>
        <w:spacing w:after="0" w:line="244" w:lineRule="auto"/>
        <w:rPr>
          <w:sz w:val="20"/>
          <w:szCs w:val="20"/>
          <w:color w:val="auto"/>
        </w:rPr>
      </w:pPr>
      <w:r>
        <w:rPr>
          <w:rFonts w:ascii="Arial" w:cs="Arial" w:eastAsia="Arial" w:hAnsi="Arial"/>
          <w:sz w:val="18"/>
          <w:szCs w:val="18"/>
          <w:color w:val="auto"/>
        </w:rPr>
        <w:t>The Company maintains a severance plan for monthly-paid salaried employees to provide for certain benefits in the event of a Company-initiated separation from the Company other than for Cause (as defined in the plan). Under the terms of the plan, an eligible employee is entitled to one week of his or her base salary at the termination date multiplied by each year of service with the Company with a maximum of 24 weeks and a minimum of two weeks. If their employment had been terminated without Cause as of January 31, 2026, the named executive officers would have been entitled to the following severance payments under the plan,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reduce payments due under the Employment Protection Agreements and Executive Severance Plan: Ms. Vaughn — $433,654; Mr. Becker — $63,269; Mr. Desai — $95,192; Ms. Harris — $23,077; and Mr. Gray — $38,942.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Severance Plan.</w:t>
      </w:r>
    </w:p>
    <w:p>
      <w:pPr>
        <w:spacing w:after="0" w:line="210" w:lineRule="exact"/>
        <w:rPr>
          <w:sz w:val="20"/>
          <w:szCs w:val="20"/>
          <w:color w:val="auto"/>
        </w:rPr>
      </w:pPr>
    </w:p>
    <w:p>
      <w:pPr>
        <w:ind w:right="40" w:firstLine="382"/>
        <w:spacing w:after="0" w:line="239" w:lineRule="auto"/>
        <w:rPr>
          <w:sz w:val="20"/>
          <w:szCs w:val="20"/>
          <w:color w:val="auto"/>
        </w:rPr>
      </w:pPr>
      <w:r>
        <w:rPr>
          <w:rFonts w:ascii="Arial" w:cs="Arial" w:eastAsia="Arial" w:hAnsi="Arial"/>
          <w:sz w:val="18"/>
          <w:szCs w:val="18"/>
          <w:color w:val="auto"/>
        </w:rPr>
        <w:t>Effective May 2, 2024, the Company maintains an executive severance plan for certain executive employees to provide for certain benefits in the event employment is terminated (i) by the Company for any reason other than for Cause (as defined in plan), and that is not the result of (x) a resignation by the executive without Good Reason, (y) death or disability, or (z) in connection with certain sale transactions whereby the participant is offered a Suitable Position (as defined in the plan), or (ii) by the employee for Good Reason (as defined in plan) (each such termination, a “Covered Termination”). Under the terms of the plan, upon a Covered Termination, such an employee is eligible to receive monthly cash severance payments in an aggregate amount equal to (i) twelve (12) months of such employee’s base salary or, in the case of an employee who is the chief executive officer of the Company, twenty-four (24) months of such employee’s base salary and (ii) twelve (12) months of COBRA Premiums (as defined in the plan) or, in the case of an employee who is the chief executive officer of the Company, twenty-four (24) months of COBRA Premiums. Payments due under the Executive Severance Plan may be offset on a dollar-by-dollar basis by payments due under the Employment Protection Agreements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10"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As described in more detail below, awards made by the Company under the 2009 Equity Incentive Plan and the Amended and Restated 2020 Equity Incentive Plan become immediately vested and exercisable upon a Change of Control unless the compensation committee determines in good faith prior to the Change of Control that such equity award will be honored or assumed, or new rights substituted therefor (an “Alternative Award”), by a participant’s employer immediately following a Change of Control provided that the Alternative Award is (i) based on stock that is traded on an established securities market, (ii) provides the participant with rights and entitlements substantially equivalent to or better than the existing award, including vesting schedule, (iii) has substantially equivalent value to the existing award and</w:t>
      </w:r>
    </w:p>
    <w:p>
      <w:pPr>
        <w:spacing w:after="0" w:line="1" w:lineRule="exact"/>
        <w:rPr>
          <w:sz w:val="20"/>
          <w:szCs w:val="20"/>
          <w:color w:val="auto"/>
        </w:rPr>
      </w:pPr>
    </w:p>
    <w:p>
      <w:pPr>
        <w:ind w:right="100" w:firstLine="8"/>
        <w:spacing w:after="0" w:line="238" w:lineRule="auto"/>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has terms and conditions which provide that if a participant’s employment is involuntarily terminated without cause, or if a participant terminates employment for good reason, such equity award will be deemed immediately vested and exercisable and/or all restrictions shall lapse, and shall be settled for a payment for each share of stock subject to the Alternative Award in cash, in immediately transferable, publicly traded securities, or a combination thereof, in an amount equal to the fair market value of such stock on the date of the participant’s termination or the excess of the fair market value of such stock on the date of participant’s termination over the corresponding exercise or base price.</w:t>
      </w:r>
    </w:p>
    <w:p>
      <w:pPr>
        <w:spacing w:after="0" w:line="181"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For awards of restricted stock and options made by the Company under the Amended and Restated 2020 Equity Incentive Plan, 100% of the unvested shares become immediately vested, and in the case of options, immediately exercisable, if the entity surviving the Change of Control does not assume the award or grant an Alternative Award.</w:t>
      </w:r>
    </w:p>
    <w:p>
      <w:pPr>
        <w:spacing w:after="0" w:line="169" w:lineRule="exact"/>
        <w:rPr>
          <w:sz w:val="20"/>
          <w:szCs w:val="20"/>
          <w:color w:val="auto"/>
        </w:rPr>
      </w:pPr>
    </w:p>
    <w:p>
      <w:pPr>
        <w:ind w:right="160" w:firstLine="374"/>
        <w:spacing w:after="0" w:line="253" w:lineRule="auto"/>
        <w:rPr>
          <w:sz w:val="20"/>
          <w:szCs w:val="20"/>
          <w:color w:val="auto"/>
        </w:rPr>
      </w:pPr>
      <w:r>
        <w:rPr>
          <w:rFonts w:ascii="Arial" w:cs="Arial" w:eastAsia="Arial" w:hAnsi="Arial"/>
          <w:sz w:val="18"/>
          <w:szCs w:val="18"/>
          <w:color w:val="auto"/>
        </w:rPr>
        <w:t>For awards of PSUs made by the Company under the Amended and Restated 2020 Equity Incentive Plan in Fiscal 2024, the performance threshold was not met as of January 31, 2026 and the PSUs did not vest. As a result, none of the Fiscal 2024 PSUs would be eligible to vest for any change of control.</w:t>
      </w:r>
    </w:p>
    <w:p>
      <w:pPr>
        <w:spacing w:after="0" w:line="169" w:lineRule="exact"/>
        <w:rPr>
          <w:sz w:val="20"/>
          <w:szCs w:val="20"/>
          <w:color w:val="auto"/>
        </w:rPr>
      </w:pPr>
    </w:p>
    <w:p>
      <w:pPr>
        <w:ind w:right="60" w:firstLine="374"/>
        <w:spacing w:after="0" w:line="247" w:lineRule="auto"/>
        <w:rPr>
          <w:sz w:val="20"/>
          <w:szCs w:val="20"/>
          <w:color w:val="auto"/>
        </w:rPr>
      </w:pPr>
      <w:r>
        <w:rPr>
          <w:rFonts w:ascii="Arial" w:cs="Arial" w:eastAsia="Arial" w:hAnsi="Arial"/>
          <w:sz w:val="18"/>
          <w:szCs w:val="18"/>
          <w:color w:val="auto"/>
        </w:rPr>
        <w:t>For awards of PSUs made by the Company under the Amended and Restated 2020 Equity Incentive Plan in Fiscal 2025, if the entity surviving the Change of Control assumes the awards granted: (i) any in process performance periods will end on the date immediately preceding the Change of Control; (ii) if the Change of Control occurs before the performance period would have ended in the absence of the preceding clause, the number of earned PSUs eligible to vest will be the target number of performance share units granted; (iii)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Change of Control occurs after the performance period ends, the number of earned PSUs eligible to vest will be based on the attainment of the performance targets, in such manner as determined by the compensation committee; (iv) such number of earned PSUs that are eligible to vest will vest on the applicable vesting date, provided that the participant remains employed with the successor through such vesting date; and (v) in the event that, prior to the applicable vesting date, the participant’s employment with the successor is terminated without cause by the successor, or terminates for good reason by the participant or on account of the participant’s death or disability, the number of earned PSUs that would otherwise have vested on such vesting date shall immediately become vested and the applicable shares (or the cash value thereof) shall be released to the participant (or the participant’s estate or other legal representative) upon such termination of employment. In the event the successor does not assume the awards, (i) if the Change of Control occurs before the end of the performance period, a number of PSUs equal to the target award shall vest and be settled in accordance with the applicable award agreement as of immediately prior to the Change of Control, or (ii) if the Change of Control occurs after the end of the performance period, all earned PSUs that have not previously vested shall immediately vest, and any shares not previously released to the participant shall be released to the participant in accordance with the applicable award agreement.</w:t>
      </w:r>
    </w:p>
    <w:p>
      <w:pPr>
        <w:spacing w:after="0" w:line="183" w:lineRule="exact"/>
        <w:rPr>
          <w:sz w:val="20"/>
          <w:szCs w:val="20"/>
          <w:color w:val="auto"/>
        </w:rPr>
      </w:pPr>
    </w:p>
    <w:p>
      <w:pPr>
        <w:ind w:right="40" w:firstLine="374"/>
        <w:spacing w:after="0" w:line="237" w:lineRule="auto"/>
        <w:rPr>
          <w:sz w:val="20"/>
          <w:szCs w:val="20"/>
          <w:color w:val="auto"/>
        </w:rPr>
      </w:pPr>
      <w:r>
        <w:rPr>
          <w:rFonts w:ascii="Arial" w:cs="Arial" w:eastAsia="Arial" w:hAnsi="Arial"/>
          <w:sz w:val="18"/>
          <w:szCs w:val="18"/>
          <w:color w:val="auto"/>
        </w:rPr>
        <w:t>For awards of PSUs made by the Company under the Amended and Restated 2020 Equity Incentive Plan in Fiscal 2026, if the entity surviving the Change of Control assumes the awards granted: (i) any in process performance periods will end on the date immediately preceding the Change of Control; (ii) if the Change of Control occurs within the first year of the performance period, the number of PSUs eligible to vest will be the target number of performance share units granted; (iii) if the Change of Control occurs after the first year of the performance period but prior to the end of the performance period, the number of PSUs eligible to vest will be based on the attainment of the performance targets through the portion of the performance period ending not later than the effective date of the Change of Control, in such manner as determined by the compensation committee; (iv) such number of PSUs that are eligible to vest will vest as of the end of the performance period, provided that the participant remains employed with the successor through such vesting date; and (v) in the event that, within 24 months following the Change of Control, the participant’s employment with the successor is terminated without cause by the successor, or terminates for good reason by the participant or on account of the participant’s death or disability prior to the vesting date, the number of PSUs eligible to vest on the vesting date will immediately vest and the applicable shares will be released to the participant (or the participant’s estate or other legal representative) upon the participant’s termination of employment. In the event the successor does not assume the awards, (i) if the Change of Control occurs within the first year of the performance period, the target number of PSUs granted will vest as of the effective date of the Change of Control or (ii) if the Change of Control occurs after the first year of the performance period but prior to the end of the performance period, a number of PSUs will vest based on the attainment of the performance targets through the portion of the performance period ending not later than the effective date of the Change of Control, in such manner as determined by the compensation committee, and in each case the applicable shares will be released to the participant (or the participant’s estate or other legal representative).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Terminations of Employment</w:t>
      </w:r>
    </w:p>
    <w:p>
      <w:pPr>
        <w:spacing w:after="0" w:line="210" w:lineRule="exact"/>
        <w:rPr>
          <w:sz w:val="20"/>
          <w:szCs w:val="20"/>
          <w:color w:val="auto"/>
        </w:rPr>
      </w:pPr>
    </w:p>
    <w:p>
      <w:pPr>
        <w:ind w:right="440" w:firstLine="382"/>
        <w:spacing w:after="0" w:line="271" w:lineRule="auto"/>
        <w:rPr>
          <w:sz w:val="20"/>
          <w:szCs w:val="20"/>
          <w:color w:val="auto"/>
        </w:rPr>
      </w:pPr>
      <w:r>
        <w:rPr>
          <w:rFonts w:ascii="Arial" w:cs="Arial" w:eastAsia="Arial" w:hAnsi="Arial"/>
          <w:sz w:val="18"/>
          <w:szCs w:val="18"/>
          <w:color w:val="auto"/>
        </w:rPr>
        <w:t>For awards of restricted stock and PSUs made by the Company under the Amended and Restated 2020 Equity Incentive Plan, any unvested restricted stock or PSUs are automatically forfeited upon a participant’s termination of employment, subject to the following:</w:t>
      </w:r>
    </w:p>
    <w:p>
      <w:pPr>
        <w:spacing w:after="0" w:line="154" w:lineRule="exact"/>
        <w:rPr>
          <w:sz w:val="20"/>
          <w:szCs w:val="20"/>
          <w:color w:val="auto"/>
        </w:rPr>
      </w:pPr>
    </w:p>
    <w:p>
      <w:pPr>
        <w:ind w:left="760" w:right="500" w:hanging="378"/>
        <w:spacing w:after="0" w:line="270" w:lineRule="auto"/>
        <w:tabs>
          <w:tab w:leader="none" w:pos="76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If such participant’s employment terminates due to death or “Disability” (as defined in the Amended and Restated 2020 Equity Incentive Plan and/or the applicable award agreement):</w:t>
      </w:r>
    </w:p>
    <w:p>
      <w:pPr>
        <w:spacing w:after="0" w:line="154" w:lineRule="exact"/>
        <w:rPr>
          <w:rFonts w:ascii="Times New Roman" w:cs="Times New Roman" w:eastAsia="Times New Roman" w:hAnsi="Times New Roman"/>
          <w:sz w:val="18"/>
          <w:szCs w:val="18"/>
          <w:color w:val="auto"/>
        </w:rPr>
      </w:pPr>
    </w:p>
    <w:p>
      <w:pPr>
        <w:ind w:left="1140" w:right="300" w:hanging="383"/>
        <w:spacing w:after="0" w:line="270" w:lineRule="auto"/>
        <w:tabs>
          <w:tab w:leader="none" w:pos="1140" w:val="left"/>
        </w:tabs>
        <w:numPr>
          <w:ilvl w:val="1"/>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a prorated portion of unvested restricted stock will immediately vest in proportion to such participant’s length of employment during the applicable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40" w:hanging="383"/>
        <w:spacing w:after="0" w:line="270"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2024, the performance threshold was not met as of January 31, 2026 and the PSUs did not vest. As a result, none of the Fiscal 2024 PSUs would be eligible to vest for termination of employment due to death or disability;</w:t>
      </w:r>
    </w:p>
    <w:p>
      <w:pPr>
        <w:spacing w:after="0" w:line="154" w:lineRule="exact"/>
        <w:rPr>
          <w:rFonts w:ascii="Times New Roman" w:cs="Times New Roman" w:eastAsia="Times New Roman" w:hAnsi="Times New Roman"/>
          <w:sz w:val="18"/>
          <w:szCs w:val="18"/>
          <w:color w:val="auto"/>
        </w:rPr>
      </w:pPr>
    </w:p>
    <w:p>
      <w:pPr>
        <w:ind w:left="1140" w:hanging="383"/>
        <w:spacing w:after="0" w:line="252"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2025, (i) prior to the second vesting date and (ii) following the end of the performance period, the participant (or the estate or legal representative thereof) shall immediately become vested in the earned PSUs to the extent the earned PSUs have not already become vested; and</w:t>
      </w:r>
    </w:p>
    <w:p>
      <w:pPr>
        <w:spacing w:after="0" w:line="170" w:lineRule="exact"/>
        <w:rPr>
          <w:rFonts w:ascii="Times New Roman" w:cs="Times New Roman" w:eastAsia="Times New Roman" w:hAnsi="Times New Roman"/>
          <w:sz w:val="18"/>
          <w:szCs w:val="18"/>
          <w:color w:val="auto"/>
        </w:rPr>
      </w:pPr>
    </w:p>
    <w:p>
      <w:pPr>
        <w:ind w:left="1140" w:right="60" w:hanging="383"/>
        <w:spacing w:after="0" w:line="270"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2026, a number of unvested PSUs will immediately vest in an amount equal to the applicable target award.</w:t>
      </w:r>
    </w:p>
    <w:p>
      <w:pPr>
        <w:spacing w:after="0" w:line="154" w:lineRule="exact"/>
        <w:rPr>
          <w:rFonts w:ascii="Times New Roman" w:cs="Times New Roman" w:eastAsia="Times New Roman" w:hAnsi="Times New Roman"/>
          <w:sz w:val="18"/>
          <w:szCs w:val="18"/>
          <w:color w:val="auto"/>
        </w:rPr>
      </w:pPr>
    </w:p>
    <w:p>
      <w:pPr>
        <w:ind w:left="760" w:right="440" w:hanging="378"/>
        <w:spacing w:after="0" w:line="270" w:lineRule="auto"/>
        <w:tabs>
          <w:tab w:leader="none" w:pos="76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If such participant’s employment is terminated by the Company without Cause (as defined in the Amended and Restated 2020 Equity Incentive Plan and/or the applicable award agreement):</w:t>
      </w:r>
    </w:p>
    <w:p>
      <w:pPr>
        <w:spacing w:after="0" w:line="154" w:lineRule="exact"/>
        <w:rPr>
          <w:rFonts w:ascii="Times New Roman" w:cs="Times New Roman" w:eastAsia="Times New Roman" w:hAnsi="Times New Roman"/>
          <w:sz w:val="18"/>
          <w:szCs w:val="18"/>
          <w:color w:val="auto"/>
        </w:rPr>
      </w:pPr>
    </w:p>
    <w:p>
      <w:pPr>
        <w:ind w:left="1140" w:right="500" w:hanging="383"/>
        <w:spacing w:after="0" w:line="270"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a prorated portion of unvested restricted stock for awards granted before 2024 will immediately vest in proportion to such participant’s length of employment during the applicable restricted period;</w:t>
      </w:r>
    </w:p>
    <w:p>
      <w:pPr>
        <w:spacing w:after="0" w:line="154" w:lineRule="exact"/>
        <w:rPr>
          <w:rFonts w:ascii="Times New Roman" w:cs="Times New Roman" w:eastAsia="Times New Roman" w:hAnsi="Times New Roman"/>
          <w:sz w:val="18"/>
          <w:szCs w:val="18"/>
          <w:color w:val="auto"/>
        </w:rPr>
      </w:pPr>
    </w:p>
    <w:p>
      <w:pPr>
        <w:jc w:val="both"/>
        <w:ind w:left="1140" w:hanging="383"/>
        <w:spacing w:after="0" w:line="300" w:lineRule="auto"/>
        <w:tabs>
          <w:tab w:leader="none" w:pos="1140" w:val="left"/>
        </w:tabs>
        <w:numPr>
          <w:ilvl w:val="1"/>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for PSUs granted in Fiscal 2024, the performance threshold was not met as of January 31, 2026 and the PSUs did not vest. As a result, none of the Fiscal 2024 PSUs would be eligible to vest for termination of employment by the Company without Cause;</w:t>
      </w:r>
    </w:p>
    <w:p>
      <w:pPr>
        <w:spacing w:after="0" w:line="131" w:lineRule="exact"/>
        <w:rPr>
          <w:rFonts w:ascii="Times New Roman" w:cs="Times New Roman" w:eastAsia="Times New Roman" w:hAnsi="Times New Roman"/>
          <w:sz w:val="17"/>
          <w:szCs w:val="17"/>
          <w:color w:val="auto"/>
        </w:rPr>
      </w:pPr>
    </w:p>
    <w:p>
      <w:pPr>
        <w:ind w:left="1140" w:right="60" w:hanging="383"/>
        <w:spacing w:after="0" w:line="246"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2025, (A) the number of earned PSUs shall equal the product of the actual number of earned PSUs multiplied by the appropriate proration factor, (B) fifty percent (50%) of the earned PSUs shall become vested as of the first vesting date, and (C) the number of earned PSUs that shall become vested as of the second vesting date shall equal the total number of earned PSUs, minus the number of earned PSUs that became vested on the first vesting date; and</w:t>
      </w:r>
    </w:p>
    <w:p>
      <w:pPr>
        <w:spacing w:after="0" w:line="176" w:lineRule="exact"/>
        <w:rPr>
          <w:rFonts w:ascii="Times New Roman" w:cs="Times New Roman" w:eastAsia="Times New Roman" w:hAnsi="Times New Roman"/>
          <w:sz w:val="18"/>
          <w:szCs w:val="18"/>
          <w:color w:val="auto"/>
        </w:rPr>
      </w:pPr>
    </w:p>
    <w:p>
      <w:pPr>
        <w:ind w:left="1140" w:right="140" w:hanging="383"/>
        <w:spacing w:after="0" w:line="243"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2026, if the Company terminates the grantee's employment without cause prior to the first anniversary of the first day of the applicable performance period, no portion of the award is eligible to vest; if such termination occurs on or after that date, but prior to the end of the performance period, the grantee is eligible for a pro-rated portion of earned PSUs (capped at target) with settlement occurring at the end of the applicable performance period based on actual results.</w:t>
      </w:r>
    </w:p>
    <w:p>
      <w:pPr>
        <w:spacing w:after="0" w:line="179" w:lineRule="exact"/>
        <w:rPr>
          <w:rFonts w:ascii="Times New Roman" w:cs="Times New Roman" w:eastAsia="Times New Roman" w:hAnsi="Times New Roman"/>
          <w:sz w:val="18"/>
          <w:szCs w:val="18"/>
          <w:color w:val="auto"/>
        </w:rPr>
      </w:pPr>
    </w:p>
    <w:p>
      <w:pPr>
        <w:ind w:left="760" w:right="380" w:hanging="378"/>
        <w:spacing w:after="0" w:line="270" w:lineRule="auto"/>
        <w:tabs>
          <w:tab w:leader="none" w:pos="76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If such participant’s employment terminates due to Retirement (as defined in the Amended and Restated 2020 Equity Incentive Plan and/or the applicable award agreement):</w:t>
      </w:r>
    </w:p>
    <w:p>
      <w:pPr>
        <w:spacing w:after="0" w:line="154"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2024, the performance threshold was not met as of January 31, 2026 and the PSUs did not vest. As a result, none of the Fiscal 2024 PSUs would be eligible to vest for termination of employment due to retirement;</w:t>
      </w:r>
    </w:p>
    <w:p>
      <w:pPr>
        <w:spacing w:after="0" w:line="154" w:lineRule="exact"/>
        <w:rPr>
          <w:rFonts w:ascii="Times New Roman" w:cs="Times New Roman" w:eastAsia="Times New Roman" w:hAnsi="Times New Roman"/>
          <w:sz w:val="18"/>
          <w:szCs w:val="18"/>
          <w:color w:val="auto"/>
        </w:rPr>
      </w:pPr>
    </w:p>
    <w:p>
      <w:pPr>
        <w:ind w:left="1140" w:right="140" w:hanging="383"/>
        <w:spacing w:after="0" w:line="242"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2025, (i) the number of earned PSUs shall equal the product of (A) the number of earned PSUs at the end of the performance period, multiplied by (B) a fraction, the numerator of which is the number of whole months during the total vesting period during which the participant was employed by the Company, and the denominator of which is the total number of whole months in the total vesting period, (ii) fifty percent (50%) of the earned PSUs shall become vested as of the first vesting date, and (iii) the number of earned PSUs that shall become vested as of the second vesting date shall equal the total number of earned PSUs, minus the number of earned PSUs that became vested on the first vesting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40" w:right="100" w:hanging="383"/>
        <w:spacing w:after="0" w:line="242" w:lineRule="auto"/>
        <w:tabs>
          <w:tab w:leader="none" w:pos="114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2026,a prorated portion of unvested PSUs will vest on the normal vesting date in an amount equal to the product of (1) the number of PSUs that would have vested if the participant had remained employed with the Company until the normal vesting date (based on the attainment of the applicable performance targets), multiplied by (2) the appropriate proration factor, provided, that if the participant subsequently dies more than six months prior to the normal vesting date, attainment of the applicable performance target will be calculated at the 100% target level and such prorated number of PSUs shall immediately vest and be paid out.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Potential Payments Upon Change of Control or Termination</w:t>
      </w:r>
    </w:p>
    <w:p>
      <w:pPr>
        <w:spacing w:after="0" w:line="212" w:lineRule="exact"/>
        <w:rPr>
          <w:sz w:val="20"/>
          <w:szCs w:val="20"/>
          <w:color w:val="auto"/>
        </w:rPr>
      </w:pPr>
    </w:p>
    <w:p>
      <w:pPr>
        <w:ind w:right="80" w:firstLine="382"/>
        <w:spacing w:after="0" w:line="238" w:lineRule="auto"/>
        <w:rPr>
          <w:sz w:val="20"/>
          <w:szCs w:val="20"/>
          <w:color w:val="auto"/>
        </w:rPr>
      </w:pPr>
      <w:r>
        <w:rPr>
          <w:rFonts w:ascii="Arial" w:cs="Arial" w:eastAsia="Arial" w:hAnsi="Arial"/>
          <w:sz w:val="18"/>
          <w:szCs w:val="18"/>
          <w:color w:val="auto"/>
        </w:rPr>
        <w:t>The following table shows for each of the named executive officers, assuming that a Change of Control in which the surviving entity assumes equity awards or grants an Alternative Award, followed by immediate involuntary termination of his or her employment (other than for Cause) or by voluntary termination by the named executive officer for Good Reason (as defined under the Employment Protection Agreement), occurred on January 31, 2026, the estimated amounts payable with respect to (a) salary, (b) bonus, (c) the value, based on the closing price of the Company’s stock on the NYSE on January 30, 2026 (the last trading day of the fiscal year) of all previously unvested restricted stock and PSUs subject to accelerated vesting, (d) the estimated value of the payment related to benefits provided under the Employment Protection Agreement, (e) the non-qualified deferred compensation (which would be paid upon termination for any reason regardless of whether a Change of Control has occurred, under the terms of the Deferred Income Plan), (f) for named executive officers who entered into Employment Protection Agreements prior to Fiscal 2020, the gross-up related to excise taxes that would have been reimbursable to the named executive officer (assuming a 37.0% marginal federal income tax rate), and (g) the total of items (a) through (f). With respect to each named executive officer, the actual awards and amounts payable can only be determined at the time of each named executive officer’s termination of employment.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Cash</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Accelerated</w:t>
            </w:r>
          </w:p>
        </w:tc>
        <w:tc>
          <w:tcPr>
            <w:tcW w:w="220" w:type="dxa"/>
            <w:vAlign w:val="bottom"/>
          </w:tcPr>
          <w:p>
            <w:pPr>
              <w:spacing w:after="0"/>
              <w:rPr>
                <w:sz w:val="12"/>
                <w:szCs w:val="12"/>
                <w:color w:val="auto"/>
              </w:rPr>
            </w:pPr>
          </w:p>
        </w:tc>
        <w:tc>
          <w:tcPr>
            <w:tcW w:w="10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Estimated</w:t>
            </w:r>
          </w:p>
        </w:tc>
        <w:tc>
          <w:tcPr>
            <w:tcW w:w="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Deferred</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Bonus</w:t>
            </w:r>
          </w:p>
        </w:tc>
        <w:tc>
          <w:tcPr>
            <w:tcW w:w="2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Stock-Based</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220" w:type="dxa"/>
            <w:vAlign w:val="bottom"/>
          </w:tcPr>
          <w:p>
            <w:pPr>
              <w:spacing w:after="0"/>
              <w:rPr>
                <w:sz w:val="11"/>
                <w:szCs w:val="11"/>
                <w:color w:val="auto"/>
              </w:rPr>
            </w:pPr>
          </w:p>
        </w:tc>
        <w:tc>
          <w:tcPr>
            <w:tcW w:w="11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Tax Gross-Up</w:t>
            </w:r>
          </w:p>
        </w:tc>
        <w:tc>
          <w:tcPr>
            <w:tcW w:w="220" w:type="dxa"/>
            <w:vAlign w:val="bottom"/>
          </w:tcPr>
          <w:p>
            <w:pPr>
              <w:spacing w:after="0"/>
              <w:rPr>
                <w:sz w:val="11"/>
                <w:szCs w:val="11"/>
                <w:color w:val="auto"/>
              </w:rPr>
            </w:pPr>
          </w:p>
        </w:tc>
        <w:tc>
          <w:tcPr>
            <w:tcW w:w="122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Severance</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Benefits Value</w:t>
            </w:r>
          </w:p>
        </w:tc>
        <w:tc>
          <w:tcPr>
            <w:tcW w:w="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Payout</w:t>
            </w: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(a)(1)</w:t>
            </w:r>
          </w:p>
        </w:tc>
        <w:tc>
          <w:tcPr>
            <w:tcW w:w="2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(b)(2)</w:t>
            </w:r>
          </w:p>
        </w:tc>
        <w:tc>
          <w:tcPr>
            <w:tcW w:w="240" w:type="dxa"/>
            <w:vAlign w:val="bottom"/>
          </w:tcPr>
          <w:p>
            <w:pPr>
              <w:spacing w:after="0"/>
              <w:rPr>
                <w:sz w:val="11"/>
                <w:szCs w:val="11"/>
                <w:color w:val="auto"/>
              </w:rPr>
            </w:pPr>
          </w:p>
        </w:tc>
        <w:tc>
          <w:tcPr>
            <w:tcW w:w="1140" w:type="dxa"/>
            <w:vAlign w:val="bottom"/>
          </w:tcPr>
          <w:p>
            <w:pPr>
              <w:ind w:left="400"/>
              <w:spacing w:after="0" w:line="135" w:lineRule="exact"/>
              <w:rPr>
                <w:sz w:val="20"/>
                <w:szCs w:val="20"/>
                <w:color w:val="auto"/>
              </w:rPr>
            </w:pPr>
            <w:r>
              <w:rPr>
                <w:rFonts w:ascii="Arial" w:cs="Arial" w:eastAsia="Arial" w:hAnsi="Arial"/>
                <w:sz w:val="13"/>
                <w:szCs w:val="13"/>
                <w:b w:val="1"/>
                <w:bCs w:val="1"/>
                <w:color w:val="auto"/>
              </w:rPr>
              <w:t>(c)(3)</w:t>
            </w: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(d)(4)</w:t>
            </w:r>
          </w:p>
        </w:tc>
        <w:tc>
          <w:tcPr>
            <w:tcW w:w="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(e)</w:t>
            </w:r>
          </w:p>
        </w:tc>
        <w:tc>
          <w:tcPr>
            <w:tcW w:w="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(f)(5)</w:t>
            </w:r>
          </w:p>
        </w:tc>
        <w:tc>
          <w:tcPr>
            <w:tcW w:w="2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(g)(6)</w:t>
            </w:r>
          </w:p>
        </w:tc>
        <w:tc>
          <w:tcPr>
            <w:tcW w:w="0" w:type="dxa"/>
            <w:vAlign w:val="bottom"/>
          </w:tcPr>
          <w:p>
            <w:pPr>
              <w:spacing w:after="0"/>
              <w:rPr>
                <w:sz w:val="1"/>
                <w:szCs w:val="1"/>
                <w:color w:val="auto"/>
              </w:rPr>
            </w:pPr>
          </w:p>
        </w:tc>
      </w:tr>
      <w:tr>
        <w:trPr>
          <w:trHeight w:val="153"/>
        </w:trPr>
        <w:tc>
          <w:tcPr>
            <w:tcW w:w="19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Mimi E. Vaughn</w:t>
            </w:r>
          </w:p>
        </w:tc>
        <w:tc>
          <w:tcPr>
            <w:tcW w:w="1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2,050,000</w:t>
            </w:r>
          </w:p>
        </w:tc>
        <w:tc>
          <w:tcPr>
            <w:tcW w:w="1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1,293,810</w:t>
            </w:r>
          </w:p>
        </w:tc>
        <w:tc>
          <w:tcPr>
            <w:tcW w:w="1380" w:type="dxa"/>
            <w:vAlign w:val="bottom"/>
            <w:gridSpan w:val="2"/>
            <w:shd w:val="clear" w:color="auto" w:fill="CCEEFF"/>
          </w:tcPr>
          <w:p>
            <w:pPr>
              <w:ind w:left="640"/>
              <w:spacing w:after="0" w:line="183" w:lineRule="exact"/>
              <w:rPr>
                <w:sz w:val="20"/>
                <w:szCs w:val="20"/>
                <w:color w:val="auto"/>
              </w:rPr>
            </w:pPr>
            <w:r>
              <w:rPr>
                <w:rFonts w:ascii="Arial" w:cs="Arial" w:eastAsia="Arial" w:hAnsi="Arial"/>
                <w:sz w:val="16"/>
                <w:szCs w:val="16"/>
                <w:color w:val="auto"/>
              </w:rPr>
              <w:t>7,190,436</w:t>
            </w:r>
          </w:p>
        </w:tc>
        <w:tc>
          <w:tcPr>
            <w:tcW w:w="12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263,493</w:t>
            </w:r>
          </w:p>
        </w:tc>
        <w:tc>
          <w:tcPr>
            <w:tcW w:w="1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180,135</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ind w:left="940"/>
              <w:spacing w:after="0" w:line="183" w:lineRule="exact"/>
              <w:rPr>
                <w:sz w:val="20"/>
                <w:szCs w:val="20"/>
                <w:color w:val="auto"/>
              </w:rPr>
            </w:pPr>
            <w:r>
              <w:rPr>
                <w:rFonts w:ascii="Arial" w:cs="Arial" w:eastAsia="Arial" w:hAnsi="Arial"/>
                <w:sz w:val="16"/>
                <w:szCs w:val="16"/>
                <w:color w:val="auto"/>
                <w:w w:val="87"/>
              </w:rPr>
              <w:t>—</w:t>
            </w:r>
          </w:p>
        </w:tc>
        <w:tc>
          <w:tcPr>
            <w:tcW w:w="13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10,977,874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20"/>
                <w:szCs w:val="20"/>
                <w:color w:val="auto"/>
              </w:rPr>
            </w:pPr>
            <w:r>
              <w:rPr>
                <w:rFonts w:ascii="Arial" w:cs="Arial" w:eastAsia="Arial" w:hAnsi="Arial"/>
                <w:sz w:val="16"/>
                <w:szCs w:val="16"/>
                <w:color w:val="auto"/>
              </w:rPr>
              <w:t>Cassandra E. Harris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1,200,000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295,894</w:t>
            </w:r>
          </w:p>
        </w:tc>
        <w:tc>
          <w:tcPr>
            <w:tcW w:w="1380" w:type="dxa"/>
            <w:vAlign w:val="bottom"/>
            <w:gridSpan w:val="2"/>
          </w:tcPr>
          <w:p>
            <w:pPr>
              <w:ind w:left="640"/>
              <w:spacing w:after="0"/>
              <w:rPr>
                <w:sz w:val="20"/>
                <w:szCs w:val="20"/>
                <w:color w:val="auto"/>
              </w:rPr>
            </w:pPr>
            <w:r>
              <w:rPr>
                <w:rFonts w:ascii="Arial" w:cs="Arial" w:eastAsia="Arial" w:hAnsi="Arial"/>
                <w:sz w:val="16"/>
                <w:szCs w:val="16"/>
                <w:color w:val="auto"/>
              </w:rPr>
              <w:t>1,019,551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161,726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00" w:type="dxa"/>
            <w:vAlign w:val="bottom"/>
          </w:tcPr>
          <w:p>
            <w:pPr>
              <w:ind w:left="940"/>
              <w:spacing w:after="0"/>
              <w:rPr>
                <w:sz w:val="20"/>
                <w:szCs w:val="20"/>
                <w:color w:val="auto"/>
              </w:rPr>
            </w:pPr>
            <w:r>
              <w:rPr>
                <w:rFonts w:ascii="Arial" w:cs="Arial" w:eastAsia="Arial" w:hAnsi="Arial"/>
                <w:sz w:val="16"/>
                <w:szCs w:val="16"/>
                <w:color w:val="auto"/>
                <w:w w:val="87"/>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2,677,171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Scott E. Becker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314,040</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1,000,631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127,681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87"/>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2,382,352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20"/>
                <w:szCs w:val="20"/>
                <w:color w:val="auto"/>
              </w:rPr>
            </w:pPr>
            <w:r>
              <w:rPr>
                <w:rFonts w:ascii="Arial" w:cs="Arial" w:eastAsia="Arial" w:hAnsi="Arial"/>
                <w:sz w:val="16"/>
                <w:szCs w:val="16"/>
                <w:color w:val="auto"/>
              </w:rPr>
              <w:t>Parag D. Desai</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900,000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328,500</w:t>
            </w:r>
          </w:p>
        </w:tc>
        <w:tc>
          <w:tcPr>
            <w:tcW w:w="1380" w:type="dxa"/>
            <w:vAlign w:val="bottom"/>
            <w:gridSpan w:val="2"/>
          </w:tcPr>
          <w:p>
            <w:pPr>
              <w:ind w:left="640"/>
              <w:spacing w:after="0"/>
              <w:rPr>
                <w:sz w:val="20"/>
                <w:szCs w:val="20"/>
                <w:color w:val="auto"/>
              </w:rPr>
            </w:pPr>
            <w:r>
              <w:rPr>
                <w:rFonts w:ascii="Arial" w:cs="Arial" w:eastAsia="Arial" w:hAnsi="Arial"/>
                <w:sz w:val="16"/>
                <w:szCs w:val="16"/>
                <w:color w:val="auto"/>
              </w:rPr>
              <w:t>1,124,191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117,844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00" w:type="dxa"/>
            <w:vAlign w:val="bottom"/>
          </w:tcPr>
          <w:p>
            <w:pPr>
              <w:ind w:left="940"/>
              <w:spacing w:after="0"/>
              <w:rPr>
                <w:sz w:val="20"/>
                <w:szCs w:val="20"/>
                <w:color w:val="auto"/>
              </w:rPr>
            </w:pPr>
            <w:r>
              <w:rPr>
                <w:rFonts w:ascii="Arial" w:cs="Arial" w:eastAsia="Arial" w:hAnsi="Arial"/>
                <w:sz w:val="16"/>
                <w:szCs w:val="16"/>
                <w:color w:val="auto"/>
                <w:w w:val="87"/>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2,470,535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Andrew I. Gray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1,827,328</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2,775,342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165,262</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87"/>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6,117,932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Twenty-four (24) months of such named executive officer’s base salary.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Two times the average of the last two annual bonuses earned by the named executive officer.</w:t>
      </w:r>
    </w:p>
    <w:p>
      <w:pPr>
        <w:spacing w:after="0" w:line="103" w:lineRule="exact"/>
        <w:rPr>
          <w:rFonts w:ascii="Arial" w:cs="Arial" w:eastAsia="Arial" w:hAnsi="Arial"/>
          <w:sz w:val="18"/>
          <w:szCs w:val="18"/>
          <w:color w:val="auto"/>
        </w:rPr>
      </w:pPr>
    </w:p>
    <w:p>
      <w:pPr>
        <w:ind w:left="520" w:right="80" w:hanging="512"/>
        <w:spacing w:after="0" w:line="239"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value, based on the closing price of the Company’s common stock on the NYSE on January 30, 2026, of the previously unvested restricted stock and PSUs that would have vested on an accelerated basis upon an assumed Change of Control, followed by immediate involuntary termination of such named executive officer’s employment (other than for Cause) or by voluntary termination by such named executive officer for Good Reason, occurring on January 31, 2026.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 performance period. If the entity surviving the Change of Control does not assume an equity award or grant an Alternative Award, all restricted stock and PSUs will immediately vest in the amounts provided in column (c) above.</w:t>
      </w:r>
    </w:p>
    <w:p>
      <w:pPr>
        <w:spacing w:after="0" w:line="75" w:lineRule="exact"/>
        <w:rPr>
          <w:rFonts w:ascii="Arial" w:cs="Arial" w:eastAsia="Arial" w:hAnsi="Arial"/>
          <w:sz w:val="18"/>
          <w:szCs w:val="18"/>
          <w:color w:val="auto"/>
        </w:rPr>
      </w:pPr>
    </w:p>
    <w:p>
      <w:pPr>
        <w:ind w:left="520" w:right="40" w:hanging="512"/>
        <w:spacing w:after="0" w:line="271"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the present value, calculated using the annual federal short-term rate as determined under Section 1274(d) of the Code of (a) the annual cost to the Company of obtaining coverage under the welfare benefit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right="400"/>
        <w:spacing w:after="0" w:line="271" w:lineRule="auto"/>
        <w:rPr>
          <w:sz w:val="20"/>
          <w:szCs w:val="20"/>
          <w:color w:val="auto"/>
        </w:rPr>
      </w:pPr>
      <w:r>
        <w:rPr>
          <w:rFonts w:ascii="Arial" w:cs="Arial" w:eastAsia="Arial" w:hAnsi="Arial"/>
          <w:sz w:val="18"/>
          <w:szCs w:val="18"/>
          <w:color w:val="auto"/>
        </w:rPr>
        <w:t>plans discussed above and (b) the annualized value of fringe benefits provided to the named executive officer immediately prior to January 31, 2026.</w:t>
      </w:r>
    </w:p>
    <w:p>
      <w:pPr>
        <w:spacing w:after="0" w:line="46" w:lineRule="exact"/>
        <w:rPr>
          <w:sz w:val="20"/>
          <w:szCs w:val="20"/>
          <w:color w:val="auto"/>
        </w:rPr>
      </w:pPr>
    </w:p>
    <w:p>
      <w:pPr>
        <w:ind w:left="520" w:right="100" w:hanging="512"/>
        <w:spacing w:after="0" w:line="253"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Employment Protection Agreements entered into prior to Fiscal 2020 provide for the reimbursement of the excise tax payable on the Change of Control payment plus income taxes payable on the reimbursement. Beginning in Fiscal 2020, this provision was eliminated from the form of Employment Protection Agreement.</w:t>
      </w:r>
    </w:p>
    <w:p>
      <w:pPr>
        <w:spacing w:after="0" w:line="60" w:lineRule="exact"/>
        <w:rPr>
          <w:rFonts w:ascii="Arial" w:cs="Arial" w:eastAsia="Arial" w:hAnsi="Arial"/>
          <w:sz w:val="18"/>
          <w:szCs w:val="18"/>
          <w:color w:val="auto"/>
        </w:rPr>
      </w:pPr>
    </w:p>
    <w:p>
      <w:pPr>
        <w:ind w:left="520" w:hanging="512"/>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Figures in this table assume no reduction in severance benefits due to Sections 280G and 4999 of the Code, if applicable.</w:t>
      </w:r>
    </w:p>
    <w:p>
      <w:pPr>
        <w:spacing w:after="0" w:line="212" w:lineRule="exact"/>
        <w:rPr>
          <w:sz w:val="20"/>
          <w:szCs w:val="20"/>
          <w:color w:val="auto"/>
        </w:rPr>
      </w:pPr>
    </w:p>
    <w:p>
      <w:pPr>
        <w:jc w:val="both"/>
        <w:ind w:right="360" w:firstLine="374"/>
        <w:spacing w:after="0" w:line="242" w:lineRule="auto"/>
        <w:rPr>
          <w:sz w:val="20"/>
          <w:szCs w:val="20"/>
          <w:color w:val="auto"/>
        </w:rPr>
      </w:pPr>
      <w:r>
        <w:rPr>
          <w:rFonts w:ascii="Arial" w:cs="Arial" w:eastAsia="Arial" w:hAnsi="Arial"/>
          <w:sz w:val="18"/>
          <w:szCs w:val="18"/>
          <w:color w:val="auto"/>
        </w:rPr>
        <w:t>The following table shows, for each of the named executive officers, assuming that a Change of Control in which the surviving entity assumes equity awards or grants an Alternative Award, followed by immediate termination of his or her employment because of death or disability, occurred on January 31, 2026, the estimated amounts payable with respect to (a) salary, (b) bonus, (c) the value, based on the closing price of the Company’s common stock on the NYSE on January 30, 2026 (the last trading day of the fiscal year), of all previously unvested restricted stock and PSUs subject to accelerated vesting, (d) non-qualified deferred compensation, and (e) the total of items (a) through (d):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ind w:left="580"/>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Stock-Based</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4"/>
                <w:szCs w:val="14"/>
                <w:color w:val="auto"/>
              </w:rPr>
            </w:pPr>
          </w:p>
        </w:tc>
        <w:tc>
          <w:tcPr>
            <w:tcW w:w="1520" w:type="dxa"/>
            <w:vAlign w:val="bottom"/>
          </w:tcPr>
          <w:p>
            <w:pPr>
              <w:ind w:left="52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100" w:type="dxa"/>
            <w:vAlign w:val="bottom"/>
          </w:tcPr>
          <w:p>
            <w:pPr>
              <w:spacing w:after="0"/>
              <w:rPr>
                <w:sz w:val="14"/>
                <w:szCs w:val="14"/>
                <w:color w:val="auto"/>
              </w:rPr>
            </w:pPr>
          </w:p>
        </w:tc>
        <w:tc>
          <w:tcPr>
            <w:tcW w:w="1660" w:type="dxa"/>
            <w:vAlign w:val="bottom"/>
          </w:tcPr>
          <w:p>
            <w:pPr>
              <w:jc w:val="right"/>
              <w:ind w:right="588"/>
              <w:spacing w:after="0"/>
              <w:rPr>
                <w:sz w:val="20"/>
                <w:szCs w:val="20"/>
                <w:color w:val="auto"/>
              </w:rPr>
            </w:pPr>
            <w:r>
              <w:rPr>
                <w:rFonts w:ascii="Arial" w:cs="Arial" w:eastAsia="Arial" w:hAnsi="Arial"/>
                <w:sz w:val="14"/>
                <w:szCs w:val="14"/>
                <w:b w:val="1"/>
                <w:bCs w:val="1"/>
                <w:color w:val="auto"/>
              </w:rPr>
              <w:t>Total</w:t>
            </w:r>
          </w:p>
        </w:tc>
      </w:t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(a)(1)</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(b)(2)</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(c)(3)</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(e)(4)</w:t>
            </w:r>
          </w:p>
        </w:tc>
      </w:t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646,905</w:t>
            </w:r>
          </w:p>
        </w:tc>
        <w:tc>
          <w:tcPr>
            <w:tcW w:w="1620" w:type="dxa"/>
            <w:vAlign w:val="bottom"/>
            <w:gridSpan w:val="2"/>
            <w:shd w:val="clear" w:color="auto" w:fill="CCEEFF"/>
          </w:tcPr>
          <w:p>
            <w:pPr>
              <w:jc w:val="right"/>
              <w:ind w:right="268"/>
              <w:spacing w:after="0" w:line="196" w:lineRule="exact"/>
              <w:rPr>
                <w:sz w:val="20"/>
                <w:szCs w:val="20"/>
                <w:color w:val="auto"/>
              </w:rPr>
            </w:pPr>
            <w:r>
              <w:rPr>
                <w:rFonts w:ascii="Arial" w:cs="Arial" w:eastAsia="Arial" w:hAnsi="Arial"/>
                <w:sz w:val="18"/>
                <w:szCs w:val="18"/>
                <w:color w:val="auto"/>
              </w:rPr>
              <w:t>4,892,256</w:t>
            </w:r>
          </w:p>
        </w:tc>
        <w:tc>
          <w:tcPr>
            <w:tcW w:w="15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180,135</w:t>
            </w:r>
          </w:p>
        </w:tc>
        <w:tc>
          <w:tcPr>
            <w:tcW w:w="1760" w:type="dxa"/>
            <w:vAlign w:val="bottom"/>
            <w:gridSpan w:val="2"/>
            <w:shd w:val="clear" w:color="auto" w:fill="CCEEFF"/>
          </w:tcPr>
          <w:p>
            <w:pPr>
              <w:jc w:val="right"/>
              <w:ind w:right="288"/>
              <w:spacing w:after="0" w:line="196" w:lineRule="exact"/>
              <w:rPr>
                <w:sz w:val="20"/>
                <w:szCs w:val="20"/>
                <w:color w:val="auto"/>
              </w:rPr>
            </w:pPr>
            <w:r>
              <w:rPr>
                <w:rFonts w:ascii="Arial" w:cs="Arial" w:eastAsia="Arial" w:hAnsi="Arial"/>
                <w:sz w:val="18"/>
                <w:szCs w:val="18"/>
                <w:color w:val="auto"/>
              </w:rPr>
              <w:t>5,719,296</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00" w:type="dxa"/>
            <w:vAlign w:val="bottom"/>
          </w:tcPr>
          <w:p>
            <w:pPr>
              <w:spacing w:after="0"/>
              <w:rPr>
                <w:sz w:val="17"/>
                <w:szCs w:val="17"/>
                <w:color w:val="auto"/>
              </w:rPr>
            </w:pPr>
          </w:p>
        </w:tc>
        <w:tc>
          <w:tcPr>
            <w:tcW w:w="15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147,947</w:t>
            </w:r>
          </w:p>
        </w:tc>
        <w:tc>
          <w:tcPr>
            <w:tcW w:w="162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604,335</w:t>
            </w:r>
          </w:p>
        </w:tc>
        <w:tc>
          <w:tcPr>
            <w:tcW w:w="100" w:type="dxa"/>
            <w:vAlign w:val="bottom"/>
          </w:tcPr>
          <w:p>
            <w:pPr>
              <w:spacing w:after="0"/>
              <w:rPr>
                <w:sz w:val="17"/>
                <w:szCs w:val="17"/>
                <w:color w:val="auto"/>
              </w:rPr>
            </w:pPr>
          </w:p>
        </w:tc>
        <w:tc>
          <w:tcPr>
            <w:tcW w:w="1440" w:type="dxa"/>
            <w:vAlign w:val="bottom"/>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752,282</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157,020</w:t>
            </w:r>
          </w:p>
        </w:tc>
        <w:tc>
          <w:tcPr>
            <w:tcW w:w="162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681,865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838,885</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00" w:type="dxa"/>
            <w:vAlign w:val="bottom"/>
          </w:tcPr>
          <w:p>
            <w:pPr>
              <w:spacing w:after="0"/>
              <w:rPr>
                <w:sz w:val="17"/>
                <w:szCs w:val="17"/>
                <w:color w:val="auto"/>
              </w:rPr>
            </w:pPr>
          </w:p>
        </w:tc>
        <w:tc>
          <w:tcPr>
            <w:tcW w:w="15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164,250</w:t>
            </w:r>
          </w:p>
        </w:tc>
        <w:tc>
          <w:tcPr>
            <w:tcW w:w="162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766,111</w:t>
            </w:r>
          </w:p>
        </w:tc>
        <w:tc>
          <w:tcPr>
            <w:tcW w:w="100" w:type="dxa"/>
            <w:vAlign w:val="bottom"/>
          </w:tcPr>
          <w:p>
            <w:pPr>
              <w:spacing w:after="0"/>
              <w:rPr>
                <w:sz w:val="17"/>
                <w:szCs w:val="17"/>
                <w:color w:val="auto"/>
              </w:rPr>
            </w:pPr>
          </w:p>
        </w:tc>
        <w:tc>
          <w:tcPr>
            <w:tcW w:w="1440" w:type="dxa"/>
            <w:vAlign w:val="bottom"/>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930,361</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913,664</w:t>
            </w:r>
          </w:p>
        </w:tc>
        <w:tc>
          <w:tcPr>
            <w:tcW w:w="162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1,525,621</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2,439,285</w:t>
            </w:r>
          </w:p>
        </w:tc>
      </w:tr>
    </w:tbl>
    <w:p>
      <w:pPr>
        <w:spacing w:after="0" w:line="143"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Accrued and unpaid salary of the named executive officers at January 31, 2026.</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average of the last two annual bonuses earned by the named executive officer.</w:t>
      </w:r>
    </w:p>
    <w:p>
      <w:pPr>
        <w:spacing w:after="0" w:line="103" w:lineRule="exact"/>
        <w:rPr>
          <w:rFonts w:ascii="Arial" w:cs="Arial" w:eastAsia="Arial" w:hAnsi="Arial"/>
          <w:sz w:val="18"/>
          <w:szCs w:val="18"/>
          <w:color w:val="auto"/>
        </w:rPr>
      </w:pPr>
    </w:p>
    <w:p>
      <w:pPr>
        <w:ind w:left="520" w:right="1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value, based on the closing price of the Company’s common stock on the NYSE on January 30, 2026, of the previously unvested restricted stock and PSUs that would have vested on an accelerated basis upon an assumed Change of Control, followed by immediate termination of such named executive officer’s employment because of death or disability, occurring on January 31, 2026.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 performance period. The value of the restricted stock is equal to the number of restricted shares earned during the period ended January 31, 2026 multiplied by the appropriate proration factor.</w:t>
      </w:r>
    </w:p>
    <w:p>
      <w:pPr>
        <w:spacing w:after="0" w:line="72" w:lineRule="exact"/>
        <w:rPr>
          <w:rFonts w:ascii="Arial" w:cs="Arial" w:eastAsia="Arial" w:hAnsi="Arial"/>
          <w:sz w:val="18"/>
          <w:szCs w:val="18"/>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Figures in this table assume no reduction in severance benefits due to Sections 280G and 4999 of the Code,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firstLine="382"/>
        <w:spacing w:after="0" w:line="242" w:lineRule="auto"/>
        <w:rPr>
          <w:sz w:val="20"/>
          <w:szCs w:val="20"/>
          <w:color w:val="auto"/>
        </w:rPr>
      </w:pPr>
      <w:r>
        <w:rPr>
          <w:rFonts w:ascii="Arial" w:cs="Arial" w:eastAsia="Arial" w:hAnsi="Arial"/>
          <w:sz w:val="18"/>
          <w:szCs w:val="18"/>
          <w:color w:val="auto"/>
        </w:rPr>
        <w:t>The following table shows, for each of the named executive officers, assuming such named executive officer was involuntarily terminated without Cause on January 31, 2026, and no Change of Control had occurred, the estimated amounts payable with respect to (a) salary, (b) the value, based on the closing price of the Company’s common stock on the NYSE on January 30, 2026 (the last trading day of the fiscal year), of previously unvested restricted stock granted prior to 2024 and PSUs subject to accelerated vesting, (c) non-qualified deferred compensation, (d) the value of the COBRA Premiums (as defined in the Executive Severance Plan), and (e) the total of items (a) through (d):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Accelerated</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ind w:right="568"/>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Stock-Based</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b w:val="1"/>
                <w:bCs w:val="1"/>
                <w:color w:val="auto"/>
              </w:rPr>
              <w:t>COBRA</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ind w:right="38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120" w:type="dxa"/>
            <w:vAlign w:val="bottom"/>
          </w:tcPr>
          <w:p>
            <w:pPr>
              <w:spacing w:after="0"/>
              <w:rPr>
                <w:sz w:val="14"/>
                <w:szCs w:val="14"/>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Premiums</w:t>
            </w:r>
          </w:p>
        </w:tc>
        <w:tc>
          <w:tcPr>
            <w:tcW w:w="10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(a)(1)</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(b)(2)</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(d)(3)</w:t>
            </w:r>
          </w:p>
        </w:tc>
        <w:tc>
          <w:tcPr>
            <w:tcW w:w="100" w:type="dxa"/>
            <w:vAlign w:val="bottom"/>
          </w:tcPr>
          <w:p>
            <w:pPr>
              <w:spacing w:after="0"/>
              <w:rPr>
                <w:sz w:val="14"/>
                <w:szCs w:val="14"/>
                <w:color w:val="auto"/>
              </w:rPr>
            </w:pPr>
          </w:p>
        </w:tc>
        <w:tc>
          <w:tcPr>
            <w:tcW w:w="1520" w:type="dxa"/>
            <w:vAlign w:val="bottom"/>
          </w:tcPr>
          <w:p>
            <w:pPr>
              <w:jc w:val="right"/>
              <w:ind w:right="608"/>
              <w:spacing w:after="0"/>
              <w:rPr>
                <w:sz w:val="20"/>
                <w:szCs w:val="20"/>
                <w:color w:val="auto"/>
              </w:rPr>
            </w:pPr>
            <w:r>
              <w:rPr>
                <w:rFonts w:ascii="Arial" w:cs="Arial" w:eastAsia="Arial" w:hAnsi="Arial"/>
                <w:sz w:val="14"/>
                <w:szCs w:val="14"/>
                <w:b w:val="1"/>
                <w:bCs w:val="1"/>
                <w:color w:val="auto"/>
              </w:rPr>
              <w:t>(d)</w:t>
            </w: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6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r>
      <w:tr>
        <w:trPr>
          <w:trHeight w:val="196"/>
        </w:trPr>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7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2,050,000</w:t>
            </w:r>
          </w:p>
        </w:tc>
        <w:tc>
          <w:tcPr>
            <w:tcW w:w="170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2,025,456</w:t>
            </w:r>
          </w:p>
        </w:tc>
        <w:tc>
          <w:tcPr>
            <w:tcW w:w="15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180,135</w:t>
            </w:r>
          </w:p>
        </w:tc>
        <w:tc>
          <w:tcPr>
            <w:tcW w:w="156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38,077</w:t>
            </w:r>
          </w:p>
        </w:tc>
        <w:tc>
          <w:tcPr>
            <w:tcW w:w="1620" w:type="dxa"/>
            <w:vAlign w:val="bottom"/>
            <w:gridSpan w:val="2"/>
            <w:shd w:val="clear" w:color="auto" w:fill="CCEEFF"/>
          </w:tcPr>
          <w:p>
            <w:pPr>
              <w:jc w:val="right"/>
              <w:ind w:right="308"/>
              <w:spacing w:after="0" w:line="196" w:lineRule="exact"/>
              <w:rPr>
                <w:sz w:val="20"/>
                <w:szCs w:val="20"/>
                <w:color w:val="auto"/>
              </w:rPr>
            </w:pPr>
            <w:r>
              <w:rPr>
                <w:rFonts w:ascii="Arial" w:cs="Arial" w:eastAsia="Arial" w:hAnsi="Arial"/>
                <w:sz w:val="18"/>
                <w:szCs w:val="18"/>
                <w:color w:val="auto"/>
              </w:rPr>
              <w:t>4,293,668</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72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600,000</w:t>
            </w:r>
          </w:p>
        </w:tc>
        <w:tc>
          <w:tcPr>
            <w:tcW w:w="170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127,292</w:t>
            </w:r>
          </w:p>
        </w:tc>
        <w:tc>
          <w:tcPr>
            <w:tcW w:w="120" w:type="dxa"/>
            <w:vAlign w:val="bottom"/>
          </w:tcPr>
          <w:p>
            <w:pPr>
              <w:spacing w:after="0"/>
              <w:rPr>
                <w:sz w:val="17"/>
                <w:szCs w:val="17"/>
                <w:color w:val="auto"/>
              </w:rPr>
            </w:pPr>
          </w:p>
        </w:tc>
        <w:tc>
          <w:tcPr>
            <w:tcW w:w="1420" w:type="dxa"/>
            <w:vAlign w:val="bottom"/>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19,038</w:t>
            </w:r>
          </w:p>
        </w:tc>
        <w:tc>
          <w:tcPr>
            <w:tcW w:w="162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746,330</w:t>
            </w: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7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470,000</w:t>
            </w:r>
          </w:p>
        </w:tc>
        <w:tc>
          <w:tcPr>
            <w:tcW w:w="17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288,839</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14,610</w:t>
            </w:r>
          </w:p>
        </w:tc>
        <w:tc>
          <w:tcPr>
            <w:tcW w:w="162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773,449</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72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450,000</w:t>
            </w:r>
          </w:p>
        </w:tc>
        <w:tc>
          <w:tcPr>
            <w:tcW w:w="170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324,730</w:t>
            </w:r>
          </w:p>
        </w:tc>
        <w:tc>
          <w:tcPr>
            <w:tcW w:w="120" w:type="dxa"/>
            <w:vAlign w:val="bottom"/>
          </w:tcPr>
          <w:p>
            <w:pPr>
              <w:spacing w:after="0"/>
              <w:rPr>
                <w:sz w:val="17"/>
                <w:szCs w:val="17"/>
                <w:color w:val="auto"/>
              </w:rPr>
            </w:pPr>
          </w:p>
        </w:tc>
        <w:tc>
          <w:tcPr>
            <w:tcW w:w="1420" w:type="dxa"/>
            <w:vAlign w:val="bottom"/>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5,866</w:t>
            </w:r>
          </w:p>
        </w:tc>
        <w:tc>
          <w:tcPr>
            <w:tcW w:w="162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780,596</w:t>
            </w: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7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675,000</w:t>
            </w:r>
          </w:p>
        </w:tc>
        <w:tc>
          <w:tcPr>
            <w:tcW w:w="17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731,464</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18,294</w:t>
            </w:r>
          </w:p>
        </w:tc>
        <w:tc>
          <w:tcPr>
            <w:tcW w:w="162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1,424,758</w:t>
            </w:r>
          </w:p>
        </w:tc>
      </w:tr>
    </w:tbl>
    <w:p>
      <w:pPr>
        <w:spacing w:after="0" w:line="143" w:lineRule="exact"/>
        <w:rPr>
          <w:sz w:val="20"/>
          <w:szCs w:val="20"/>
          <w:color w:val="auto"/>
        </w:rPr>
      </w:pPr>
    </w:p>
    <w:p>
      <w:pPr>
        <w:ind w:left="520" w:hanging="512"/>
        <w:spacing w:after="0" w:line="271"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Twelve (12) months of such named executive officer’s base salary or, in the case of the chief executive officer of the Company, twenty-four (24) months of such executive’s base salary pursuant to the Executive Severance Plan.</w:t>
      </w:r>
    </w:p>
    <w:p>
      <w:pPr>
        <w:spacing w:after="0" w:line="45" w:lineRule="exact"/>
        <w:rPr>
          <w:rFonts w:ascii="Arial" w:cs="Arial" w:eastAsia="Arial" w:hAnsi="Arial"/>
          <w:sz w:val="18"/>
          <w:szCs w:val="18"/>
          <w:color w:val="auto"/>
        </w:rPr>
      </w:pPr>
    </w:p>
    <w:p>
      <w:pPr>
        <w:ind w:left="520" w:right="100" w:hanging="512"/>
        <w:spacing w:after="0" w:line="239"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value, based on the closing price of the Company’s common stock on the NYSE on January 30, 2026, of the previously unvested restricted stock granted prior to 2024 and PSUs that would have vested on an accelerated basis upon such named executive officer’s involuntary termination without Cause. With respect to the PSUs granted on (i) April 4, 2023, the performance threshold was not met as of January 31, 2026 and no shares were earned, (ii) April 4, 2024, the value of the PSUs is equal to the number of PSUs earned during the performance period multiplied by the appropriate proration factor and (iii) July 30, 2025, the value of the PSUs, if any, cannot be determined at this time because the performance period does not end until January 29, 2028; however, each named executive officer remains eligible for a pro-rated portion of earned PSUs (capped at target) based on actual results at the end of the performance period, subject to the appropriate proration factor. As such, for the PSUs granted on July 30, 2025, the values in this column reflect the applicable pro-rated portion of earned PSUs assuming target performance is achieved. The value of the restricted stock is equal to the number of shares earned during the period ended January 31, 2026 multiplied by the appropriate proration factor</w:t>
      </w:r>
    </w:p>
    <w:p>
      <w:pPr>
        <w:spacing w:after="0" w:line="71" w:lineRule="exact"/>
        <w:rPr>
          <w:rFonts w:ascii="Arial" w:cs="Arial" w:eastAsia="Arial" w:hAnsi="Arial"/>
          <w:sz w:val="18"/>
          <w:szCs w:val="18"/>
          <w:color w:val="auto"/>
        </w:rPr>
      </w:pPr>
    </w:p>
    <w:p>
      <w:pPr>
        <w:ind w:left="520" w:hanging="512"/>
        <w:spacing w:after="0" w:line="271"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Twelve (12) months of COBRA Premiums (as defined in the Executive Severance Plan) or, in the case of an employee who is the chief executive officer of the Company, twenty-four (24) months of COBRA Premiums pursuant to the Executive Severance Plan.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color w:val="auto"/>
        </w:rPr>
        <w:t>The following table shows, for each of the named executive officers, assuming such named executive officer died or became disabled on January 31, 2026, and no Change of Control had occurred, the estimated amounts payable with respect to (a) salary, (b) the value, based on the closing price of the Company’s common stock on the NYSE on January 30, 2026 (the last trading day of the fiscal year), of all previously unvested restricted stock and PSUs subject to accelerated vesting, (c) non-qualified deferred compensation, and (d) the total of items (a) through (c):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740"/>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Stock-Based</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56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100" w:type="dxa"/>
            <w:vAlign w:val="bottom"/>
          </w:tcPr>
          <w:p>
            <w:pPr>
              <w:spacing w:after="0"/>
              <w:rPr>
                <w:sz w:val="14"/>
                <w:szCs w:val="14"/>
                <w:color w:val="auto"/>
              </w:rPr>
            </w:pPr>
          </w:p>
        </w:tc>
        <w:tc>
          <w:tcPr>
            <w:tcW w:w="1880" w:type="dxa"/>
            <w:vAlign w:val="bottom"/>
          </w:tcPr>
          <w:p>
            <w:pPr>
              <w:jc w:val="right"/>
              <w:ind w:right="708"/>
              <w:spacing w:after="0"/>
              <w:rPr>
                <w:sz w:val="20"/>
                <w:szCs w:val="20"/>
                <w:color w:val="auto"/>
              </w:rPr>
            </w:pPr>
            <w:r>
              <w:rPr>
                <w:rFonts w:ascii="Arial" w:cs="Arial" w:eastAsia="Arial" w:hAnsi="Arial"/>
                <w:sz w:val="14"/>
                <w:szCs w:val="14"/>
                <w:b w:val="1"/>
                <w:bCs w:val="1"/>
                <w:color w:val="auto"/>
              </w:rPr>
              <w:t>Total</w:t>
            </w:r>
          </w:p>
        </w:tc>
      </w:tr>
      <w:tr>
        <w:trPr>
          <w:trHeight w:val="162"/>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9"/>
              </w:rPr>
              <w:t>(a)(1)</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(b)(2)</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00" w:type="dxa"/>
            <w:vAlign w:val="bottom"/>
          </w:tcPr>
          <w:p>
            <w:pPr>
              <w:spacing w:after="0"/>
              <w:rPr>
                <w:sz w:val="14"/>
                <w:szCs w:val="14"/>
                <w:color w:val="auto"/>
              </w:rPr>
            </w:pPr>
          </w:p>
        </w:tc>
        <w:tc>
          <w:tcPr>
            <w:tcW w:w="1880" w:type="dxa"/>
            <w:vAlign w:val="bottom"/>
          </w:tcPr>
          <w:p>
            <w:pPr>
              <w:jc w:val="right"/>
              <w:ind w:right="788"/>
              <w:spacing w:after="0"/>
              <w:rPr>
                <w:sz w:val="20"/>
                <w:szCs w:val="20"/>
                <w:color w:val="auto"/>
              </w:rPr>
            </w:pPr>
            <w:r>
              <w:rPr>
                <w:rFonts w:ascii="Arial" w:cs="Arial" w:eastAsia="Arial" w:hAnsi="Arial"/>
                <w:sz w:val="14"/>
                <w:szCs w:val="14"/>
                <w:b w:val="1"/>
                <w:bCs w:val="1"/>
                <w:color w:val="auto"/>
              </w:rPr>
              <w:t>(d)</w:t>
            </w:r>
          </w:p>
        </w:tc>
      </w:tr>
      <w:tr>
        <w:trPr>
          <w:trHeight w:val="171"/>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82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8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8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48"/>
              <w:spacing w:after="0" w:line="196" w:lineRule="exact"/>
              <w:rPr>
                <w:sz w:val="20"/>
                <w:szCs w:val="20"/>
                <w:color w:val="auto"/>
              </w:rPr>
            </w:pPr>
            <w:r>
              <w:rPr>
                <w:rFonts w:ascii="Arial" w:cs="Arial" w:eastAsia="Arial" w:hAnsi="Arial"/>
                <w:sz w:val="18"/>
                <w:szCs w:val="18"/>
                <w:color w:val="auto"/>
              </w:rPr>
              <w:t>4,892,256</w:t>
            </w:r>
          </w:p>
        </w:tc>
        <w:tc>
          <w:tcPr>
            <w:tcW w:w="17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180,135</w:t>
            </w:r>
          </w:p>
        </w:tc>
        <w:tc>
          <w:tcPr>
            <w:tcW w:w="1980" w:type="dxa"/>
            <w:vAlign w:val="bottom"/>
            <w:gridSpan w:val="2"/>
            <w:shd w:val="clear" w:color="auto" w:fill="CCEEFF"/>
          </w:tcPr>
          <w:p>
            <w:pPr>
              <w:jc w:val="right"/>
              <w:ind w:right="328"/>
              <w:spacing w:after="0" w:line="196" w:lineRule="exact"/>
              <w:rPr>
                <w:sz w:val="20"/>
                <w:szCs w:val="20"/>
                <w:color w:val="auto"/>
              </w:rPr>
            </w:pPr>
            <w:r>
              <w:rPr>
                <w:rFonts w:ascii="Arial" w:cs="Arial" w:eastAsia="Arial" w:hAnsi="Arial"/>
                <w:sz w:val="18"/>
                <w:szCs w:val="18"/>
                <w:color w:val="auto"/>
              </w:rPr>
              <w:t>5,072,391</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20" w:type="dxa"/>
            <w:vAlign w:val="bottom"/>
          </w:tcPr>
          <w:p>
            <w:pPr>
              <w:spacing w:after="0"/>
              <w:rPr>
                <w:sz w:val="17"/>
                <w:szCs w:val="17"/>
                <w:color w:val="auto"/>
              </w:rPr>
            </w:pPr>
          </w:p>
        </w:tc>
        <w:tc>
          <w:tcPr>
            <w:tcW w:w="1820" w:type="dxa"/>
            <w:vAlign w:val="bottom"/>
          </w:tcPr>
          <w:p>
            <w:pPr>
              <w:ind w:left="104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604,335</w:t>
            </w:r>
          </w:p>
        </w:tc>
        <w:tc>
          <w:tcPr>
            <w:tcW w:w="100" w:type="dxa"/>
            <w:vAlign w:val="bottom"/>
          </w:tcPr>
          <w:p>
            <w:pPr>
              <w:spacing w:after="0"/>
              <w:rPr>
                <w:sz w:val="17"/>
                <w:szCs w:val="17"/>
                <w:color w:val="auto"/>
              </w:rPr>
            </w:pPr>
          </w:p>
        </w:tc>
        <w:tc>
          <w:tcPr>
            <w:tcW w:w="1680" w:type="dxa"/>
            <w:vAlign w:val="bottom"/>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8"/>
              <w:spacing w:after="0" w:line="202" w:lineRule="exact"/>
              <w:rPr>
                <w:sz w:val="20"/>
                <w:szCs w:val="20"/>
                <w:color w:val="auto"/>
              </w:rPr>
            </w:pPr>
            <w:r>
              <w:rPr>
                <w:rFonts w:ascii="Arial" w:cs="Arial" w:eastAsia="Arial" w:hAnsi="Arial"/>
                <w:sz w:val="18"/>
                <w:szCs w:val="18"/>
                <w:color w:val="auto"/>
              </w:rPr>
              <w:t>604,335</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681,865</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681,865</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20" w:type="dxa"/>
            <w:vAlign w:val="bottom"/>
          </w:tcPr>
          <w:p>
            <w:pPr>
              <w:spacing w:after="0"/>
              <w:rPr>
                <w:sz w:val="17"/>
                <w:szCs w:val="17"/>
                <w:color w:val="auto"/>
              </w:rPr>
            </w:pPr>
          </w:p>
        </w:tc>
        <w:tc>
          <w:tcPr>
            <w:tcW w:w="1820" w:type="dxa"/>
            <w:vAlign w:val="bottom"/>
          </w:tcPr>
          <w:p>
            <w:pPr>
              <w:ind w:left="104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766,111</w:t>
            </w:r>
          </w:p>
        </w:tc>
        <w:tc>
          <w:tcPr>
            <w:tcW w:w="100" w:type="dxa"/>
            <w:vAlign w:val="bottom"/>
          </w:tcPr>
          <w:p>
            <w:pPr>
              <w:spacing w:after="0"/>
              <w:rPr>
                <w:sz w:val="17"/>
                <w:szCs w:val="17"/>
                <w:color w:val="auto"/>
              </w:rPr>
            </w:pPr>
          </w:p>
        </w:tc>
        <w:tc>
          <w:tcPr>
            <w:tcW w:w="1680" w:type="dxa"/>
            <w:vAlign w:val="bottom"/>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8"/>
              <w:spacing w:after="0" w:line="202" w:lineRule="exact"/>
              <w:rPr>
                <w:sz w:val="20"/>
                <w:szCs w:val="20"/>
                <w:color w:val="auto"/>
              </w:rPr>
            </w:pPr>
            <w:r>
              <w:rPr>
                <w:rFonts w:ascii="Arial" w:cs="Arial" w:eastAsia="Arial" w:hAnsi="Arial"/>
                <w:sz w:val="18"/>
                <w:szCs w:val="18"/>
                <w:color w:val="auto"/>
              </w:rPr>
              <w:t>766,111</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1,525,621</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1,525,621</w:t>
            </w:r>
          </w:p>
        </w:tc>
      </w:tr>
    </w:tbl>
    <w:p>
      <w:pPr>
        <w:spacing w:after="0" w:line="143"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Accrued and unpaid salary of the named executive officers at January 31, 2026.</w:t>
      </w:r>
    </w:p>
    <w:p>
      <w:pPr>
        <w:spacing w:after="0" w:line="103" w:lineRule="exact"/>
        <w:rPr>
          <w:rFonts w:ascii="Arial" w:cs="Arial" w:eastAsia="Arial" w:hAnsi="Arial"/>
          <w:sz w:val="18"/>
          <w:szCs w:val="18"/>
          <w:color w:val="auto"/>
        </w:rPr>
      </w:pPr>
    </w:p>
    <w:p>
      <w:pPr>
        <w:ind w:left="520" w:right="120" w:hanging="512"/>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value, based on the closing price of the Company’s common stock on the NYSE on January 30, 2026, of the previously unvested restricted stock and PSUs that would have vested on an accelerated basis upon such named executive officer’s death or disability.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 performance period. The value of restricted stock is equal to the number of restricted shares earned during the period ended January 31, 2026 multiplied by the appropriate proration factor.</w:t>
      </w:r>
    </w:p>
    <w:p>
      <w:pPr>
        <w:spacing w:after="0" w:line="185"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The following table shows, for each of the named executive officers, assuming such named executive officer retired on January 31, 2026, and no Change of Control had occurred, the estimated amounts payable with respect to (a) salary, (b) the value, based on the closing price of the Company’s common stock on the NYSE on January 30, 2026 (the last trading day of the fiscal year), of all previously unvested PSUs subject to accelerated vesting, (c) non-qualified deferred compensation, and (d) the total of items (a) through (c):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ind w:left="52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Stock-Based</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ind w:left="32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12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(a)(1)</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(b)(2)</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Arial" w:cs="Arial" w:eastAsia="Arial" w:hAnsi="Arial"/>
                <w:sz w:val="14"/>
                <w:szCs w:val="14"/>
                <w:b w:val="1"/>
                <w:bCs w:val="1"/>
                <w:color w:val="auto"/>
              </w:rPr>
              <w:t>(d)</w:t>
            </w:r>
          </w:p>
        </w:tc>
      </w:tr>
      <w:tr>
        <w:trPr>
          <w:trHeight w:val="171"/>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14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ind w:left="74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1,473,956</w:t>
            </w:r>
          </w:p>
        </w:tc>
        <w:tc>
          <w:tcPr>
            <w:tcW w:w="13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180,135</w:t>
            </w:r>
          </w:p>
        </w:tc>
        <w:tc>
          <w:tcPr>
            <w:tcW w:w="14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1,654,091</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40" w:type="dxa"/>
            <w:vAlign w:val="bottom"/>
          </w:tcPr>
          <w:p>
            <w:pPr>
              <w:spacing w:after="0"/>
              <w:rPr>
                <w:sz w:val="17"/>
                <w:szCs w:val="17"/>
                <w:color w:val="auto"/>
              </w:rPr>
            </w:pPr>
          </w:p>
        </w:tc>
        <w:tc>
          <w:tcPr>
            <w:tcW w:w="140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127,292</w:t>
            </w:r>
          </w:p>
        </w:tc>
        <w:tc>
          <w:tcPr>
            <w:tcW w:w="100" w:type="dxa"/>
            <w:vAlign w:val="bottom"/>
          </w:tcPr>
          <w:p>
            <w:pPr>
              <w:spacing w:after="0"/>
              <w:rPr>
                <w:sz w:val="17"/>
                <w:szCs w:val="17"/>
                <w:color w:val="auto"/>
              </w:rPr>
            </w:pPr>
          </w:p>
        </w:tc>
        <w:tc>
          <w:tcPr>
            <w:tcW w:w="1280" w:type="dxa"/>
            <w:vAlign w:val="bottom"/>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127,292</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207,100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207,100</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40" w:type="dxa"/>
            <w:vAlign w:val="bottom"/>
          </w:tcPr>
          <w:p>
            <w:pPr>
              <w:spacing w:after="0"/>
              <w:rPr>
                <w:sz w:val="17"/>
                <w:szCs w:val="17"/>
                <w:color w:val="auto"/>
              </w:rPr>
            </w:pPr>
          </w:p>
        </w:tc>
        <w:tc>
          <w:tcPr>
            <w:tcW w:w="140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232,624</w:t>
            </w:r>
          </w:p>
        </w:tc>
        <w:tc>
          <w:tcPr>
            <w:tcW w:w="100" w:type="dxa"/>
            <w:vAlign w:val="bottom"/>
          </w:tcPr>
          <w:p>
            <w:pPr>
              <w:spacing w:after="0"/>
              <w:rPr>
                <w:sz w:val="17"/>
                <w:szCs w:val="17"/>
                <w:color w:val="auto"/>
              </w:rPr>
            </w:pPr>
          </w:p>
        </w:tc>
        <w:tc>
          <w:tcPr>
            <w:tcW w:w="1280" w:type="dxa"/>
            <w:vAlign w:val="bottom"/>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232,624</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731,464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731,464</w:t>
            </w:r>
          </w:p>
        </w:tc>
      </w:tr>
    </w:tbl>
    <w:p>
      <w:pPr>
        <w:spacing w:after="0" w:line="130"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Accrued and unpaid salary of the named executive officers at January 31, 2026.</w:t>
      </w:r>
    </w:p>
    <w:p>
      <w:pPr>
        <w:spacing w:after="0" w:line="103" w:lineRule="exact"/>
        <w:rPr>
          <w:rFonts w:ascii="Arial" w:cs="Arial" w:eastAsia="Arial" w:hAnsi="Arial"/>
          <w:sz w:val="18"/>
          <w:szCs w:val="18"/>
          <w:color w:val="auto"/>
        </w:rPr>
      </w:pPr>
    </w:p>
    <w:p>
      <w:pPr>
        <w:ind w:left="520" w:right="80" w:hanging="512"/>
        <w:spacing w:after="0" w:line="244"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value, based on the closing price of the Company’s common stock on the NYSE on January 30, 2026, of the previously unvested PSUs that would have vested on an accelerated basis upon such named executive officer’s retirement.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performance period. The PSUs earned or estimated to be earned are multiplied by the appropriate proration factor.</w:t>
      </w:r>
    </w:p>
    <w:p>
      <w:pPr>
        <w:spacing w:after="0" w:line="212" w:lineRule="exact"/>
        <w:rPr>
          <w:sz w:val="20"/>
          <w:szCs w:val="20"/>
          <w:color w:val="auto"/>
        </w:rPr>
      </w:pPr>
    </w:p>
    <w:p>
      <w:pPr>
        <w:ind w:right="60" w:firstLine="374"/>
        <w:spacing w:after="0" w:line="247" w:lineRule="auto"/>
        <w:rPr>
          <w:sz w:val="20"/>
          <w:szCs w:val="20"/>
          <w:color w:val="auto"/>
        </w:rPr>
      </w:pPr>
      <w:r>
        <w:rPr>
          <w:rFonts w:ascii="Arial" w:cs="Arial" w:eastAsia="Arial" w:hAnsi="Arial"/>
          <w:sz w:val="18"/>
          <w:szCs w:val="18"/>
          <w:color w:val="auto"/>
        </w:rPr>
        <w:t>The following table shows, for each of the named executive officers, assuming such named executive officer was terminated by the named executive officer for Good Reason (as defined in the Executive Severance Plan) on January 31, 2026, and no Change of Control had occurred, the estimated amounts payable with respect to (a) salary, (b) the value of the COBRA Premiums (as defined in the Executive Severance Plan, and (c) the total of items (a) and (b):</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4"/>
                <w:szCs w:val="14"/>
                <w:color w:val="auto"/>
              </w:rPr>
            </w:pPr>
          </w:p>
        </w:tc>
        <w:tc>
          <w:tcPr>
            <w:tcW w:w="1500" w:type="dxa"/>
            <w:vAlign w:val="bottom"/>
          </w:tcPr>
          <w:p>
            <w:pPr>
              <w:jc w:val="right"/>
              <w:ind w:right="428"/>
              <w:spacing w:after="0"/>
              <w:rPr>
                <w:sz w:val="20"/>
                <w:szCs w:val="20"/>
                <w:color w:val="auto"/>
              </w:rPr>
            </w:pPr>
            <w:r>
              <w:rPr>
                <w:rFonts w:ascii="Arial" w:cs="Arial" w:eastAsia="Arial" w:hAnsi="Arial"/>
                <w:sz w:val="14"/>
                <w:szCs w:val="14"/>
                <w:b w:val="1"/>
                <w:bCs w:val="1"/>
                <w:color w:val="auto"/>
              </w:rPr>
              <w:t>COBRA</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Premiums</w:t>
            </w:r>
          </w:p>
        </w:tc>
        <w:tc>
          <w:tcPr>
            <w:tcW w:w="100" w:type="dxa"/>
            <w:vAlign w:val="bottom"/>
          </w:tcPr>
          <w:p>
            <w:pPr>
              <w:spacing w:after="0"/>
              <w:rPr>
                <w:sz w:val="14"/>
                <w:szCs w:val="14"/>
                <w:color w:val="auto"/>
              </w:rPr>
            </w:pPr>
          </w:p>
        </w:tc>
        <w:tc>
          <w:tcPr>
            <w:tcW w:w="150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2"/>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(a)(1)</w:t>
            </w: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(b)(2)</w:t>
            </w:r>
          </w:p>
        </w:tc>
        <w:tc>
          <w:tcPr>
            <w:tcW w:w="100" w:type="dxa"/>
            <w:vAlign w:val="bottom"/>
          </w:tcPr>
          <w:p>
            <w:pPr>
              <w:spacing w:after="0"/>
              <w:rPr>
                <w:sz w:val="14"/>
                <w:szCs w:val="14"/>
                <w:color w:val="auto"/>
              </w:rPr>
            </w:pPr>
          </w:p>
        </w:tc>
        <w:tc>
          <w:tcPr>
            <w:tcW w:w="1500" w:type="dxa"/>
            <w:vAlign w:val="bottom"/>
          </w:tcPr>
          <w:p>
            <w:pPr>
              <w:jc w:val="right"/>
              <w:ind w:right="588"/>
              <w:spacing w:after="0"/>
              <w:rPr>
                <w:sz w:val="20"/>
                <w:szCs w:val="20"/>
                <w:color w:val="auto"/>
              </w:rPr>
            </w:pPr>
            <w:r>
              <w:rPr>
                <w:rFonts w:ascii="Arial" w:cs="Arial" w:eastAsia="Arial" w:hAnsi="Arial"/>
                <w:sz w:val="14"/>
                <w:szCs w:val="14"/>
                <w:b w:val="1"/>
                <w:bCs w:val="1"/>
                <w:color w:val="auto"/>
              </w:rPr>
              <w:t>(c)</w:t>
            </w:r>
          </w:p>
        </w:tc>
      </w:tr>
      <w:tr>
        <w:trPr>
          <w:trHeight w:val="171"/>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5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660" w:type="dxa"/>
            <w:vAlign w:val="bottom"/>
            <w:gridSpan w:val="2"/>
            <w:shd w:val="clear" w:color="auto" w:fill="CCEEFF"/>
          </w:tcPr>
          <w:p>
            <w:pPr>
              <w:jc w:val="right"/>
              <w:ind w:right="308"/>
              <w:spacing w:after="0" w:line="196" w:lineRule="exact"/>
              <w:rPr>
                <w:sz w:val="20"/>
                <w:szCs w:val="20"/>
                <w:color w:val="auto"/>
              </w:rPr>
            </w:pPr>
            <w:r>
              <w:rPr>
                <w:rFonts w:ascii="Arial" w:cs="Arial" w:eastAsia="Arial" w:hAnsi="Arial"/>
                <w:sz w:val="18"/>
                <w:szCs w:val="18"/>
                <w:color w:val="auto"/>
              </w:rPr>
              <w:t>2,050,000</w:t>
            </w:r>
          </w:p>
        </w:tc>
        <w:tc>
          <w:tcPr>
            <w:tcW w:w="1620" w:type="dxa"/>
            <w:vAlign w:val="bottom"/>
            <w:gridSpan w:val="2"/>
            <w:shd w:val="clear" w:color="auto" w:fill="CCEEFF"/>
          </w:tcPr>
          <w:p>
            <w:pPr>
              <w:jc w:val="right"/>
              <w:ind w:right="288"/>
              <w:spacing w:after="0" w:line="196" w:lineRule="exact"/>
              <w:rPr>
                <w:sz w:val="20"/>
                <w:szCs w:val="20"/>
                <w:color w:val="auto"/>
              </w:rPr>
            </w:pPr>
            <w:r>
              <w:rPr>
                <w:rFonts w:ascii="Arial" w:cs="Arial" w:eastAsia="Arial" w:hAnsi="Arial"/>
                <w:sz w:val="18"/>
                <w:szCs w:val="18"/>
                <w:color w:val="auto"/>
              </w:rPr>
              <w:t>38,077</w:t>
            </w:r>
          </w:p>
        </w:tc>
        <w:tc>
          <w:tcPr>
            <w:tcW w:w="1600" w:type="dxa"/>
            <w:vAlign w:val="bottom"/>
            <w:gridSpan w:val="2"/>
            <w:shd w:val="clear" w:color="auto" w:fill="CCEEFF"/>
          </w:tcPr>
          <w:p>
            <w:pPr>
              <w:jc w:val="right"/>
              <w:ind w:right="288"/>
              <w:spacing w:after="0" w:line="196" w:lineRule="exact"/>
              <w:rPr>
                <w:sz w:val="20"/>
                <w:szCs w:val="20"/>
                <w:color w:val="auto"/>
              </w:rPr>
            </w:pPr>
            <w:r>
              <w:rPr>
                <w:rFonts w:ascii="Arial" w:cs="Arial" w:eastAsia="Arial" w:hAnsi="Arial"/>
                <w:sz w:val="18"/>
                <w:szCs w:val="18"/>
                <w:color w:val="auto"/>
              </w:rPr>
              <w:t>2,088,077</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66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600,000</w:t>
            </w:r>
          </w:p>
        </w:tc>
        <w:tc>
          <w:tcPr>
            <w:tcW w:w="16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19,038</w:t>
            </w:r>
          </w:p>
        </w:tc>
        <w:tc>
          <w:tcPr>
            <w:tcW w:w="160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619,038</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66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470,000</w:t>
            </w:r>
          </w:p>
        </w:tc>
        <w:tc>
          <w:tcPr>
            <w:tcW w:w="16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14,610</w:t>
            </w:r>
          </w:p>
        </w:tc>
        <w:tc>
          <w:tcPr>
            <w:tcW w:w="160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484,610</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66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450,000</w:t>
            </w:r>
          </w:p>
        </w:tc>
        <w:tc>
          <w:tcPr>
            <w:tcW w:w="16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5,866</w:t>
            </w:r>
          </w:p>
        </w:tc>
        <w:tc>
          <w:tcPr>
            <w:tcW w:w="160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455,866</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66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675,000</w:t>
            </w:r>
          </w:p>
        </w:tc>
        <w:tc>
          <w:tcPr>
            <w:tcW w:w="16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18,294</w:t>
            </w:r>
          </w:p>
        </w:tc>
        <w:tc>
          <w:tcPr>
            <w:tcW w:w="160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693,294</w:t>
            </w:r>
          </w:p>
        </w:tc>
      </w:tr>
    </w:tbl>
    <w:p>
      <w:pPr>
        <w:spacing w:after="0" w:line="143" w:lineRule="exact"/>
        <w:rPr>
          <w:sz w:val="20"/>
          <w:szCs w:val="20"/>
          <w:color w:val="auto"/>
        </w:rPr>
      </w:pPr>
    </w:p>
    <w:p>
      <w:pPr>
        <w:ind w:left="520" w:hanging="512"/>
        <w:spacing w:after="0" w:line="271"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Twelve (12) months of such named executive officer’s base salary or, in the case of the chief executive officer of the Company, twenty-four (24) months of such executive’s base salary.</w:t>
      </w:r>
    </w:p>
    <w:p>
      <w:pPr>
        <w:spacing w:after="0" w:line="45" w:lineRule="exact"/>
        <w:rPr>
          <w:rFonts w:ascii="Arial" w:cs="Arial" w:eastAsia="Arial" w:hAnsi="Arial"/>
          <w:sz w:val="18"/>
          <w:szCs w:val="18"/>
          <w:color w:val="auto"/>
        </w:rPr>
      </w:pPr>
    </w:p>
    <w:p>
      <w:pPr>
        <w:ind w:left="520" w:right="100" w:hanging="512"/>
        <w:spacing w:after="0" w:line="271"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Twelve (12) months of COBRA Premiums (as defined in the Executive Severance Plan) or, in the case of the chief executive officer of the Company, twenty-four (24) months of COBRA Premiums.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CEO PAY RATIO</w:t>
      </w:r>
    </w:p>
    <w:p>
      <w:pPr>
        <w:spacing w:after="0" w:line="212" w:lineRule="exact"/>
        <w:rPr>
          <w:sz w:val="20"/>
          <w:szCs w:val="20"/>
          <w:color w:val="auto"/>
        </w:rPr>
      </w:pPr>
    </w:p>
    <w:p>
      <w:pPr>
        <w:ind w:right="120" w:firstLine="382"/>
        <w:spacing w:after="0" w:line="247"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the Company is providing the following information about the relationship of the median annual total compensation of all its employees and the annual total compensation of Mimi E. Vaughn, its CEO for Fiscal 2026. The ratio reported below represents a reasonable estimate, calculated in a manner consistent with Item 402(u) of Regulation S-K.</w:t>
      </w:r>
    </w:p>
    <w:p>
      <w:pPr>
        <w:spacing w:after="0" w:line="174" w:lineRule="exact"/>
        <w:rPr>
          <w:sz w:val="20"/>
          <w:szCs w:val="20"/>
          <w:color w:val="auto"/>
        </w:rPr>
      </w:pPr>
    </w:p>
    <w:p>
      <w:pPr>
        <w:jc w:val="both"/>
        <w:ind w:right="20" w:firstLine="382"/>
        <w:spacing w:after="0" w:line="253" w:lineRule="auto"/>
        <w:rPr>
          <w:sz w:val="20"/>
          <w:szCs w:val="20"/>
          <w:color w:val="auto"/>
        </w:rPr>
      </w:pPr>
      <w:r>
        <w:rPr>
          <w:rFonts w:ascii="Arial" w:cs="Arial" w:eastAsia="Arial" w:hAnsi="Arial"/>
          <w:sz w:val="18"/>
          <w:szCs w:val="18"/>
          <w:color w:val="auto"/>
        </w:rPr>
        <w:t>For Fiscal 2026, the annual total compensation of the Company’s median employee was $3,867. The Company’s median employee was a part-time, hourly-paid employee in one of its retail stores. As reported in the Summary Compensation Table, the annual total compensation of the CEO was $4,444,023.</w:t>
      </w:r>
    </w:p>
    <w:p>
      <w:pPr>
        <w:spacing w:after="0" w:line="169" w:lineRule="exact"/>
        <w:rPr>
          <w:sz w:val="20"/>
          <w:szCs w:val="20"/>
          <w:color w:val="auto"/>
        </w:rPr>
      </w:pPr>
    </w:p>
    <w:p>
      <w:pPr>
        <w:ind w:right="60" w:firstLine="382"/>
        <w:spacing w:after="0" w:line="271" w:lineRule="auto"/>
        <w:rPr>
          <w:sz w:val="20"/>
          <w:szCs w:val="20"/>
          <w:color w:val="auto"/>
        </w:rPr>
      </w:pPr>
      <w:r>
        <w:rPr>
          <w:rFonts w:ascii="Arial" w:cs="Arial" w:eastAsia="Arial" w:hAnsi="Arial"/>
          <w:sz w:val="18"/>
          <w:szCs w:val="18"/>
          <w:color w:val="auto"/>
        </w:rPr>
        <w:t>Based on this information, the ratio of the annual total compensation of the CEO to the median employee was 1,149 to 1 (the “CEO Pay Ratio”).</w:t>
      </w:r>
    </w:p>
    <w:p>
      <w:pPr>
        <w:spacing w:after="0" w:line="154" w:lineRule="exact"/>
        <w:rPr>
          <w:sz w:val="20"/>
          <w:szCs w:val="20"/>
          <w:color w:val="auto"/>
        </w:rPr>
      </w:pPr>
    </w:p>
    <w:p>
      <w:pPr>
        <w:ind w:right="40" w:firstLine="382"/>
        <w:spacing w:after="0" w:line="247" w:lineRule="auto"/>
        <w:rPr>
          <w:sz w:val="20"/>
          <w:szCs w:val="20"/>
          <w:color w:val="auto"/>
        </w:rPr>
      </w:pPr>
      <w:r>
        <w:rPr>
          <w:rFonts w:ascii="Arial" w:cs="Arial" w:eastAsia="Arial" w:hAnsi="Arial"/>
          <w:sz w:val="18"/>
          <w:szCs w:val="18"/>
          <w:color w:val="auto"/>
        </w:rPr>
        <w:t>In calculating the CEO Pay Ratio, the Company first identified all active employees as of November 1, 2025, a date within three years of the end of Fiscal 2026. Including all full-time, part-time, seasonal and temporary employees, as required by SEC rules, the Company had 13,089 U.S. and 6,022 non-U.S. employees on that date. The Company did not exclude any employees whether pursuant to the de minimis exemption for foreign employees or any other permitted exclusion.</w:t>
      </w:r>
    </w:p>
    <w:p>
      <w:pPr>
        <w:spacing w:after="0" w:line="174" w:lineRule="exact"/>
        <w:rPr>
          <w:sz w:val="20"/>
          <w:szCs w:val="20"/>
          <w:color w:val="auto"/>
        </w:rPr>
      </w:pPr>
    </w:p>
    <w:p>
      <w:pPr>
        <w:ind w:right="40" w:firstLine="382"/>
        <w:spacing w:after="0" w:line="271" w:lineRule="auto"/>
        <w:rPr>
          <w:sz w:val="20"/>
          <w:szCs w:val="20"/>
          <w:color w:val="auto"/>
        </w:rPr>
      </w:pPr>
      <w:r>
        <w:rPr>
          <w:rFonts w:ascii="Arial" w:cs="Arial" w:eastAsia="Arial" w:hAnsi="Arial"/>
          <w:sz w:val="18"/>
          <w:szCs w:val="18"/>
          <w:color w:val="auto"/>
        </w:rPr>
        <w:t>To identify its median employee, the Company used total taxable compensation based on 2025 W-2 income for U.S. employees and the equivalent for non-U.S. employees.</w:t>
      </w:r>
    </w:p>
    <w:p>
      <w:pPr>
        <w:spacing w:after="0" w:line="154" w:lineRule="exact"/>
        <w:rPr>
          <w:sz w:val="20"/>
          <w:szCs w:val="20"/>
          <w:color w:val="auto"/>
        </w:rPr>
      </w:pPr>
    </w:p>
    <w:p>
      <w:pPr>
        <w:ind w:right="40" w:firstLine="382"/>
        <w:spacing w:after="0" w:line="244" w:lineRule="auto"/>
        <w:rPr>
          <w:sz w:val="20"/>
          <w:szCs w:val="20"/>
          <w:color w:val="auto"/>
        </w:rPr>
      </w:pPr>
      <w:r>
        <w:rPr>
          <w:rFonts w:ascii="Arial" w:cs="Arial" w:eastAsia="Arial" w:hAnsi="Arial"/>
          <w:sz w:val="18"/>
          <w:szCs w:val="18"/>
          <w:color w:val="auto"/>
        </w:rPr>
        <w:t>In identifying the median employee, the Company did not annualize compensation for any employees who were employed for less than the full fiscal year. For employees not paid in U.S. dollars, the Company converted their pay into U.S. dollars using the average of month-end exchange rates for the twelve months ended December 31, 2025. The Company then determined the median employee’s total compensation, including any perquisites and other benefits, in the same manner that it determines the total compensation of the named executive officers for purposes of the Summary Compensation Table disclosed in this proxy statement.</w:t>
      </w:r>
    </w:p>
    <w:p>
      <w:pPr>
        <w:spacing w:after="0" w:line="176" w:lineRule="exact"/>
        <w:rPr>
          <w:sz w:val="20"/>
          <w:szCs w:val="20"/>
          <w:color w:val="auto"/>
        </w:rPr>
      </w:pPr>
    </w:p>
    <w:p>
      <w:pPr>
        <w:ind w:right="260" w:firstLine="382"/>
        <w:spacing w:after="0" w:line="253" w:lineRule="auto"/>
        <w:rPr>
          <w:sz w:val="20"/>
          <w:szCs w:val="20"/>
          <w:color w:val="auto"/>
        </w:rPr>
      </w:pPr>
      <w:r>
        <w:rPr>
          <w:rFonts w:ascii="Arial" w:cs="Arial" w:eastAsia="Arial" w:hAnsi="Arial"/>
          <w:sz w:val="18"/>
          <w:szCs w:val="18"/>
          <w:color w:val="auto"/>
        </w:rPr>
        <w:t>Pay ratios reported by the Company’s peers may not be directly comparable to the Company’s because of differences in the composition of each company’s workforce, as well as the assumptions, methodologies, adjustments, and estimates used in calculating the pay ratio, as permitted by SEC rules.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AWARD TIMING DISCLOSURE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have a program, plan or practice to time the grant of stock options, stock appreciation rights or similar option-like instruments in coordination with the release of material non-public information. The Company did not grant any stock options, stock appreciation rights or similar option-like instruments to any named executive officer during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 VERSUS PERFORMANCE TABLE</w:t>
      </w:r>
    </w:p>
    <w:p>
      <w:pPr>
        <w:spacing w:after="0" w:line="212"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The following table sets forth additional compensation information of our Principal Executive Officer (“PEO”) and our non-PEO named executive officers (“non-PEO NEOs”) along with total shareholder return, net income (loss) and change in EVA results for Fiscal 2026, Fiscal 2025, Fiscal 2024, Fiscal 2023 and Fiscal 2022. “Compensation actually paid” (“CAP”), as required under SEC rules, reflects adjusted values to unvested and vested equity awards during the fiscal years shown in the table based on year-end stock prices, various accounting valuation assumptions, and projected performance modifiers but does not reflect actual amounts paid out for those awards. For a discussion of how the compensation committee assessed Genesco’s performance and the named executive officers’ pay each year, see the “Compensation Discussion and Analysis” in this proxy statement and in the proxy statements for Fiscal 2022, Fiscal 2023, Fiscal 2024 and Fiscal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4"/>
                <w:szCs w:val="14"/>
                <w:b w:val="1"/>
                <w:bCs w:val="1"/>
                <w:color w:val="auto"/>
              </w:rPr>
              <w:t>Value of Initial Fixed $100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7"/>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rPr>
              <w:t>Investment Based 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7"/>
              </w:rPr>
              <w:t>Average</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4"/>
              </w:rPr>
              <w:t>Summary</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Summary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Compensation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Compensation</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9"/>
              </w:rPr>
              <w:t>Peer</w:t>
            </w:r>
          </w:p>
        </w:tc>
        <w:tc>
          <w:tcPr>
            <w:tcW w:w="200" w:type="dxa"/>
            <w:vAlign w:val="bottom"/>
          </w:tcPr>
          <w:p>
            <w:pPr>
              <w:spacing w:after="0"/>
              <w:rPr>
                <w:sz w:val="11"/>
                <w:szCs w:val="11"/>
                <w:color w:val="auto"/>
              </w:rPr>
            </w:pPr>
          </w:p>
        </w:tc>
        <w:tc>
          <w:tcPr>
            <w:tcW w:w="100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96"/>
              </w:rPr>
              <w:t>Net Income</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8"/>
              </w:rPr>
              <w:t>Change in</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rPr>
              <w:t>Table Total for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Actually Paid</w:t>
            </w:r>
          </w:p>
        </w:tc>
        <w:tc>
          <w:tcPr>
            <w:tcW w:w="80" w:type="dxa"/>
            <w:vAlign w:val="bottom"/>
          </w:tcPr>
          <w:p>
            <w:pPr>
              <w:spacing w:after="0"/>
              <w:rPr>
                <w:sz w:val="11"/>
                <w:szCs w:val="11"/>
                <w:color w:val="auto"/>
              </w:rPr>
            </w:pPr>
          </w:p>
        </w:tc>
        <w:tc>
          <w:tcPr>
            <w:tcW w:w="7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4"/>
              </w:rPr>
              <w:t>Genesco</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9"/>
              </w:rPr>
              <w:t>Table Total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Actually Paid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8"/>
              </w:rPr>
              <w:t>Non-PEO</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to Non-PEO</w:t>
            </w: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Group</w:t>
            </w:r>
          </w:p>
        </w:tc>
        <w:tc>
          <w:tcPr>
            <w:tcW w:w="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7"/>
              </w:rPr>
              <w:t>(Loss)</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EVA</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9"/>
              </w:rPr>
              <w:t>for PEO</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to PEO</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NEOs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NEOs</w:t>
            </w:r>
          </w:p>
        </w:tc>
        <w:tc>
          <w:tcPr>
            <w:tcW w:w="80" w:type="dxa"/>
            <w:vAlign w:val="bottom"/>
          </w:tcPr>
          <w:p>
            <w:pPr>
              <w:spacing w:after="0"/>
              <w:rPr>
                <w:sz w:val="11"/>
                <w:szCs w:val="11"/>
                <w:color w:val="auto"/>
              </w:rPr>
            </w:pPr>
          </w:p>
        </w:tc>
        <w:tc>
          <w:tcPr>
            <w:tcW w:w="70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2"/>
              </w:rPr>
              <w:t>TSR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9"/>
              </w:rPr>
              <w:t>TSR</w:t>
            </w:r>
          </w:p>
        </w:tc>
        <w:tc>
          <w:tcPr>
            <w:tcW w:w="400" w:type="dxa"/>
            <w:vAlign w:val="bottom"/>
            <w:gridSpan w:val="2"/>
            <w:vMerge w:val="continue"/>
          </w:tcPr>
          <w:p>
            <w:pPr>
              <w:spacing w:after="0"/>
              <w:rPr>
                <w:sz w:val="11"/>
                <w:szCs w:val="11"/>
                <w:color w:val="auto"/>
              </w:rPr>
            </w:pPr>
          </w:p>
        </w:tc>
        <w:tc>
          <w:tcPr>
            <w:tcW w:w="80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4"/>
              </w:rPr>
              <w:t>Millions)</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 Millions)</w:t>
            </w:r>
          </w:p>
        </w:tc>
        <w:tc>
          <w:tcPr>
            <w:tcW w:w="0" w:type="dxa"/>
            <w:vAlign w:val="bottom"/>
          </w:tcPr>
          <w:p>
            <w:pPr>
              <w:spacing w:after="0"/>
              <w:rPr>
                <w:sz w:val="1"/>
                <w:szCs w:val="1"/>
                <w:color w:val="auto"/>
              </w:rPr>
            </w:pPr>
          </w:p>
        </w:tc>
      </w:tr>
      <w:tr>
        <w:trPr>
          <w:trHeight w:val="135"/>
        </w:trPr>
        <w:tc>
          <w:tcPr>
            <w:tcW w:w="1500" w:type="dxa"/>
            <w:vAlign w:val="bottom"/>
            <w:vMerge w:val="restart"/>
          </w:tcPr>
          <w:p>
            <w:pPr>
              <w:spacing w:after="0"/>
              <w:rPr>
                <w:sz w:val="20"/>
                <w:szCs w:val="20"/>
                <w:color w:val="auto"/>
              </w:rPr>
            </w:pPr>
            <w:r>
              <w:rPr>
                <w:rFonts w:ascii="Arial" w:cs="Arial" w:eastAsia="Arial" w:hAnsi="Arial"/>
                <w:sz w:val="13"/>
                <w:szCs w:val="13"/>
                <w:b w:val="1"/>
                <w:bCs w:val="1"/>
                <w:color w:val="auto"/>
              </w:rPr>
              <w:t>Year (a)</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rPr>
              <w:t>($)(1)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4"/>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4"/>
              </w:rPr>
              <w:t>($)(3)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4"/>
              </w:rPr>
              <w:t>($)(4)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rPr>
              <w:t>($)(5)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4"/>
              </w:rPr>
              <w:t>($)(6)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rPr>
              <w:t>(7)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rPr>
              <w:t>(8)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(b)</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rPr>
              <w:t>(c)</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(d)</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(e)</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2"/>
              </w:rPr>
              <w:t>(f)</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(g)</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(h)</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(i)</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5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Fiscal 2026</w:t>
            </w:r>
          </w:p>
        </w:tc>
        <w:tc>
          <w:tcPr>
            <w:tcW w:w="2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4,444,023</w:t>
            </w:r>
          </w:p>
        </w:tc>
        <w:tc>
          <w:tcPr>
            <w:tcW w:w="36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3,135,937</w:t>
            </w:r>
          </w:p>
        </w:tc>
        <w:tc>
          <w:tcPr>
            <w:tcW w:w="1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1,543,110</w:t>
            </w:r>
          </w:p>
        </w:tc>
        <w:tc>
          <w:tcPr>
            <w:tcW w:w="3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1,331,211</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75</w:t>
            </w:r>
          </w:p>
        </w:tc>
        <w:tc>
          <w:tcPr>
            <w:tcW w:w="3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67</w:t>
            </w:r>
          </w:p>
        </w:tc>
        <w:tc>
          <w:tcPr>
            <w:tcW w:w="400" w:type="dxa"/>
            <w:vAlign w:val="bottom"/>
            <w:gridSpan w:val="2"/>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3"/>
                <w:szCs w:val="13"/>
                <w:color w:val="auto"/>
              </w:rPr>
              <w:t>Fiscal 2025</w:t>
            </w:r>
          </w:p>
        </w:tc>
        <w:tc>
          <w:tcPr>
            <w:tcW w:w="2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5,185,437</w:t>
            </w:r>
          </w:p>
        </w:tc>
        <w:tc>
          <w:tcPr>
            <w:tcW w:w="3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7,065,754</w:t>
            </w:r>
          </w:p>
        </w:tc>
        <w:tc>
          <w:tcPr>
            <w:tcW w:w="140" w:type="dxa"/>
            <w:vAlign w:val="bottom"/>
          </w:tcPr>
          <w:p>
            <w:pPr>
              <w:spacing w:after="0"/>
              <w:rPr>
                <w:sz w:val="11"/>
                <w:szCs w:val="11"/>
                <w:color w:val="auto"/>
              </w:rPr>
            </w:pPr>
          </w:p>
        </w:tc>
        <w:tc>
          <w:tcPr>
            <w:tcW w:w="2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1,640,128</w:t>
            </w:r>
          </w:p>
        </w:tc>
        <w:tc>
          <w:tcPr>
            <w:tcW w:w="3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2,069,106</w:t>
            </w:r>
          </w:p>
        </w:tc>
        <w:tc>
          <w:tcPr>
            <w:tcW w:w="22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107</w:t>
            </w:r>
          </w:p>
        </w:tc>
        <w:tc>
          <w:tcPr>
            <w:tcW w:w="3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71</w:t>
            </w:r>
          </w:p>
        </w:tc>
        <w:tc>
          <w:tcPr>
            <w:tcW w:w="4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Fiscal 2024</w:t>
            </w:r>
          </w:p>
        </w:tc>
        <w:tc>
          <w:tcPr>
            <w:tcW w:w="2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4,250,035</w:t>
            </w:r>
          </w:p>
        </w:tc>
        <w:tc>
          <w:tcPr>
            <w:tcW w:w="3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(911,957)</w:t>
            </w:r>
          </w:p>
        </w:tc>
        <w:tc>
          <w:tcPr>
            <w:tcW w:w="2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860,620</w:t>
            </w:r>
          </w:p>
        </w:tc>
        <w:tc>
          <w:tcPr>
            <w:tcW w:w="3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(183,778)</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w:t>
            </w:r>
          </w:p>
        </w:tc>
        <w:tc>
          <w:tcPr>
            <w:tcW w:w="3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w:t>
            </w:r>
          </w:p>
        </w:tc>
        <w:tc>
          <w:tcPr>
            <w:tcW w:w="40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3"/>
                <w:szCs w:val="13"/>
                <w:color w:val="auto"/>
              </w:rPr>
              <w:t>Fiscal 2023</w:t>
            </w:r>
          </w:p>
        </w:tc>
        <w:tc>
          <w:tcPr>
            <w:tcW w:w="2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3,711,215</w:t>
            </w:r>
          </w:p>
        </w:tc>
        <w:tc>
          <w:tcPr>
            <w:tcW w:w="3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3,555,298</w:t>
            </w:r>
          </w:p>
        </w:tc>
        <w:tc>
          <w:tcPr>
            <w:tcW w:w="140" w:type="dxa"/>
            <w:vAlign w:val="bottom"/>
          </w:tcPr>
          <w:p>
            <w:pPr>
              <w:spacing w:after="0"/>
              <w:rPr>
                <w:sz w:val="11"/>
                <w:szCs w:val="11"/>
                <w:color w:val="auto"/>
              </w:rPr>
            </w:pPr>
          </w:p>
        </w:tc>
        <w:tc>
          <w:tcPr>
            <w:tcW w:w="2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942,522</w:t>
            </w:r>
          </w:p>
        </w:tc>
        <w:tc>
          <w:tcPr>
            <w:tcW w:w="3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794,370</w:t>
            </w:r>
          </w:p>
        </w:tc>
        <w:tc>
          <w:tcPr>
            <w:tcW w:w="22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123</w:t>
            </w:r>
          </w:p>
        </w:tc>
        <w:tc>
          <w:tcPr>
            <w:tcW w:w="3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97</w:t>
            </w:r>
          </w:p>
        </w:tc>
        <w:tc>
          <w:tcPr>
            <w:tcW w:w="4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72</w:t>
            </w:r>
          </w:p>
        </w:tc>
        <w:tc>
          <w:tcPr>
            <w:tcW w:w="20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Fiscal 2022</w:t>
            </w:r>
          </w:p>
        </w:tc>
        <w:tc>
          <w:tcPr>
            <w:tcW w:w="2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8,766,458</w:t>
            </w:r>
          </w:p>
        </w:tc>
        <w:tc>
          <w:tcPr>
            <w:tcW w:w="3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9,109,572</w:t>
            </w:r>
          </w:p>
        </w:tc>
        <w:tc>
          <w:tcPr>
            <w:tcW w:w="1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2,876,839</w:t>
            </w:r>
          </w:p>
        </w:tc>
        <w:tc>
          <w:tcPr>
            <w:tcW w:w="3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2,887,343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w:t>
            </w:r>
          </w:p>
        </w:tc>
        <w:tc>
          <w:tcPr>
            <w:tcW w:w="3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w:t>
            </w:r>
          </w:p>
        </w:tc>
        <w:tc>
          <w:tcPr>
            <w:tcW w:w="40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compensation amounts reported in the “Summary Compensation Table” for the PEO for the respective years shown.</w:t>
      </w:r>
    </w:p>
    <w:p>
      <w:pPr>
        <w:spacing w:after="0" w:line="103" w:lineRule="exact"/>
        <w:rPr>
          <w:rFonts w:ascii="Arial" w:cs="Arial" w:eastAsia="Arial" w:hAnsi="Arial"/>
          <w:sz w:val="18"/>
          <w:szCs w:val="18"/>
          <w:color w:val="auto"/>
        </w:rPr>
      </w:pPr>
    </w:p>
    <w:p>
      <w:pPr>
        <w:ind w:left="520" w:hanging="512"/>
        <w:spacing w:after="0" w:line="242"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“Compensation actually paid” to the PEO in each of Fiscal 2026, Fiscal 2025, Fiscal 2024, Fiscal 2023 and Fiscal 2022 reflects the respective amounts set forth in column (c) above, adjusted as set forth in the table below, as determined in accordance with SEC rules. The dollar amounts reflected in column (c) above do not reflect the actual amount of compensation earned by or paid to our PEO during the applicable year. For information regarding the decisions made by the compensation committee with respect to the PEO compensation for each fiscal year, please see the “Compensation Discussion and Analysis” sections of the proxy statements reporting pay for the fiscal years covered in the table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r>
      <w:tr>
        <w:trPr>
          <w:trHeight w:val="155"/>
        </w:trPr>
        <w:tc>
          <w:tcPr>
            <w:tcW w:w="46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CEO</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Vaughn</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Vaughn</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Vaughn</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Vaughn</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Vaughn</w:t>
            </w:r>
          </w:p>
        </w:tc>
        <w:tc>
          <w:tcPr>
            <w:tcW w:w="100" w:type="dxa"/>
            <w:vAlign w:val="bottom"/>
          </w:tcPr>
          <w:p>
            <w:pPr>
              <w:spacing w:after="0"/>
              <w:rPr>
                <w:sz w:val="13"/>
                <w:szCs w:val="13"/>
                <w:color w:val="auto"/>
              </w:rPr>
            </w:pPr>
          </w:p>
        </w:tc>
      </w:tr>
      <w:tr>
        <w:trPr>
          <w:trHeight w:val="155"/>
        </w:trPr>
        <w:tc>
          <w:tcPr>
            <w:tcW w:w="46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SCT Total Compensation ($)</w:t>
            </w:r>
          </w:p>
        </w:tc>
        <w:tc>
          <w:tcPr>
            <w:tcW w:w="3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8,766,458</w:t>
            </w:r>
          </w:p>
        </w:tc>
        <w:tc>
          <w:tcPr>
            <w:tcW w:w="4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3,711,215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4,250,035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5,185,437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4,444,023</w:t>
            </w:r>
          </w:p>
        </w:tc>
        <w:tc>
          <w:tcPr>
            <w:tcW w:w="100" w:type="dxa"/>
            <w:vAlign w:val="bottom"/>
            <w:shd w:val="clear" w:color="auto" w:fill="CCEEFF"/>
          </w:tcPr>
          <w:p>
            <w:pPr>
              <w:spacing w:after="0"/>
              <w:rPr>
                <w:sz w:val="13"/>
                <w:szCs w:val="13"/>
                <w:color w:val="auto"/>
              </w:rPr>
            </w:pPr>
          </w:p>
        </w:tc>
      </w:tr>
      <w:tr>
        <w:trPr>
          <w:trHeight w:val="153"/>
        </w:trPr>
        <w:tc>
          <w:tcPr>
            <w:tcW w:w="4620" w:type="dxa"/>
            <w:vAlign w:val="bottom"/>
          </w:tcPr>
          <w:p>
            <w:pPr>
              <w:spacing w:after="0" w:line="153" w:lineRule="exact"/>
              <w:rPr>
                <w:sz w:val="20"/>
                <w:szCs w:val="20"/>
                <w:color w:val="auto"/>
              </w:rPr>
            </w:pPr>
            <w:r>
              <w:rPr>
                <w:rFonts w:ascii="Arial" w:cs="Arial" w:eastAsia="Arial" w:hAnsi="Arial"/>
                <w:sz w:val="14"/>
                <w:szCs w:val="14"/>
                <w:color w:val="auto"/>
              </w:rPr>
              <w:t>Less: Stock and Option Award Values Reported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4620" w:type="dxa"/>
            <w:vAlign w:val="bottom"/>
          </w:tcPr>
          <w:p>
            <w:pPr>
              <w:ind w:left="120"/>
              <w:spacing w:after="0"/>
              <w:rPr>
                <w:sz w:val="20"/>
                <w:szCs w:val="20"/>
                <w:color w:val="auto"/>
              </w:rPr>
            </w:pPr>
            <w:r>
              <w:rPr>
                <w:rFonts w:ascii="Arial" w:cs="Arial" w:eastAsia="Arial" w:hAnsi="Arial"/>
                <w:sz w:val="14"/>
                <w:szCs w:val="14"/>
                <w:color w:val="auto"/>
              </w:rPr>
              <w:t>in SCT for the Covered Year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5,113,804</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2,674,267</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3,183,204</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3,475,696</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2,717,422</w:t>
            </w:r>
          </w:p>
        </w:tc>
        <w:tc>
          <w:tcPr>
            <w:tcW w:w="100" w:type="dxa"/>
            <w:vAlign w:val="bottom"/>
          </w:tcPr>
          <w:p>
            <w:pPr>
              <w:spacing w:after="0"/>
              <w:rPr>
                <w:sz w:val="14"/>
                <w:szCs w:val="14"/>
                <w:color w:val="auto"/>
              </w:rPr>
            </w:pPr>
          </w:p>
        </w:tc>
      </w:tr>
      <w:tr>
        <w:trPr>
          <w:trHeight w:val="153"/>
        </w:trPr>
        <w:tc>
          <w:tcPr>
            <w:tcW w:w="46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Plus: Fair Value for Stock and Option Awards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4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Granted in the Covered Year ($)</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2,413,120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4,202,402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1,231,973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4,742,042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4,219,556</w:t>
            </w:r>
          </w:p>
        </w:tc>
        <w:tc>
          <w:tcPr>
            <w:tcW w:w="100" w:type="dxa"/>
            <w:vAlign w:val="bottom"/>
            <w:shd w:val="clear" w:color="auto" w:fill="CCEEFF"/>
          </w:tcPr>
          <w:p>
            <w:pPr>
              <w:spacing w:after="0"/>
              <w:rPr>
                <w:sz w:val="14"/>
                <w:szCs w:val="14"/>
                <w:color w:val="auto"/>
              </w:rPr>
            </w:pPr>
          </w:p>
        </w:tc>
      </w:tr>
      <w:tr>
        <w:trPr>
          <w:trHeight w:val="153"/>
        </w:trPr>
        <w:tc>
          <w:tcPr>
            <w:tcW w:w="4620" w:type="dxa"/>
            <w:vAlign w:val="bottom"/>
          </w:tcPr>
          <w:p>
            <w:pPr>
              <w:spacing w:after="0" w:line="153" w:lineRule="exact"/>
              <w:rPr>
                <w:sz w:val="20"/>
                <w:szCs w:val="20"/>
                <w:color w:val="auto"/>
              </w:rPr>
            </w:pPr>
            <w:r>
              <w:rPr>
                <w:rFonts w:ascii="Arial" w:cs="Arial" w:eastAsia="Arial" w:hAnsi="Arial"/>
                <w:sz w:val="14"/>
                <w:szCs w:val="14"/>
                <w:color w:val="auto"/>
              </w:rPr>
              <w:t>Change in Fair Value of Outstanding Unvested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4620" w:type="dxa"/>
            <w:vAlign w:val="bottom"/>
          </w:tcPr>
          <w:p>
            <w:pPr>
              <w:ind w:left="120"/>
              <w:spacing w:after="0"/>
              <w:rPr>
                <w:sz w:val="20"/>
                <w:szCs w:val="20"/>
                <w:color w:val="auto"/>
              </w:rPr>
            </w:pPr>
            <w:r>
              <w:rPr>
                <w:rFonts w:ascii="Arial" w:cs="Arial" w:eastAsia="Arial" w:hAnsi="Arial"/>
                <w:sz w:val="14"/>
                <w:szCs w:val="14"/>
                <w:color w:val="auto"/>
              </w:rPr>
              <w:t>Stock and Option Awards from Prior Years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2,217,017</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(1,290,521)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(1,767,052)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805,415</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(1,512,383)</w:t>
            </w:r>
          </w:p>
        </w:tc>
      </w:tr>
      <w:tr>
        <w:trPr>
          <w:trHeight w:val="153"/>
        </w:trPr>
        <w:tc>
          <w:tcPr>
            <w:tcW w:w="46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Change in Fair Value of Stock and Option</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4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Awards from Prior Years that Vested in the</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4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Covered Year ($)</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826,781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(393,532)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(1,443,709)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(191,443)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(1,297,838)</w:t>
            </w:r>
          </w:p>
        </w:tc>
      </w:tr>
      <w:tr>
        <w:trPr>
          <w:trHeight w:val="153"/>
        </w:trPr>
        <w:tc>
          <w:tcPr>
            <w:tcW w:w="4620" w:type="dxa"/>
            <w:vAlign w:val="bottom"/>
          </w:tcPr>
          <w:p>
            <w:pPr>
              <w:spacing w:after="0" w:line="153" w:lineRule="exact"/>
              <w:rPr>
                <w:sz w:val="20"/>
                <w:szCs w:val="20"/>
                <w:color w:val="auto"/>
              </w:rPr>
            </w:pPr>
            <w:r>
              <w:rPr>
                <w:rFonts w:ascii="Arial" w:cs="Arial" w:eastAsia="Arial" w:hAnsi="Arial"/>
                <w:sz w:val="14"/>
                <w:szCs w:val="14"/>
                <w:color w:val="auto"/>
              </w:rPr>
              <w:t>Less: Fair Value of Stock and Option Awards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4620" w:type="dxa"/>
            <w:vAlign w:val="bottom"/>
          </w:tcPr>
          <w:p>
            <w:pPr>
              <w:ind w:left="120"/>
              <w:spacing w:after="0"/>
              <w:rPr>
                <w:sz w:val="20"/>
                <w:szCs w:val="20"/>
                <w:color w:val="auto"/>
              </w:rPr>
            </w:pPr>
            <w:r>
              <w:rPr>
                <w:rFonts w:ascii="Arial" w:cs="Arial" w:eastAsia="Arial" w:hAnsi="Arial"/>
                <w:sz w:val="14"/>
                <w:szCs w:val="14"/>
                <w:color w:val="auto"/>
              </w:rPr>
              <w:t>Forfeited during the Covered Year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53"/>
        </w:trPr>
        <w:tc>
          <w:tcPr>
            <w:tcW w:w="46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Less: Aggregate Change in Actuarial Present Value</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4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Accumulated Benefit Under Pension Plans ($)</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53"/>
        </w:trPr>
        <w:tc>
          <w:tcPr>
            <w:tcW w:w="4620" w:type="dxa"/>
            <w:vAlign w:val="bottom"/>
          </w:tcPr>
          <w:p>
            <w:pPr>
              <w:spacing w:after="0" w:line="153" w:lineRule="exact"/>
              <w:rPr>
                <w:sz w:val="20"/>
                <w:szCs w:val="20"/>
                <w:color w:val="auto"/>
              </w:rPr>
            </w:pPr>
            <w:r>
              <w:rPr>
                <w:rFonts w:ascii="Arial" w:cs="Arial" w:eastAsia="Arial" w:hAnsi="Arial"/>
                <w:sz w:val="14"/>
                <w:szCs w:val="14"/>
                <w:color w:val="auto"/>
              </w:rPr>
              <w:t>Plus: Aggregate Service Cost and Prior Service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4620" w:type="dxa"/>
            <w:vAlign w:val="bottom"/>
          </w:tcPr>
          <w:p>
            <w:pPr>
              <w:ind w:left="120"/>
              <w:spacing w:after="0"/>
              <w:rPr>
                <w:sz w:val="20"/>
                <w:szCs w:val="20"/>
                <w:color w:val="auto"/>
              </w:rPr>
            </w:pPr>
            <w:r>
              <w:rPr>
                <w:rFonts w:ascii="Arial" w:cs="Arial" w:eastAsia="Arial" w:hAnsi="Arial"/>
                <w:sz w:val="14"/>
                <w:szCs w:val="14"/>
                <w:color w:val="auto"/>
              </w:rPr>
              <w:t>Cost for Pension Plans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Compensation Actually Paid ($)</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9,109,572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3,555,298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(911,957)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7,065,754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3,135,937</w:t>
            </w:r>
          </w:p>
        </w:tc>
        <w:tc>
          <w:tcPr>
            <w:tcW w:w="10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Note: Equity Valuations: Stock option grant date fair value is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Time-vested restricted share grant date fair values are calculated using the stock price as of date of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Adjustments have been made using the stock price as of year-end and as of each date of vest.</w:t>
      </w:r>
    </w:p>
    <w:p>
      <w:pPr>
        <w:spacing w:after="0" w:line="21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Note that a portion of Fiscal 2022 bonus was paid in stock in Fiscal 2023, with a grant date of March 24, 2022. Both the cash and equity portions of this bonus were disclosed in the Summary Compensation Table for Fiscal 2022 (the cash was reported as Non-Equity Incentive Plan Compensation and the equity was reported as a Stock Award). Given the early Fiscal 2023 grant date for the equity portion of the bonus, for the “compensation actually paid” calculations, such portion was treated as a subtraction in Fiscal 2022 and an addition in Fiscal 2023.</w:t>
      </w:r>
    </w:p>
    <w:p>
      <w:pPr>
        <w:spacing w:after="0" w:line="176" w:lineRule="exact"/>
        <w:rPr>
          <w:sz w:val="20"/>
          <w:szCs w:val="20"/>
          <w:color w:val="auto"/>
        </w:rPr>
      </w:pPr>
    </w:p>
    <w:p>
      <w:pPr>
        <w:jc w:val="both"/>
        <w:ind w:left="760" w:right="340" w:hanging="378"/>
        <w:spacing w:after="0" w:line="275" w:lineRule="auto"/>
        <w:tabs>
          <w:tab w:leader="none" w:pos="7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following non-PEO named executive officers are included in the average figures shown: Harris, Becker, Desai and Gray for Fiscal 2026; Becker, Desai, Harris and Gray for Fiscal 2025; George, Becker, Desai, Daniel E. Ewoldsen and Mario Gallione for Fiscal 2024; George, Gallione, Desai and Ewoldsen for Fiscal 2023; and George, Becker, Gallione and Desai for Fiscal 2022.</w:t>
      </w:r>
    </w:p>
    <w:p>
      <w:pPr>
        <w:spacing w:after="0" w:line="151" w:lineRule="exact"/>
        <w:rPr>
          <w:rFonts w:ascii="Arial" w:cs="Arial" w:eastAsia="Arial" w:hAnsi="Arial"/>
          <w:sz w:val="17"/>
          <w:szCs w:val="17"/>
          <w:color w:val="auto"/>
        </w:rPr>
      </w:pPr>
    </w:p>
    <w:p>
      <w:pPr>
        <w:ind w:left="760" w:right="60" w:hanging="378"/>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Average “compensation actually paid” for our non-PEO NEOs in each of Fiscal 2026, Fiscal 2025, Fiscal 2024, Fiscal 2023 and Fiscal 2022 reflects the respective amounts set forth in column (e) of the table above, adjusted as set forth in the table below, as determined in accordance with SEC rules. The dollar amounts reflected in column (e) of the table above do not reflect the actual amount of compensation earned by or paid to our non-PEO NEOs during the applicable year. For information regarding the decisions made by our compensation committee in regards to the non-PEO NEOs’ compensation for each fiscal year, please see the “Compensation Discussion and Analysis” sections of the proxy statements reporting pay for the fiscal years covered in the table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r>
      <w:tr>
        <w:trPr>
          <w:trHeight w:val="146"/>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rPr>
              <w:t>See Column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See Column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See Column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See Column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See Column</w:t>
            </w:r>
          </w:p>
        </w:tc>
        <w:tc>
          <w:tcPr>
            <w:tcW w:w="120" w:type="dxa"/>
            <w:vAlign w:val="bottom"/>
          </w:tcPr>
          <w:p>
            <w:pPr>
              <w:spacing w:after="0"/>
              <w:rPr>
                <w:sz w:val="12"/>
                <w:szCs w:val="12"/>
                <w:color w:val="auto"/>
              </w:rPr>
            </w:pPr>
          </w:p>
        </w:tc>
      </w:tr>
      <w:tr>
        <w:trPr>
          <w:trHeight w:val="171"/>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Non-PEO NEOs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 Note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 Note</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 Note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 Note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(d) Note</w:t>
            </w:r>
          </w:p>
        </w:tc>
        <w:tc>
          <w:tcPr>
            <w:tcW w:w="120" w:type="dxa"/>
            <w:vAlign w:val="bottom"/>
          </w:tcPr>
          <w:p>
            <w:pPr>
              <w:spacing w:after="0"/>
              <w:rPr>
                <w:sz w:val="14"/>
                <w:szCs w:val="14"/>
                <w:color w:val="auto"/>
              </w:rPr>
            </w:pPr>
          </w:p>
        </w:tc>
      </w:tr>
      <w:tr>
        <w:trPr>
          <w:trHeight w:val="155"/>
        </w:trPr>
        <w:tc>
          <w:tcPr>
            <w:tcW w:w="49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SCT Total Compensation ($)</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2,876,839</w:t>
            </w:r>
          </w:p>
        </w:tc>
        <w:tc>
          <w:tcPr>
            <w:tcW w:w="32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942,522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860,620</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1,640,128</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1,543,110</w:t>
            </w:r>
          </w:p>
        </w:tc>
        <w:tc>
          <w:tcPr>
            <w:tcW w:w="120" w:type="dxa"/>
            <w:vAlign w:val="bottom"/>
            <w:shd w:val="clear" w:color="auto" w:fill="CCEEFF"/>
          </w:tcPr>
          <w:p>
            <w:pPr>
              <w:spacing w:after="0"/>
              <w:rPr>
                <w:sz w:val="13"/>
                <w:szCs w:val="13"/>
                <w:color w:val="auto"/>
              </w:rPr>
            </w:pPr>
          </w:p>
        </w:tc>
      </w:tr>
      <w:tr>
        <w:trPr>
          <w:trHeight w:val="153"/>
        </w:trPr>
        <w:tc>
          <w:tcPr>
            <w:tcW w:w="4900" w:type="dxa"/>
            <w:vAlign w:val="bottom"/>
            <w:gridSpan w:val="2"/>
          </w:tcPr>
          <w:p>
            <w:pPr>
              <w:spacing w:after="0" w:line="153" w:lineRule="exact"/>
              <w:rPr>
                <w:sz w:val="20"/>
                <w:szCs w:val="20"/>
                <w:color w:val="auto"/>
              </w:rPr>
            </w:pPr>
            <w:r>
              <w:rPr>
                <w:rFonts w:ascii="Arial" w:cs="Arial" w:eastAsia="Arial" w:hAnsi="Arial"/>
                <w:sz w:val="14"/>
                <w:szCs w:val="14"/>
                <w:color w:val="auto"/>
              </w:rPr>
              <w:t>Less: Stock and Option Award Values Reported</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in SCT for the Covered Year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1,538,400</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353,906</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393,522</w:t>
            </w:r>
          </w:p>
        </w:tc>
        <w:tc>
          <w:tcPr>
            <w:tcW w:w="140" w:type="dxa"/>
            <w:vAlign w:val="bottom"/>
          </w:tcPr>
          <w:p>
            <w:pPr>
              <w:spacing w:after="0"/>
              <w:rPr>
                <w:sz w:val="14"/>
                <w:szCs w:val="1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911,866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447,872</w:t>
            </w:r>
          </w:p>
        </w:tc>
        <w:tc>
          <w:tcPr>
            <w:tcW w:w="120" w:type="dxa"/>
            <w:vAlign w:val="bottom"/>
          </w:tcPr>
          <w:p>
            <w:pPr>
              <w:spacing w:after="0"/>
              <w:rPr>
                <w:sz w:val="14"/>
                <w:szCs w:val="14"/>
                <w:color w:val="auto"/>
              </w:rPr>
            </w:pPr>
          </w:p>
        </w:tc>
      </w:tr>
      <w:tr>
        <w:trPr>
          <w:trHeight w:val="153"/>
        </w:trPr>
        <w:tc>
          <w:tcPr>
            <w:tcW w:w="49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Plus: Fair Value for Stock and Option Awards</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1"/>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Granted in the Covered Year ($)</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887,769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641,691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168,250</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1,058,716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750,625</w:t>
            </w:r>
          </w:p>
        </w:tc>
        <w:tc>
          <w:tcPr>
            <w:tcW w:w="120" w:type="dxa"/>
            <w:vAlign w:val="bottom"/>
            <w:shd w:val="clear" w:color="auto" w:fill="CCEEFF"/>
          </w:tcPr>
          <w:p>
            <w:pPr>
              <w:spacing w:after="0"/>
              <w:rPr>
                <w:sz w:val="14"/>
                <w:szCs w:val="14"/>
                <w:color w:val="auto"/>
              </w:rPr>
            </w:pPr>
          </w:p>
        </w:tc>
      </w:tr>
      <w:tr>
        <w:trPr>
          <w:trHeight w:val="153"/>
        </w:trPr>
        <w:tc>
          <w:tcPr>
            <w:tcW w:w="4900" w:type="dxa"/>
            <w:vAlign w:val="bottom"/>
            <w:gridSpan w:val="2"/>
          </w:tcPr>
          <w:p>
            <w:pPr>
              <w:spacing w:after="0" w:line="153" w:lineRule="exact"/>
              <w:rPr>
                <w:sz w:val="20"/>
                <w:szCs w:val="20"/>
                <w:color w:val="auto"/>
              </w:rPr>
            </w:pPr>
            <w:r>
              <w:rPr>
                <w:rFonts w:ascii="Arial" w:cs="Arial" w:eastAsia="Arial" w:hAnsi="Arial"/>
                <w:sz w:val="14"/>
                <w:szCs w:val="14"/>
                <w:color w:val="auto"/>
              </w:rPr>
              <w:t>Change in Fair Value of Outstanding Unvested</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Stock and Option Awards from Prior Years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452,546</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(314,332)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(253,562)</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56,961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(386,011)</w:t>
            </w:r>
          </w:p>
        </w:tc>
      </w:tr>
      <w:tr>
        <w:trPr>
          <w:trHeight w:val="153"/>
        </w:trPr>
        <w:tc>
          <w:tcPr>
            <w:tcW w:w="49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Plus Fair Value at Vesting Date of Awards</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Granted and Vested During the Fiscal</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1"/>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Year ($)</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242,632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4900" w:type="dxa"/>
            <w:vAlign w:val="bottom"/>
            <w:gridSpan w:val="2"/>
          </w:tcPr>
          <w:p>
            <w:pPr>
              <w:spacing w:after="0" w:line="153" w:lineRule="exact"/>
              <w:rPr>
                <w:sz w:val="20"/>
                <w:szCs w:val="20"/>
                <w:color w:val="auto"/>
              </w:rPr>
            </w:pPr>
            <w:r>
              <w:rPr>
                <w:rFonts w:ascii="Arial" w:cs="Arial" w:eastAsia="Arial" w:hAnsi="Arial"/>
                <w:sz w:val="14"/>
                <w:szCs w:val="14"/>
                <w:color w:val="auto"/>
              </w:rPr>
              <w:t>Change in Fair Value of Stock and Option Awards</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from Prior Years that Vested in the Covered</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Year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208,590</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(121,605)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(316,954)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(17,464)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(128,640)</w:t>
            </w:r>
          </w:p>
        </w:tc>
      </w:tr>
      <w:tr>
        <w:trPr>
          <w:trHeight w:val="153"/>
        </w:trPr>
        <w:tc>
          <w:tcPr>
            <w:tcW w:w="49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Less: Fair Value of Stock and Option Awards</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1"/>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Forfeited during the Covered Year ($)</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248,610</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4900" w:type="dxa"/>
            <w:vAlign w:val="bottom"/>
            <w:gridSpan w:val="2"/>
          </w:tcPr>
          <w:p>
            <w:pPr>
              <w:spacing w:after="0" w:line="153" w:lineRule="exact"/>
              <w:rPr>
                <w:sz w:val="20"/>
                <w:szCs w:val="20"/>
                <w:color w:val="auto"/>
              </w:rPr>
            </w:pPr>
            <w:r>
              <w:rPr>
                <w:rFonts w:ascii="Arial" w:cs="Arial" w:eastAsia="Arial" w:hAnsi="Arial"/>
                <w:sz w:val="14"/>
                <w:szCs w:val="14"/>
                <w:color w:val="auto"/>
              </w:rPr>
              <w:t>Less: Aggregate Change in Actuarial Present</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Value of Accumulated Benefit Under Pension</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Plans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49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Plus: Aggregate Service Cost and Prior Service</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1"/>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Cost for Pension Plans ($)</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90"/>
        </w:trPr>
        <w:tc>
          <w:tcPr>
            <w:tcW w:w="4900" w:type="dxa"/>
            <w:vAlign w:val="bottom"/>
            <w:gridSpan w:val="2"/>
          </w:tcPr>
          <w:p>
            <w:pPr>
              <w:spacing w:after="0"/>
              <w:rPr>
                <w:sz w:val="20"/>
                <w:szCs w:val="20"/>
                <w:color w:val="auto"/>
              </w:rPr>
            </w:pPr>
            <w:r>
              <w:rPr>
                <w:rFonts w:ascii="Arial" w:cs="Arial" w:eastAsia="Arial" w:hAnsi="Arial"/>
                <w:sz w:val="14"/>
                <w:szCs w:val="14"/>
                <w:color w:val="auto"/>
              </w:rPr>
              <w:t>Compensation Actually Paid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2,887,343</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794,370</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(183,778)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2,069,106</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1,331,211</w:t>
            </w:r>
          </w:p>
        </w:tc>
        <w:tc>
          <w:tcPr>
            <w:tcW w:w="1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Note: Equity Valuations: Stock option grant date fair value is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Time-vested restricted share grant date fair values are calculated using the stock price as of date of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Adjustments have been made using the stock price as of year-end and as of each date of vest.</w:t>
      </w:r>
    </w:p>
    <w:p>
      <w:pPr>
        <w:spacing w:after="0" w:line="21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Note that a portion of Fiscal 2022 bonus was paid in stock in Fiscal 2023, with a grant date of March 24, 2022. Both the cash and equity portions of this bonus were disclosed in the Summary Compensation Table for Fiscal 2022 (the cash was reported as Non-Equity Incentive Plan Compensation and the equity was reported as a Stock Award). Given the early Fiscal 2023 grant date for the equity portion of the bonus, for the “compensation actually paid” calculations, such portion was treated as a subtraction in Fiscal 2022 and an addition in Fiscal 2023.</w:t>
      </w:r>
    </w:p>
    <w:p>
      <w:pPr>
        <w:spacing w:after="0" w:line="68" w:lineRule="exact"/>
        <w:rPr>
          <w:sz w:val="20"/>
          <w:szCs w:val="20"/>
          <w:color w:val="auto"/>
        </w:rPr>
      </w:pPr>
    </w:p>
    <w:p>
      <w:pPr>
        <w:ind w:left="1020" w:right="220" w:hanging="503"/>
        <w:spacing w:after="0" w:line="253"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relevant fiscal year, represents the cumulative value of $100 invested in Genesco for the measurement periods beginning on January 30, 2021 and ending on January 31, 2026, February 1, 2025, February 3, 2024, January 28, 2023, and January 29, 2022, respectively.</w:t>
      </w:r>
    </w:p>
    <w:p>
      <w:pPr>
        <w:spacing w:after="0" w:line="60" w:lineRule="exact"/>
        <w:rPr>
          <w:rFonts w:ascii="Arial" w:cs="Arial" w:eastAsia="Arial" w:hAnsi="Arial"/>
          <w:sz w:val="18"/>
          <w:szCs w:val="18"/>
          <w:color w:val="auto"/>
        </w:rPr>
      </w:pPr>
    </w:p>
    <w:p>
      <w:pPr>
        <w:ind w:left="1020" w:right="200" w:hanging="503"/>
        <w:spacing w:after="0" w:line="244"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relevant fiscal year, represents the cumulative TSR (“Peer Group TSR”) of the annual report Peer Group consisting of Caleres, Inc., Designer Brands, Foot Locker, Inc. - included through September 8, 2025 when it was acquired by DICK's Sporting Goods, Inc., Shoe Carnival, Inc. and Wolverine World Wide, Inc. (the “Peer Group”) for the measurement periods beginning on January 30, 2021 and ending on January 31, 2026, February 1, 2025, February 3, 2024, January 28, 2023 and January 29, 2022, respectively.</w:t>
      </w:r>
    </w:p>
    <w:p>
      <w:pPr>
        <w:spacing w:after="0" w:line="68" w:lineRule="exact"/>
        <w:rPr>
          <w:rFonts w:ascii="Arial" w:cs="Arial" w:eastAsia="Arial" w:hAnsi="Arial"/>
          <w:sz w:val="18"/>
          <w:szCs w:val="18"/>
          <w:color w:val="auto"/>
        </w:rPr>
      </w:pPr>
    </w:p>
    <w:p>
      <w:pPr>
        <w:ind w:left="1020" w:right="260" w:hanging="503"/>
        <w:spacing w:after="0" w:line="253"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“Net Income (Loss)” in the Company’s Consolidated Statements of Operations included in the Company’s Annual Reports on Form 10-K for each of the years ended January 31, 2026, February 1, 2025, February 3, 2024, January 28, 2023 and January 29, 2022.</w:t>
      </w:r>
    </w:p>
    <w:p>
      <w:pPr>
        <w:spacing w:after="0" w:line="60" w:lineRule="exact"/>
        <w:rPr>
          <w:rFonts w:ascii="Arial" w:cs="Arial" w:eastAsia="Arial" w:hAnsi="Arial"/>
          <w:sz w:val="18"/>
          <w:szCs w:val="18"/>
          <w:color w:val="auto"/>
        </w:rPr>
      </w:pPr>
    </w:p>
    <w:p>
      <w:pPr>
        <w:ind w:left="1020" w:right="20" w:hanging="50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Company-Selected Measure is change in economic value added, or EVA. The Company determined EVA in Fiscal 2026 by subtracting from a business unit’s “net operating profit after taxes,” or NOPAT, a charge of 10% of the “average net assets” employed to generate the profit. EVA, NOPAT and average net assets are non-GAAP financial measures the Company computes utilizing, and for purposes of supplementing, certain financial metrics included in the Company’s audited consolidated financial statements, which are prepared in accordance with GAAP. For more information on EVA, NOPAT and average net assets, please see “EVA Calculations” above in “Executive Compensation — Compensation Discussion and Analysis — Fiscal 2026 Compensation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Relationship between Pay and Performance</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Below are graphs showing the relationship of “compensation actually paid” to our Chief Executive Officer and other named executive officers in Fiscal 2022, Fiscal 2023, Fiscal 2024, Fiscal 2025 and Fiscal 2026 to (1) TSR of both Genesco and the Peer Group, (2) Genesco’s net income (loss) and (3) Genesco’s change in 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136525</wp:posOffset>
            </wp:positionV>
            <wp:extent cx="4054475" cy="45262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54475"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1048385</wp:posOffset>
            </wp:positionV>
            <wp:extent cx="4054475" cy="2169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54475"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Performance Measures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Listed below are the performance measures which in our assessment represent the most important financial performance measures we use to link compensation actually paid to our named executive officers, for Fiscal 2026, to Company performance.</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Nature</w:t>
            </w:r>
          </w:p>
        </w:tc>
      </w:tr>
      <w:tr>
        <w:trPr>
          <w:trHeight w:val="196"/>
        </w:trPr>
        <w:tc>
          <w:tcPr>
            <w:tcW w:w="20" w:type="dxa"/>
            <w:vAlign w:val="bottom"/>
          </w:tcPr>
          <w:p>
            <w:pPr>
              <w:spacing w:after="0"/>
              <w:rPr>
                <w:sz w:val="17"/>
                <w:szCs w:val="17"/>
                <w:color w:val="auto"/>
              </w:rPr>
            </w:pPr>
          </w:p>
        </w:tc>
        <w:tc>
          <w:tcPr>
            <w:tcW w:w="6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Change in EVA</w:t>
            </w:r>
          </w:p>
        </w:tc>
        <w:tc>
          <w:tcPr>
            <w:tcW w:w="12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Financial</w:t>
            </w:r>
          </w:p>
        </w:tc>
        <w:tc>
          <w:tcPr>
            <w:tcW w:w="120" w:type="dxa"/>
            <w:vAlign w:val="bottom"/>
            <w:shd w:val="clear" w:color="auto" w:fill="CCEEFF"/>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12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Financial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Equity-Based Compensation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Fiscal 2026, directors were paid an annual cash retainer of $90,000. In addition to their retainer as directors, the lead independent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and the chairpersons of the Board committees received the following additional annual cash retainers: lead independent director,</w:t>
      </w:r>
    </w:p>
    <w:p>
      <w:pPr>
        <w:spacing w:after="0" w:line="234" w:lineRule="auto"/>
        <w:rPr>
          <w:sz w:val="20"/>
          <w:szCs w:val="20"/>
          <w:color w:val="auto"/>
        </w:rPr>
      </w:pPr>
      <w:r>
        <w:rPr>
          <w:rFonts w:ascii="Arial" w:cs="Arial" w:eastAsia="Arial" w:hAnsi="Arial"/>
          <w:sz w:val="18"/>
          <w:szCs w:val="18"/>
          <w:color w:val="auto"/>
        </w:rPr>
        <w:t>$35,000; audit committee, $30,000; compensation committee, $25,000; and nominating and governance committee, $20,000. Non-employee</w:t>
      </w:r>
    </w:p>
    <w:p>
      <w:pPr>
        <w:spacing w:after="0" w:line="235" w:lineRule="auto"/>
        <w:rPr>
          <w:sz w:val="20"/>
          <w:szCs w:val="20"/>
          <w:color w:val="auto"/>
        </w:rPr>
      </w:pPr>
      <w:r>
        <w:rPr>
          <w:rFonts w:ascii="Arial" w:cs="Arial" w:eastAsia="Arial" w:hAnsi="Arial"/>
          <w:sz w:val="18"/>
          <w:szCs w:val="18"/>
          <w:color w:val="auto"/>
        </w:rPr>
        <w:t>directors are also granted equity compensation in the amount of $120,000. The Company reimburses directors for their reasonable out-of-</w:t>
      </w:r>
    </w:p>
    <w:p>
      <w:pPr>
        <w:spacing w:after="0" w:line="235" w:lineRule="auto"/>
        <w:rPr>
          <w:sz w:val="20"/>
          <w:szCs w:val="20"/>
          <w:color w:val="auto"/>
        </w:rPr>
      </w:pPr>
      <w:r>
        <w:rPr>
          <w:rFonts w:ascii="Arial" w:cs="Arial" w:eastAsia="Arial" w:hAnsi="Arial"/>
          <w:sz w:val="18"/>
          <w:szCs w:val="18"/>
          <w:color w:val="auto"/>
        </w:rPr>
        <w:t>pocket expenses incurred in attending Board and committee meetings. Directors who are full-time Company employees do not receive any</w:t>
      </w:r>
    </w:p>
    <w:p>
      <w:pPr>
        <w:spacing w:after="0"/>
        <w:rPr>
          <w:sz w:val="20"/>
          <w:szCs w:val="20"/>
          <w:color w:val="auto"/>
        </w:rPr>
      </w:pPr>
      <w:r>
        <w:rPr>
          <w:rFonts w:ascii="Arial" w:cs="Arial" w:eastAsia="Arial" w:hAnsi="Arial"/>
          <w:sz w:val="18"/>
          <w:szCs w:val="18"/>
          <w:color w:val="auto"/>
        </w:rPr>
        <w:t>extra compensation for serving as directors.</w:t>
      </w:r>
    </w:p>
    <w:p>
      <w:pPr>
        <w:spacing w:after="0" w:line="194" w:lineRule="exact"/>
        <w:rPr>
          <w:sz w:val="20"/>
          <w:szCs w:val="20"/>
          <w:color w:val="auto"/>
        </w:rPr>
      </w:pPr>
    </w:p>
    <w:p>
      <w:pPr>
        <w:ind w:right="140" w:firstLine="382"/>
        <w:spacing w:after="0" w:line="271" w:lineRule="auto"/>
        <w:rPr>
          <w:sz w:val="20"/>
          <w:szCs w:val="20"/>
          <w:color w:val="auto"/>
        </w:rPr>
      </w:pPr>
      <w:r>
        <w:rPr>
          <w:rFonts w:ascii="Arial" w:cs="Arial" w:eastAsia="Arial" w:hAnsi="Arial"/>
          <w:sz w:val="18"/>
          <w:szCs w:val="18"/>
          <w:color w:val="auto"/>
        </w:rPr>
        <w:t>The following table shows, for each director of the Company who was a member of the Board during Fiscal 2026 and who is not also a named executive officer, information about the director’s compensation in Fiscal 2026.</w:t>
      </w:r>
    </w:p>
    <w:p>
      <w:pPr>
        <w:spacing w:after="0" w:line="6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Fees Earned</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or Paid in</w:t>
            </w:r>
          </w:p>
        </w:tc>
        <w:tc>
          <w:tcPr>
            <w:tcW w:w="80" w:type="dxa"/>
            <w:vAlign w:val="bottom"/>
          </w:tcPr>
          <w:p>
            <w:pPr>
              <w:spacing w:after="0"/>
              <w:rPr>
                <w:sz w:val="14"/>
                <w:szCs w:val="14"/>
                <w:color w:val="auto"/>
              </w:rPr>
            </w:pPr>
          </w:p>
        </w:tc>
        <w:tc>
          <w:tcPr>
            <w:tcW w:w="1360" w:type="dxa"/>
            <w:vAlign w:val="bottom"/>
          </w:tcPr>
          <w:p>
            <w:pPr>
              <w:ind w:left="4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Cash</w:t>
            </w:r>
          </w:p>
        </w:tc>
        <w:tc>
          <w:tcPr>
            <w:tcW w:w="80" w:type="dxa"/>
            <w:vAlign w:val="bottom"/>
          </w:tcPr>
          <w:p>
            <w:pPr>
              <w:spacing w:after="0"/>
              <w:rPr>
                <w:sz w:val="14"/>
                <w:szCs w:val="14"/>
                <w:color w:val="auto"/>
              </w:rPr>
            </w:pP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1440" w:type="dxa"/>
            <w:vAlign w:val="bottom"/>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162"/>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right"/>
              <w:ind w:right="524"/>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524"/>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562"/>
              <w:spacing w:after="0"/>
              <w:rPr>
                <w:sz w:val="20"/>
                <w:szCs w:val="20"/>
                <w:color w:val="auto"/>
              </w:rPr>
            </w:pPr>
            <w:r>
              <w:rPr>
                <w:rFonts w:ascii="Arial" w:cs="Arial" w:eastAsia="Arial" w:hAnsi="Arial"/>
                <w:sz w:val="14"/>
                <w:szCs w:val="14"/>
                <w:b w:val="1"/>
                <w:bCs w:val="1"/>
                <w:color w:val="auto"/>
              </w:rPr>
              <w:t>($)</w:t>
            </w:r>
          </w:p>
        </w:tc>
      </w:tr>
      <w:tr>
        <w:trPr>
          <w:trHeight w:val="17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(b)(1)</w:t>
            </w: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(c)(2)</w:t>
            </w:r>
          </w:p>
        </w:tc>
        <w:tc>
          <w:tcPr>
            <w:tcW w:w="80" w:type="dxa"/>
            <w:vAlign w:val="bottom"/>
          </w:tcPr>
          <w:p>
            <w:pPr>
              <w:spacing w:after="0"/>
              <w:rPr>
                <w:sz w:val="14"/>
                <w:szCs w:val="14"/>
                <w:color w:val="auto"/>
              </w:rPr>
            </w:pPr>
          </w:p>
        </w:tc>
        <w:tc>
          <w:tcPr>
            <w:tcW w:w="1440" w:type="dxa"/>
            <w:vAlign w:val="bottom"/>
          </w:tcPr>
          <w:p>
            <w:pPr>
              <w:jc w:val="right"/>
              <w:ind w:right="562"/>
              <w:spacing w:after="0"/>
              <w:rPr>
                <w:sz w:val="20"/>
                <w:szCs w:val="20"/>
                <w:color w:val="auto"/>
              </w:rPr>
            </w:pPr>
            <w:r>
              <w:rPr>
                <w:rFonts w:ascii="Arial" w:cs="Arial" w:eastAsia="Arial" w:hAnsi="Arial"/>
                <w:sz w:val="14"/>
                <w:szCs w:val="14"/>
                <w:b w:val="1"/>
                <w:bCs w:val="1"/>
                <w:color w:val="auto"/>
              </w:rPr>
              <w:t>(h)</w:t>
            </w: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Joanna Barsh</w:t>
            </w:r>
          </w:p>
        </w:tc>
        <w:tc>
          <w:tcPr>
            <w:tcW w:w="8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224"/>
              <w:spacing w:after="0" w:line="196" w:lineRule="exact"/>
              <w:rPr>
                <w:sz w:val="20"/>
                <w:szCs w:val="20"/>
                <w:color w:val="auto"/>
              </w:rPr>
            </w:pPr>
            <w:r>
              <w:rPr>
                <w:rFonts w:ascii="Arial" w:cs="Arial" w:eastAsia="Arial" w:hAnsi="Arial"/>
                <w:sz w:val="18"/>
                <w:szCs w:val="18"/>
                <w:color w:val="auto"/>
              </w:rPr>
              <w:t>110,000</w:t>
            </w:r>
          </w:p>
        </w:tc>
        <w:tc>
          <w:tcPr>
            <w:tcW w:w="8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110,346</w:t>
            </w:r>
          </w:p>
        </w:tc>
        <w:tc>
          <w:tcPr>
            <w:tcW w:w="8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ind w:right="262"/>
              <w:spacing w:after="0" w:line="196" w:lineRule="exact"/>
              <w:rPr>
                <w:sz w:val="20"/>
                <w:szCs w:val="20"/>
                <w:color w:val="auto"/>
              </w:rPr>
            </w:pPr>
            <w:r>
              <w:rPr>
                <w:rFonts w:ascii="Arial" w:cs="Arial" w:eastAsia="Arial" w:hAnsi="Arial"/>
                <w:sz w:val="18"/>
                <w:szCs w:val="18"/>
                <w:color w:val="auto"/>
              </w:rPr>
              <w:t>220,346</w:t>
            </w: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Matthew M. Bilunas</w:t>
            </w:r>
          </w:p>
        </w:tc>
        <w:tc>
          <w:tcPr>
            <w:tcW w:w="1440" w:type="dxa"/>
            <w:vAlign w:val="bottom"/>
            <w:gridSpan w:val="2"/>
          </w:tcPr>
          <w:p>
            <w:pPr>
              <w:jc w:val="right"/>
              <w:ind w:right="224"/>
              <w:spacing w:after="0" w:line="202" w:lineRule="exact"/>
              <w:rPr>
                <w:sz w:val="20"/>
                <w:szCs w:val="20"/>
                <w:color w:val="auto"/>
              </w:rPr>
            </w:pPr>
            <w:r>
              <w:rPr>
                <w:rFonts w:ascii="Arial" w:cs="Arial" w:eastAsia="Arial" w:hAnsi="Arial"/>
                <w:sz w:val="18"/>
                <w:szCs w:val="18"/>
                <w:color w:val="auto"/>
              </w:rPr>
              <w:t>90,000</w:t>
            </w:r>
          </w:p>
        </w:tc>
        <w:tc>
          <w:tcPr>
            <w:tcW w:w="14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tcPr>
          <w:p>
            <w:pPr>
              <w:jc w:val="right"/>
              <w:ind w:right="262"/>
              <w:spacing w:after="0" w:line="202" w:lineRule="exact"/>
              <w:rPr>
                <w:sz w:val="20"/>
                <w:szCs w:val="20"/>
                <w:color w:val="auto"/>
              </w:rPr>
            </w:pPr>
            <w:r>
              <w:rPr>
                <w:rFonts w:ascii="Arial" w:cs="Arial" w:eastAsia="Arial" w:hAnsi="Arial"/>
                <w:sz w:val="18"/>
                <w:szCs w:val="18"/>
                <w:color w:val="auto"/>
              </w:rPr>
              <w:t>200,346</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Carolyn Bojanowski</w:t>
            </w:r>
          </w:p>
        </w:tc>
        <w:tc>
          <w:tcPr>
            <w:tcW w:w="144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90,000</w:t>
            </w:r>
          </w:p>
        </w:tc>
        <w:tc>
          <w:tcPr>
            <w:tcW w:w="1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shd w:val="clear" w:color="auto" w:fill="CCEEFF"/>
          </w:tcPr>
          <w:p>
            <w:pPr>
              <w:jc w:val="right"/>
              <w:ind w:right="262"/>
              <w:spacing w:after="0" w:line="202" w:lineRule="exact"/>
              <w:rPr>
                <w:sz w:val="20"/>
                <w:szCs w:val="20"/>
                <w:color w:val="auto"/>
              </w:rPr>
            </w:pPr>
            <w:r>
              <w:rPr>
                <w:rFonts w:ascii="Arial" w:cs="Arial" w:eastAsia="Arial" w:hAnsi="Arial"/>
                <w:sz w:val="18"/>
                <w:szCs w:val="18"/>
                <w:color w:val="auto"/>
              </w:rPr>
              <w:t>200,346</w:t>
            </w: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John F. Lambros</w:t>
            </w:r>
          </w:p>
        </w:tc>
        <w:tc>
          <w:tcPr>
            <w:tcW w:w="1440" w:type="dxa"/>
            <w:vAlign w:val="bottom"/>
            <w:gridSpan w:val="2"/>
          </w:tcPr>
          <w:p>
            <w:pPr>
              <w:jc w:val="right"/>
              <w:ind w:right="224"/>
              <w:spacing w:after="0" w:line="202" w:lineRule="exact"/>
              <w:rPr>
                <w:sz w:val="20"/>
                <w:szCs w:val="20"/>
                <w:color w:val="auto"/>
              </w:rPr>
            </w:pPr>
            <w:r>
              <w:rPr>
                <w:rFonts w:ascii="Arial" w:cs="Arial" w:eastAsia="Arial" w:hAnsi="Arial"/>
                <w:sz w:val="18"/>
                <w:szCs w:val="18"/>
                <w:color w:val="auto"/>
              </w:rPr>
              <w:t>115,000</w:t>
            </w:r>
          </w:p>
        </w:tc>
        <w:tc>
          <w:tcPr>
            <w:tcW w:w="14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tcPr>
          <w:p>
            <w:pPr>
              <w:jc w:val="right"/>
              <w:ind w:right="262"/>
              <w:spacing w:after="0" w:line="202" w:lineRule="exact"/>
              <w:rPr>
                <w:sz w:val="20"/>
                <w:szCs w:val="20"/>
                <w:color w:val="auto"/>
              </w:rPr>
            </w:pPr>
            <w:r>
              <w:rPr>
                <w:rFonts w:ascii="Arial" w:cs="Arial" w:eastAsia="Arial" w:hAnsi="Arial"/>
                <w:sz w:val="18"/>
                <w:szCs w:val="18"/>
                <w:color w:val="auto"/>
              </w:rPr>
              <w:t>225,346</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Thurgood Marshall, Jr.</w:t>
            </w:r>
          </w:p>
        </w:tc>
        <w:tc>
          <w:tcPr>
            <w:tcW w:w="144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90,000</w:t>
            </w:r>
          </w:p>
        </w:tc>
        <w:tc>
          <w:tcPr>
            <w:tcW w:w="1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shd w:val="clear" w:color="auto" w:fill="CCEEFF"/>
          </w:tcPr>
          <w:p>
            <w:pPr>
              <w:jc w:val="right"/>
              <w:ind w:right="262"/>
              <w:spacing w:after="0" w:line="202" w:lineRule="exact"/>
              <w:rPr>
                <w:sz w:val="20"/>
                <w:szCs w:val="20"/>
                <w:color w:val="auto"/>
              </w:rPr>
            </w:pPr>
            <w:r>
              <w:rPr>
                <w:rFonts w:ascii="Arial" w:cs="Arial" w:eastAsia="Arial" w:hAnsi="Arial"/>
                <w:sz w:val="18"/>
                <w:szCs w:val="18"/>
                <w:color w:val="auto"/>
              </w:rPr>
              <w:t>200,346</w:t>
            </w:r>
          </w:p>
        </w:tc>
      </w:tr>
      <w:tr>
        <w:trPr>
          <w:trHeight w:val="202"/>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Angel R. Martinez</w:t>
            </w:r>
          </w:p>
        </w:tc>
        <w:tc>
          <w:tcPr>
            <w:tcW w:w="1440" w:type="dxa"/>
            <w:vAlign w:val="bottom"/>
            <w:gridSpan w:val="2"/>
          </w:tcPr>
          <w:p>
            <w:pPr>
              <w:jc w:val="right"/>
              <w:ind w:right="224"/>
              <w:spacing w:after="0" w:line="202" w:lineRule="exact"/>
              <w:rPr>
                <w:sz w:val="20"/>
                <w:szCs w:val="20"/>
                <w:color w:val="auto"/>
              </w:rPr>
            </w:pPr>
            <w:r>
              <w:rPr>
                <w:rFonts w:ascii="Arial" w:cs="Arial" w:eastAsia="Arial" w:hAnsi="Arial"/>
                <w:sz w:val="18"/>
                <w:szCs w:val="18"/>
                <w:color w:val="auto"/>
              </w:rPr>
              <w:t>90,000</w:t>
            </w:r>
          </w:p>
        </w:tc>
        <w:tc>
          <w:tcPr>
            <w:tcW w:w="14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tcPr>
          <w:p>
            <w:pPr>
              <w:jc w:val="right"/>
              <w:ind w:right="262"/>
              <w:spacing w:after="0" w:line="202" w:lineRule="exact"/>
              <w:rPr>
                <w:sz w:val="20"/>
                <w:szCs w:val="20"/>
                <w:color w:val="auto"/>
              </w:rPr>
            </w:pPr>
            <w:r>
              <w:rPr>
                <w:rFonts w:ascii="Arial" w:cs="Arial" w:eastAsia="Arial" w:hAnsi="Arial"/>
                <w:sz w:val="18"/>
                <w:szCs w:val="18"/>
                <w:color w:val="auto"/>
              </w:rPr>
              <w:t>200,346</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Mary E. Meixelsperger</w:t>
            </w:r>
          </w:p>
        </w:tc>
        <w:tc>
          <w:tcPr>
            <w:tcW w:w="144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120,000</w:t>
            </w:r>
          </w:p>
        </w:tc>
        <w:tc>
          <w:tcPr>
            <w:tcW w:w="1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shd w:val="clear" w:color="auto" w:fill="CCEEFF"/>
          </w:tcPr>
          <w:p>
            <w:pPr>
              <w:jc w:val="right"/>
              <w:ind w:right="262"/>
              <w:spacing w:after="0" w:line="202" w:lineRule="exact"/>
              <w:rPr>
                <w:sz w:val="20"/>
                <w:szCs w:val="20"/>
                <w:color w:val="auto"/>
              </w:rPr>
            </w:pPr>
            <w:r>
              <w:rPr>
                <w:rFonts w:ascii="Arial" w:cs="Arial" w:eastAsia="Arial" w:hAnsi="Arial"/>
                <w:sz w:val="18"/>
                <w:szCs w:val="18"/>
                <w:color w:val="auto"/>
              </w:rPr>
              <w:t>230,346</w:t>
            </w:r>
          </w:p>
        </w:tc>
      </w:tr>
      <w:tr>
        <w:trPr>
          <w:trHeight w:val="239"/>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Gregory A. Sandfort</w:t>
            </w:r>
          </w:p>
        </w:tc>
        <w:tc>
          <w:tcPr>
            <w:tcW w:w="1440" w:type="dxa"/>
            <w:vAlign w:val="bottom"/>
            <w:gridSpan w:val="2"/>
          </w:tcPr>
          <w:p>
            <w:pPr>
              <w:jc w:val="right"/>
              <w:ind w:right="224"/>
              <w:spacing w:after="0"/>
              <w:rPr>
                <w:sz w:val="20"/>
                <w:szCs w:val="20"/>
                <w:color w:val="auto"/>
              </w:rPr>
            </w:pPr>
            <w:r>
              <w:rPr>
                <w:rFonts w:ascii="Arial" w:cs="Arial" w:eastAsia="Arial" w:hAnsi="Arial"/>
                <w:sz w:val="18"/>
                <w:szCs w:val="18"/>
                <w:color w:val="auto"/>
              </w:rPr>
              <w:t>125,000</w:t>
            </w:r>
          </w:p>
        </w:tc>
        <w:tc>
          <w:tcPr>
            <w:tcW w:w="1440" w:type="dxa"/>
            <w:vAlign w:val="bottom"/>
            <w:gridSpan w:val="2"/>
          </w:tcPr>
          <w:p>
            <w:pPr>
              <w:ind w:left="500"/>
              <w:spacing w:after="0"/>
              <w:rPr>
                <w:sz w:val="20"/>
                <w:szCs w:val="20"/>
                <w:color w:val="auto"/>
              </w:rPr>
            </w:pPr>
            <w:r>
              <w:rPr>
                <w:rFonts w:ascii="Arial" w:cs="Arial" w:eastAsia="Arial" w:hAnsi="Arial"/>
                <w:sz w:val="18"/>
                <w:szCs w:val="18"/>
                <w:color w:val="auto"/>
              </w:rPr>
              <w:t>110,346</w:t>
            </w:r>
          </w:p>
        </w:tc>
        <w:tc>
          <w:tcPr>
            <w:tcW w:w="1520" w:type="dxa"/>
            <w:vAlign w:val="bottom"/>
            <w:gridSpan w:val="2"/>
          </w:tcPr>
          <w:p>
            <w:pPr>
              <w:jc w:val="right"/>
              <w:ind w:right="262"/>
              <w:spacing w:after="0"/>
              <w:rPr>
                <w:sz w:val="20"/>
                <w:szCs w:val="20"/>
                <w:color w:val="auto"/>
              </w:rPr>
            </w:pPr>
            <w:r>
              <w:rPr>
                <w:rFonts w:ascii="Arial" w:cs="Arial" w:eastAsia="Arial" w:hAnsi="Arial"/>
                <w:sz w:val="18"/>
                <w:szCs w:val="18"/>
                <w:color w:val="auto"/>
              </w:rPr>
              <w:t>235,346</w:t>
            </w:r>
          </w:p>
        </w:tc>
      </w:tr>
    </w:tbl>
    <w:p>
      <w:pPr>
        <w:spacing w:after="0" w:line="107" w:lineRule="exact"/>
        <w:rPr>
          <w:sz w:val="20"/>
          <w:szCs w:val="20"/>
          <w:color w:val="auto"/>
        </w:rPr>
      </w:pPr>
    </w:p>
    <w:p>
      <w:pPr>
        <w:ind w:left="900" w:hanging="518"/>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Cash fees include annual director’s retainer and, where applicable, lead director and committee chair fees.</w:t>
      </w:r>
    </w:p>
    <w:p>
      <w:pPr>
        <w:spacing w:after="0" w:line="211" w:lineRule="exact"/>
        <w:rPr>
          <w:rFonts w:ascii="Arial" w:cs="Arial" w:eastAsia="Arial" w:hAnsi="Arial"/>
          <w:sz w:val="18"/>
          <w:szCs w:val="18"/>
          <w:color w:val="auto"/>
        </w:rPr>
      </w:pPr>
    </w:p>
    <w:p>
      <w:pPr>
        <w:ind w:left="900" w:hanging="518"/>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amounts in column (c) represent the aggregate grant date fair value of restricted stock amounts, calculated by multiplying the closing price of the Company’s common stock on the NYSE on the grant date by the number of shares granted. On June 26, 2025, the Board granted shares of restricted stock with a value (at the average closing price of the common stock on the NYSE for the thirty-day period prior to the determination of the number of shares to be granted) of $120,000 to each of the non-employee directors pursuant to the Amended and Restated 2020 Equity Incentive Plan. The shares granted to directors in Fiscal 2026 vest on the earlier of the 2026 Annual Meeting and the first anniversary of the grant date, subject to continued service on the Board. At January 31, 2026, directors who were not also named executive officers had the following restricted stock awards outstanding:</w:t>
      </w:r>
    </w:p>
    <w:p>
      <w:pPr>
        <w:spacing w:after="0" w:line="5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r>
      <w:tr>
        <w:trPr>
          <w:trHeight w:val="162"/>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71"/>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r>
      <w:tr>
        <w:trPr>
          <w:trHeight w:val="196"/>
        </w:trPr>
        <w:tc>
          <w:tcPr>
            <w:tcW w:w="20" w:type="dxa"/>
            <w:vAlign w:val="bottom"/>
          </w:tcPr>
          <w:p>
            <w:pPr>
              <w:spacing w:after="0"/>
              <w:rPr>
                <w:sz w:val="17"/>
                <w:szCs w:val="17"/>
                <w:color w:val="auto"/>
              </w:rPr>
            </w:pPr>
          </w:p>
        </w:tc>
        <w:tc>
          <w:tcPr>
            <w:tcW w:w="7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Joanna Barsh</w:t>
            </w:r>
          </w:p>
        </w:tc>
        <w:tc>
          <w:tcPr>
            <w:tcW w:w="140" w:type="dxa"/>
            <w:vAlign w:val="bottom"/>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384"/>
              <w:spacing w:after="0" w:line="196"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Matthew M. Bilunas</w:t>
            </w:r>
          </w:p>
        </w:tc>
        <w:tc>
          <w:tcPr>
            <w:tcW w:w="1820" w:type="dxa"/>
            <w:vAlign w:val="bottom"/>
            <w:gridSpan w:val="2"/>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Carolyn Bojanowski</w:t>
            </w:r>
          </w:p>
        </w:tc>
        <w:tc>
          <w:tcPr>
            <w:tcW w:w="1820" w:type="dxa"/>
            <w:vAlign w:val="bottom"/>
            <w:gridSpan w:val="2"/>
            <w:shd w:val="clear" w:color="auto" w:fill="CCEEFF"/>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John F. Lambros</w:t>
            </w:r>
          </w:p>
        </w:tc>
        <w:tc>
          <w:tcPr>
            <w:tcW w:w="1820" w:type="dxa"/>
            <w:vAlign w:val="bottom"/>
            <w:gridSpan w:val="2"/>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Thurgood Marshall, Jr.</w:t>
            </w:r>
          </w:p>
        </w:tc>
        <w:tc>
          <w:tcPr>
            <w:tcW w:w="1820" w:type="dxa"/>
            <w:vAlign w:val="bottom"/>
            <w:gridSpan w:val="2"/>
            <w:shd w:val="clear" w:color="auto" w:fill="CCEEFF"/>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Angel R. Martinez</w:t>
            </w:r>
          </w:p>
        </w:tc>
        <w:tc>
          <w:tcPr>
            <w:tcW w:w="1820" w:type="dxa"/>
            <w:vAlign w:val="bottom"/>
            <w:gridSpan w:val="2"/>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Mary E. Meixelsperger</w:t>
            </w:r>
          </w:p>
        </w:tc>
        <w:tc>
          <w:tcPr>
            <w:tcW w:w="1820" w:type="dxa"/>
            <w:vAlign w:val="bottom"/>
            <w:gridSpan w:val="2"/>
            <w:shd w:val="clear" w:color="auto" w:fill="CCEEFF"/>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39"/>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Gregory A. Sandfort</w:t>
            </w:r>
          </w:p>
        </w:tc>
        <w:tc>
          <w:tcPr>
            <w:tcW w:w="1820" w:type="dxa"/>
            <w:vAlign w:val="bottom"/>
            <w:gridSpan w:val="2"/>
          </w:tcPr>
          <w:p>
            <w:pPr>
              <w:jc w:val="right"/>
              <w:ind w:right="384"/>
              <w:spacing w:after="0"/>
              <w:rPr>
                <w:sz w:val="20"/>
                <w:szCs w:val="20"/>
                <w:color w:val="auto"/>
              </w:rPr>
            </w:pPr>
            <w:r>
              <w:rPr>
                <w:rFonts w:ascii="Arial" w:cs="Arial" w:eastAsia="Arial" w:hAnsi="Arial"/>
                <w:sz w:val="18"/>
                <w:szCs w:val="18"/>
                <w:color w:val="auto"/>
              </w:rPr>
              <w:t>5,393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2</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ADVISORY VOTE ON COMPENSATION OF NAMED EXECUTIVE OFFICERS</w:t>
      </w:r>
    </w:p>
    <w:p>
      <w:pPr>
        <w:spacing w:after="0" w:line="194"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The U.S. Congress has enacted requirements commonly referred to as the “Say on Pay” rules. As required by Section 14A of the Exchange Act, the Company seeks shareholders’ non-binding, advisory vote to approve the compensation of the named executive officers as disclosed in the “Compensation Discussion and Analysis” section, the accompanying tables and related narrative discussion contained in this proxy statement.</w:t>
      </w:r>
    </w:p>
    <w:p>
      <w:pPr>
        <w:spacing w:after="0" w:line="174" w:lineRule="exact"/>
        <w:rPr>
          <w:sz w:val="20"/>
          <w:szCs w:val="20"/>
          <w:color w:val="auto"/>
        </w:rPr>
      </w:pPr>
    </w:p>
    <w:p>
      <w:pPr>
        <w:ind w:right="20" w:firstLine="382"/>
        <w:spacing w:after="0"/>
        <w:rPr>
          <w:sz w:val="20"/>
          <w:szCs w:val="20"/>
          <w:color w:val="auto"/>
        </w:rPr>
      </w:pPr>
      <w:r>
        <w:rPr>
          <w:rFonts w:ascii="Arial" w:cs="Arial" w:eastAsia="Arial" w:hAnsi="Arial"/>
          <w:sz w:val="18"/>
          <w:szCs w:val="18"/>
          <w:color w:val="auto"/>
        </w:rPr>
        <w:t>As described in detail in the “Compensation Discussion and Analysis” section, the Company’s executive compensation programs are designed to attract and retain executive officers with the skills necessary to achieve its financial and strategic objectives. The Company’s executives are rewarded for their contributions through appropriate incentives tied to the Company’s performance and market value that seek to align their interests with those of its shareholders. The Company believes that the compensation of its named executive officers was reasonable and rewarded the named executive officers for attaining specified goals which do not promote the taking of an unreasonable amount of risk. The “Compensation Discussion and Analysis” section of this proxy statement and the related tables and narrative discussion provide additional details on the Company’s executive compensation, including its compensation philosophy and objectives and the Fiscal 2026 compensation of the named executive officers.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2026 “Say on Pay” proposal gives you as a shareholder another opportunity to endorse or not endorse the compensation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 paid to the named executive officers through the following resolution:</w:t>
      </w:r>
    </w:p>
    <w:p>
      <w:pPr>
        <w:spacing w:after="0" w:line="194" w:lineRule="exact"/>
        <w:rPr>
          <w:sz w:val="20"/>
          <w:szCs w:val="20"/>
          <w:color w:val="auto"/>
        </w:rPr>
      </w:pPr>
    </w:p>
    <w:p>
      <w:pPr>
        <w:ind w:left="1020" w:right="120"/>
        <w:spacing w:after="0" w:line="253" w:lineRule="auto"/>
        <w:rPr>
          <w:sz w:val="20"/>
          <w:szCs w:val="20"/>
          <w:color w:val="auto"/>
        </w:rPr>
      </w:pPr>
      <w:r>
        <w:rPr>
          <w:rFonts w:ascii="Arial" w:cs="Arial" w:eastAsia="Arial" w:hAnsi="Arial"/>
          <w:sz w:val="18"/>
          <w:szCs w:val="18"/>
          <w:color w:val="auto"/>
        </w:rPr>
        <w:t>RESOLVED: That the shareholders of Genesco Inc. approve the compensation of the Company’s named executive officers, as disclosed pursuant to Item 402 of Regulation S-K, including the “Compensation Discussion and Analysis” section and related compensation tables, notes and narrative in the proxy statement for the Company’s 2026 Annual Meeting of Shareholders.</w:t>
      </w:r>
    </w:p>
    <w:p>
      <w:pPr>
        <w:spacing w:after="0" w:line="169" w:lineRule="exact"/>
        <w:rPr>
          <w:sz w:val="20"/>
          <w:szCs w:val="20"/>
          <w:color w:val="auto"/>
        </w:rPr>
      </w:pPr>
    </w:p>
    <w:p>
      <w:pPr>
        <w:ind w:right="60" w:firstLine="382"/>
        <w:spacing w:after="0" w:line="247" w:lineRule="auto"/>
        <w:rPr>
          <w:sz w:val="20"/>
          <w:szCs w:val="20"/>
          <w:color w:val="auto"/>
        </w:rPr>
      </w:pPr>
      <w:r>
        <w:rPr>
          <w:rFonts w:ascii="Arial" w:cs="Arial" w:eastAsia="Arial" w:hAnsi="Arial"/>
          <w:sz w:val="18"/>
          <w:szCs w:val="18"/>
          <w:color w:val="auto"/>
        </w:rPr>
        <w:t>Because your vote is advisory, it will not be binding on the Board or the Company. However, the Board will review the voting results and take them into consideration when making future decisions regarding executive compensation for named executive officers. The current frequency of the non-binding, advisory vote to approve the compensation of all named executive officers is annual. The next such vote will occur at the 2027 annual meeting of shareholders.</w:t>
      </w:r>
    </w:p>
    <w:p>
      <w:pPr>
        <w:spacing w:after="0" w:line="174" w:lineRule="exact"/>
        <w:rPr>
          <w:sz w:val="20"/>
          <w:szCs w:val="20"/>
          <w:color w:val="auto"/>
        </w:rPr>
      </w:pPr>
    </w:p>
    <w:p>
      <w:pPr>
        <w:ind w:right="620" w:firstLine="382"/>
        <w:spacing w:after="0" w:line="281" w:lineRule="auto"/>
        <w:rPr>
          <w:sz w:val="20"/>
          <w:szCs w:val="20"/>
          <w:color w:val="auto"/>
        </w:rPr>
      </w:pPr>
      <w:r>
        <w:rPr>
          <w:rFonts w:ascii="Arial" w:cs="Arial" w:eastAsia="Arial" w:hAnsi="Arial"/>
          <w:sz w:val="18"/>
          <w:szCs w:val="18"/>
          <w:b w:val="1"/>
          <w:bCs w:val="1"/>
          <w:color w:val="auto"/>
        </w:rPr>
        <w:t>The Board unanimously recommends a vote FOR the approval of the Company’s compensation of our named executive officers on a non-binding, advisory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 PROPOSAL TO APPROVE THE GENESCO INC.</w:t>
      </w:r>
    </w:p>
    <w:p>
      <w:pPr>
        <w:jc w:val="center"/>
        <w:ind w:right="40"/>
        <w:spacing w:after="0"/>
        <w:rPr>
          <w:sz w:val="20"/>
          <w:szCs w:val="20"/>
          <w:color w:val="auto"/>
        </w:rPr>
      </w:pPr>
      <w:r>
        <w:rPr>
          <w:rFonts w:ascii="Arial" w:cs="Arial" w:eastAsia="Arial" w:hAnsi="Arial"/>
          <w:sz w:val="18"/>
          <w:szCs w:val="18"/>
          <w:b w:val="1"/>
          <w:bCs w:val="1"/>
          <w:color w:val="auto"/>
        </w:rPr>
        <w:t>FOURTH AMENDED AND RESTATED 2020 EQUITY INCENTIVE PLAN</w:t>
      </w:r>
    </w:p>
    <w:p>
      <w:pPr>
        <w:spacing w:after="0" w:line="194"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The compensation committee and the Board believe that a key element of officer, key employee, non-employee director and consultant compensation is stock-based incentive compensation. Stock-based compensation advances the interests of the Company by encouraging and providing for the acquisition of equity interests in the Company by officers, key employees, non-employee directors and consultants, thereby providing substantial motivation for superior performance and aligning their interest with shareholders of the Company.</w:t>
      </w:r>
    </w:p>
    <w:p>
      <w:pPr>
        <w:spacing w:after="0" w:line="174" w:lineRule="exact"/>
        <w:rPr>
          <w:sz w:val="20"/>
          <w:szCs w:val="20"/>
          <w:color w:val="auto"/>
        </w:rPr>
      </w:pPr>
    </w:p>
    <w:p>
      <w:pPr>
        <w:ind w:right="40" w:firstLine="382"/>
        <w:spacing w:after="0"/>
        <w:rPr>
          <w:sz w:val="20"/>
          <w:szCs w:val="20"/>
          <w:color w:val="auto"/>
        </w:rPr>
      </w:pPr>
      <w:r>
        <w:rPr>
          <w:rFonts w:ascii="Arial" w:cs="Arial" w:eastAsia="Arial" w:hAnsi="Arial"/>
          <w:sz w:val="18"/>
          <w:szCs w:val="18"/>
          <w:color w:val="auto"/>
        </w:rPr>
        <w:t>In May 2026, the Board adopted, subject to shareholder approval, the Genesco Inc. Fourth Amended and Restated 2020 Equity Incentive Plan, which is an amendment and restatement of the Third Amended and Restated 2020 Equity Incentive Plan (for purposes of this Proposal 3, as proposed to be amended and restated, the “Amended Plan,” and as currently in effect, the “Plan”). The Amended Plan is designed to enhance the flexibility to adapt to changing economic and competitive conditions and to grant equity awards to our officers, key employees, non-employee directors and consultants, and to ensure that we can continue to grant equity awards to other eligible recipients at levels determined to be appropriate by the Board and/or the compensation committee. If approved by our shareholders, the Amended Plan will be effective as of [ ], 2026 (the “Effective Date”).</w:t>
      </w:r>
    </w:p>
    <w:p>
      <w:pPr>
        <w:spacing w:after="0" w:line="185"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Approval of the Amended Plan will increase by 1,200,000 shares the total number of shares available for issuance as of the Effective Date to 1,623,147 shares (which includes the 1,200,000 additional shares and the 423,147 shares available for grant as of April 30, 2026, under the Plan), less any shares granted under the Plan after April 30, 2026 and prior to the Effective Date, deducted at the fungible ratio described below. In connection with the Amended Plan, no substantive changes have been made to the Plan with the exception of (i) replenishing the share reserve, (ii) revising the ratio at which full-value awards are debited from the share reserve, and (iii) clarifying that performance awards may be settled in cash, shares, or any combination thereof, as determined by the compensation committee in its sole discretion. For a description of the material terms of the Amended Plan, see “Summary of Material Features of the Amended Plan” below. We request and recommend that our shareholders approve the Amended Plan.</w:t>
      </w:r>
    </w:p>
    <w:p>
      <w:pPr>
        <w:spacing w:after="0" w:line="180" w:lineRule="exact"/>
        <w:rPr>
          <w:sz w:val="20"/>
          <w:szCs w:val="20"/>
          <w:color w:val="auto"/>
        </w:rPr>
      </w:pPr>
    </w:p>
    <w:p>
      <w:pPr>
        <w:ind w:right="80" w:firstLine="382"/>
        <w:spacing w:after="0" w:line="239" w:lineRule="auto"/>
        <w:rPr>
          <w:sz w:val="20"/>
          <w:szCs w:val="20"/>
          <w:color w:val="auto"/>
        </w:rPr>
      </w:pPr>
      <w:r>
        <w:rPr>
          <w:rFonts w:ascii="Arial" w:cs="Arial" w:eastAsia="Arial" w:hAnsi="Arial"/>
          <w:sz w:val="18"/>
          <w:szCs w:val="18"/>
          <w:color w:val="auto"/>
        </w:rPr>
        <w:t>As noted above, as of April 30, 2026, there were 423,147 shares of common stock available for issuance under the Plan. Annual PSU grants for Fiscal 2027 had not yet been made as of April 30, 2026 and will need to come out of the Plan’s (or the Amended Plan’s, as applicable) share reserve. If our shareholders do not approve the proposed share increase contemplated by the Amended Plan, we believe we will not be able to continue to offer competitive equity packages to retain our current employees and hire new employees, and that we may not be competitive with other companies that offer equity incentives. If the Amended Plan is not approved by our shareholders, the Plan will remain in effect. The Plan is the only shareholder-approved equity plan under which the Company can currently grant equity awards. In determining the increase in the number of shares to be made available for grant as contemplated by the Amended Plan, the Board and the compensation committee considered the number and types of awards made by the Company in recent years under the Plan, the expected future practices with respect to equity awards to the Company’s executive officers and proxy advisory firm guidelines.</w:t>
      </w:r>
    </w:p>
    <w:p>
      <w:pPr>
        <w:spacing w:after="0" w:line="183" w:lineRule="exact"/>
        <w:rPr>
          <w:sz w:val="20"/>
          <w:szCs w:val="20"/>
          <w:color w:val="auto"/>
        </w:rPr>
      </w:pPr>
    </w:p>
    <w:p>
      <w:pPr>
        <w:ind w:right="40" w:firstLine="382"/>
        <w:spacing w:after="0" w:line="244" w:lineRule="auto"/>
        <w:rPr>
          <w:sz w:val="20"/>
          <w:szCs w:val="20"/>
          <w:color w:val="auto"/>
        </w:rPr>
      </w:pPr>
      <w:r>
        <w:rPr>
          <w:rFonts w:ascii="Arial" w:cs="Arial" w:eastAsia="Arial" w:hAnsi="Arial"/>
          <w:sz w:val="18"/>
          <w:szCs w:val="18"/>
          <w:color w:val="auto"/>
        </w:rPr>
        <w:t xml:space="preserve">The compensation committee and the Board believe that approval of the Amended Plan is essential to further the long-term stability and financial success of the Company by permitting the Company to continue to grant equity awards to attract, motivate and retain qualified officers, key employees, non-employee directors and consultants, in all cases at levels determined to be appropriate by the Board and/or the compensation committee and in accordance with the terms of the Amended Plan. A copy of the Amended Plan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firstLine="374"/>
        <w:spacing w:after="0" w:line="281" w:lineRule="auto"/>
        <w:rPr>
          <w:sz w:val="20"/>
          <w:szCs w:val="20"/>
          <w:color w:val="auto"/>
        </w:rPr>
      </w:pPr>
      <w:r>
        <w:rPr>
          <w:rFonts w:ascii="Arial" w:cs="Arial" w:eastAsia="Arial" w:hAnsi="Arial"/>
          <w:sz w:val="18"/>
          <w:szCs w:val="18"/>
          <w:b w:val="1"/>
          <w:bCs w:val="1"/>
          <w:color w:val="auto"/>
        </w:rPr>
        <w:t>The Board unanimously recommends a vote FOR approval of the Genesco Inc. Fourth Amended and Restated 2020 Equity Incentive Plan and your proxy will be so voted unless you specify otherwise.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Material Features of the Amended Plan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material features of the Amended Plan that is being submitted to the shareholders for approval include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Amended Plan Feature(1)</w:t>
            </w:r>
          </w:p>
        </w:tc>
        <w:tc>
          <w:tcPr>
            <w:tcW w:w="220" w:type="dxa"/>
            <w:vAlign w:val="bottom"/>
          </w:tcPr>
          <w:p>
            <w:pPr>
              <w:spacing w:after="0"/>
              <w:rPr>
                <w:sz w:val="16"/>
                <w:szCs w:val="16"/>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Amended Plan Terms</w:t>
            </w:r>
          </w:p>
        </w:tc>
      </w:tr>
      <w:tr>
        <w:trPr>
          <w:trHeight w:val="189"/>
        </w:trPr>
        <w:tc>
          <w:tcPr>
            <w:tcW w:w="2820" w:type="dxa"/>
            <w:vAlign w:val="bottom"/>
          </w:tcPr>
          <w:p>
            <w:pPr>
              <w:spacing w:after="0" w:line="189" w:lineRule="exact"/>
              <w:rPr>
                <w:sz w:val="20"/>
                <w:szCs w:val="20"/>
                <w:color w:val="auto"/>
              </w:rPr>
            </w:pPr>
            <w:r>
              <w:rPr>
                <w:rFonts w:ascii="Arial" w:cs="Arial" w:eastAsia="Arial" w:hAnsi="Arial"/>
                <w:sz w:val="18"/>
                <w:szCs w:val="18"/>
                <w:b w:val="1"/>
                <w:bCs w:val="1"/>
                <w:color w:val="auto"/>
              </w:rPr>
              <w:t>Authorized Shares</w:t>
            </w:r>
          </w:p>
        </w:tc>
        <w:tc>
          <w:tcPr>
            <w:tcW w:w="220" w:type="dxa"/>
            <w:vAlign w:val="bottom"/>
          </w:tcPr>
          <w:p>
            <w:pPr>
              <w:spacing w:after="0"/>
              <w:rPr>
                <w:sz w:val="16"/>
                <w:szCs w:val="16"/>
                <w:color w:val="auto"/>
              </w:rPr>
            </w:pPr>
          </w:p>
        </w:tc>
        <w:tc>
          <w:tcPr>
            <w:tcW w:w="8200" w:type="dxa"/>
            <w:vAlign w:val="bottom"/>
          </w:tcPr>
          <w:p>
            <w:pPr>
              <w:spacing w:after="0" w:line="189" w:lineRule="exact"/>
              <w:rPr>
                <w:sz w:val="20"/>
                <w:szCs w:val="20"/>
                <w:color w:val="auto"/>
              </w:rPr>
            </w:pPr>
            <w:r>
              <w:rPr>
                <w:rFonts w:ascii="Arial" w:cs="Arial" w:eastAsia="Arial" w:hAnsi="Arial"/>
                <w:sz w:val="18"/>
                <w:szCs w:val="18"/>
                <w:color w:val="auto"/>
              </w:rPr>
              <w:t>As of the Effective Date, (a) 1,623,147 (which includes (i) 1,200,000 additional shares authorized</w:t>
            </w:r>
          </w:p>
        </w:tc>
      </w:tr>
    </w:tbl>
    <w:p>
      <w:pPr>
        <w:spacing w:after="0"/>
        <w:tabs>
          <w:tab w:leader="none" w:pos="3020" w:val="left"/>
        </w:tabs>
        <w:rPr>
          <w:sz w:val="20"/>
          <w:szCs w:val="20"/>
          <w:color w:val="auto"/>
        </w:rPr>
      </w:pPr>
      <w:r>
        <w:rPr>
          <w:rFonts w:ascii="Arial" w:cs="Arial" w:eastAsia="Arial" w:hAnsi="Arial"/>
          <w:sz w:val="18"/>
          <w:szCs w:val="18"/>
          <w:i w:val="1"/>
          <w:iCs w:val="1"/>
          <w:color w:val="auto"/>
        </w:rPr>
        <w:t>(Section 4.1 of the Amended Plan)</w:t>
      </w:r>
      <w:r>
        <w:rPr>
          <w:sz w:val="20"/>
          <w:szCs w:val="20"/>
          <w:color w:val="auto"/>
        </w:rPr>
        <w:tab/>
      </w:r>
      <w:r>
        <w:rPr>
          <w:rFonts w:ascii="Arial" w:cs="Arial" w:eastAsia="Arial" w:hAnsi="Arial"/>
          <w:sz w:val="17"/>
          <w:szCs w:val="17"/>
          <w:color w:val="auto"/>
        </w:rPr>
        <w:t>pursuant to the Amended Plan, and (ii) 423,147 shares authorized and available for grant as of April</w:t>
      </w:r>
    </w:p>
    <w:p>
      <w:pPr>
        <w:sectPr>
          <w:pgSz w:w="11900" w:h="16838" w:orient="portrait"/>
          <w:cols w:equalWidth="0" w:num="1">
            <w:col w:w="11240"/>
          </w:cols>
          <w:pgMar w:left="320" w:top="117" w:right="339" w:bottom="1440" w:gutter="0" w:footer="0" w:header="0"/>
        </w:sectPr>
      </w:pPr>
    </w:p>
    <w:p>
      <w:pPr>
        <w:spacing w:after="0" w:line="14" w:lineRule="exact"/>
        <w:rPr>
          <w:sz w:val="20"/>
          <w:szCs w:val="20"/>
          <w:color w:val="auto"/>
        </w:rPr>
      </w:pPr>
    </w:p>
    <w:p>
      <w:pPr>
        <w:ind w:left="3040" w:right="260"/>
        <w:spacing w:after="0" w:line="234" w:lineRule="auto"/>
        <w:rPr>
          <w:sz w:val="20"/>
          <w:szCs w:val="20"/>
          <w:color w:val="auto"/>
        </w:rPr>
      </w:pPr>
      <w:r>
        <w:rPr>
          <w:rFonts w:ascii="Arial" w:cs="Arial" w:eastAsia="Arial" w:hAnsi="Arial"/>
          <w:sz w:val="18"/>
          <w:szCs w:val="18"/>
          <w:color w:val="auto"/>
        </w:rPr>
        <w:t>30, 2026, under the Plan), less (b) any shares (adjusted based on the fungible share counting provision set forth below) granted under the Plan after April 30, 2026 and prior to the Effective Date.</w:t>
      </w:r>
    </w:p>
    <w:p>
      <w:pPr>
        <w:sectPr>
          <w:pgSz w:w="11900" w:h="16838" w:orient="portrait"/>
          <w:cols w:equalWidth="0" w:num="1">
            <w:col w:w="11240"/>
          </w:cols>
          <w:pgMar w:left="320" w:top="117"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Fungible Share Counting</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Under the Amended Plan, each share subject to a full-value award would reduce the share reserve by</w:t>
      </w:r>
    </w:p>
    <w:p>
      <w:pPr>
        <w:spacing w:after="0" w:line="39" w:lineRule="exact"/>
        <w:rPr>
          <w:sz w:val="20"/>
          <w:szCs w:val="20"/>
          <w:color w:val="auto"/>
        </w:rPr>
      </w:pPr>
    </w:p>
    <w:p>
      <w:pPr>
        <w:sectPr>
          <w:pgSz w:w="11900" w:h="16838" w:orient="portrait"/>
          <w:cols w:equalWidth="0" w:num="2">
            <w:col w:w="2320" w:space="720"/>
            <w:col w:w="8200"/>
          </w:cols>
          <w:pgMar w:left="320" w:top="117" w:right="339" w:bottom="1440" w:gutter="0" w:footer="0" w:header="0"/>
          <w:type w:val="continuous"/>
        </w:sectPr>
      </w:pPr>
    </w:p>
    <w:p>
      <w:pPr>
        <w:spacing w:after="0"/>
        <w:tabs>
          <w:tab w:leader="none" w:pos="3020" w:val="left"/>
        </w:tabs>
        <w:rPr>
          <w:sz w:val="20"/>
          <w:szCs w:val="20"/>
          <w:color w:val="auto"/>
        </w:rPr>
      </w:pPr>
      <w:r>
        <w:rPr>
          <w:rFonts w:ascii="Arial" w:cs="Arial" w:eastAsia="Arial" w:hAnsi="Arial"/>
          <w:sz w:val="18"/>
          <w:szCs w:val="18"/>
          <w:i w:val="1"/>
          <w:iCs w:val="1"/>
          <w:color w:val="auto"/>
        </w:rPr>
        <w:t>(Section 4.1 of the Amended Plan)</w:t>
      </w:r>
      <w:r>
        <w:rPr>
          <w:sz w:val="20"/>
          <w:szCs w:val="20"/>
          <w:color w:val="auto"/>
        </w:rPr>
        <w:tab/>
      </w:r>
      <w:r>
        <w:rPr>
          <w:rFonts w:ascii="Arial" w:cs="Arial" w:eastAsia="Arial" w:hAnsi="Arial"/>
          <w:sz w:val="17"/>
          <w:szCs w:val="17"/>
          <w:color w:val="auto"/>
        </w:rPr>
        <w:t>the full-value debiting rate, and each share subject to an option or stock appreciation right (“SAR”)</w:t>
      </w:r>
    </w:p>
    <w:p>
      <w:pPr>
        <w:sectPr>
          <w:pgSz w:w="11900" w:h="16838" w:orient="portrait"/>
          <w:cols w:equalWidth="0" w:num="1">
            <w:col w:w="11240"/>
          </w:cols>
          <w:pgMar w:left="320" w:top="117" w:right="339" w:bottom="1440" w:gutter="0" w:footer="0" w:header="0"/>
          <w:type w:val="continuous"/>
        </w:sectPr>
      </w:pPr>
    </w:p>
    <w:p>
      <w:pPr>
        <w:ind w:left="3040" w:right="100"/>
        <w:spacing w:after="0" w:line="234" w:lineRule="auto"/>
        <w:rPr>
          <w:sz w:val="20"/>
          <w:szCs w:val="20"/>
          <w:color w:val="auto"/>
        </w:rPr>
      </w:pPr>
      <w:r>
        <w:rPr>
          <w:rFonts w:ascii="Arial" w:cs="Arial" w:eastAsia="Arial" w:hAnsi="Arial"/>
          <w:sz w:val="18"/>
          <w:szCs w:val="18"/>
          <w:color w:val="auto"/>
        </w:rPr>
        <w:t>would reduce the share reserve by one share. The full-value award debiting rate means: (i) for full-value awards granted under the Plan (or after February 1, 2020, full value awards previously granted under the Genesco Inc. Second Amended and Restated 2009 Equity Incentive Plan (the “Prior Plan”)) prior to or on March 24, 2023, 1.72 shares; (ii) for full-value awards granted after March 24, 2023 and through and including March 31, 2024 under the Plan, 1.52 shares; (iii) for full-value awards granted after March 31, 2024 and through and including April 15, 2025, 1.35 shares; (iv) for full-value awards granted after April 15, 2025 and through and including the Effective Date, 1.51 shares; and (v) for full-value awards granted after the Effective Date, 1 share.</w:t>
      </w:r>
    </w:p>
    <w:p>
      <w:pPr>
        <w:sectPr>
          <w:pgSz w:w="11900" w:h="16838" w:orient="portrait"/>
          <w:cols w:equalWidth="0" w:num="1">
            <w:col w:w="11240"/>
          </w:cols>
          <w:pgMar w:left="320" w:top="117" w:right="3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(Section 16.2 of the Amended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Amended Plan expires on [ ], 2030.</w:t>
      </w:r>
    </w:p>
    <w:p>
      <w:pPr>
        <w:spacing w:after="0" w:line="521" w:lineRule="exact"/>
        <w:rPr>
          <w:sz w:val="20"/>
          <w:szCs w:val="20"/>
          <w:color w:val="auto"/>
        </w:rPr>
      </w:pPr>
    </w:p>
    <w:p>
      <w:pPr>
        <w:sectPr>
          <w:pgSz w:w="11900" w:h="16838" w:orient="portrait"/>
          <w:cols w:equalWidth="0" w:num="2">
            <w:col w:w="2380" w:space="660"/>
            <w:col w:w="8200"/>
          </w:cols>
          <w:pgMar w:left="320" w:top="117"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Limited Share Recycling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following shares underlying any award will not again become available for awards under the</w:t>
      </w:r>
    </w:p>
    <w:p>
      <w:pPr>
        <w:spacing w:after="0" w:line="27" w:lineRule="exact"/>
        <w:rPr>
          <w:sz w:val="20"/>
          <w:szCs w:val="20"/>
          <w:color w:val="auto"/>
        </w:rPr>
      </w:pPr>
    </w:p>
    <w:p>
      <w:pPr>
        <w:sectPr>
          <w:pgSz w:w="11900" w:h="16838" w:orient="portrait"/>
          <w:cols w:equalWidth="0" w:num="2">
            <w:col w:w="2320" w:space="720"/>
            <w:col w:w="8200"/>
          </w:cols>
          <w:pgMar w:left="320" w:top="117" w:right="339" w:bottom="1440" w:gutter="0" w:footer="0" w:header="0"/>
          <w:type w:val="continuous"/>
        </w:sectPr>
      </w:pPr>
    </w:p>
    <w:p>
      <w:pPr>
        <w:spacing w:after="0"/>
        <w:tabs>
          <w:tab w:leader="none" w:pos="3020" w:val="left"/>
        </w:tabs>
        <w:rPr>
          <w:sz w:val="20"/>
          <w:szCs w:val="20"/>
          <w:color w:val="auto"/>
        </w:rPr>
      </w:pPr>
      <w:r>
        <w:rPr>
          <w:rFonts w:ascii="Arial" w:cs="Arial" w:eastAsia="Arial" w:hAnsi="Arial"/>
          <w:sz w:val="18"/>
          <w:szCs w:val="18"/>
          <w:i w:val="1"/>
          <w:iCs w:val="1"/>
          <w:color w:val="auto"/>
        </w:rPr>
        <w:t>(Section 4.1 of the Amended Plan)</w:t>
      </w:r>
      <w:r>
        <w:rPr>
          <w:sz w:val="20"/>
          <w:szCs w:val="20"/>
          <w:color w:val="auto"/>
        </w:rPr>
        <w:tab/>
      </w:r>
      <w:r>
        <w:rPr>
          <w:rFonts w:ascii="Arial" w:cs="Arial" w:eastAsia="Arial" w:hAnsi="Arial"/>
          <w:sz w:val="17"/>
          <w:szCs w:val="17"/>
          <w:color w:val="auto"/>
        </w:rPr>
        <w:t>Amended Plan: (1) shares tendered or withheld in payment of the option price of an option; (2) shares</w:t>
      </w:r>
    </w:p>
    <w:p>
      <w:pPr>
        <w:sectPr>
          <w:pgSz w:w="11900" w:h="16838" w:orient="portrait"/>
          <w:cols w:equalWidth="0" w:num="1">
            <w:col w:w="11240"/>
          </w:cols>
          <w:pgMar w:left="320" w:top="117" w:right="339" w:bottom="1440" w:gutter="0" w:footer="0" w:header="0"/>
          <w:type w:val="continuous"/>
        </w:sectPr>
      </w:pPr>
    </w:p>
    <w:p>
      <w:pPr>
        <w:ind w:left="3040" w:right="180"/>
        <w:spacing w:after="0" w:line="234" w:lineRule="auto"/>
        <w:rPr>
          <w:sz w:val="20"/>
          <w:szCs w:val="20"/>
          <w:color w:val="auto"/>
        </w:rPr>
      </w:pPr>
      <w:r>
        <w:rPr>
          <w:rFonts w:ascii="Arial" w:cs="Arial" w:eastAsia="Arial" w:hAnsi="Arial"/>
          <w:sz w:val="18"/>
          <w:szCs w:val="18"/>
          <w:color w:val="auto"/>
        </w:rPr>
        <w:t>tendered or withheld to satisfy any tax withholding obligation with respect to an option or SAR; (3) shares repurchased by the Company with proceeds received from the exercise of an option; and (4) shares subject to a SAR that are not issued in connection with the stock settlement of that SAR upon its exercise.</w:t>
      </w:r>
    </w:p>
    <w:p>
      <w:pPr>
        <w:sectPr>
          <w:pgSz w:w="11900" w:h="16838" w:orient="portrait"/>
          <w:cols w:equalWidth="0" w:num="1">
            <w:col w:w="11240"/>
          </w:cols>
          <w:pgMar w:left="320" w:top="117"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Forfeited Awards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Under the Amended Plan, full-value awards issued under the Plan, the Amended Plan, or the Prior</w:t>
      </w:r>
    </w:p>
    <w:p>
      <w:pPr>
        <w:spacing w:after="0" w:line="27" w:lineRule="exact"/>
        <w:rPr>
          <w:sz w:val="20"/>
          <w:szCs w:val="20"/>
          <w:color w:val="auto"/>
        </w:rPr>
      </w:pPr>
    </w:p>
    <w:p>
      <w:pPr>
        <w:sectPr>
          <w:pgSz w:w="11900" w:h="16838" w:orient="portrait"/>
          <w:cols w:equalWidth="0" w:num="2">
            <w:col w:w="2320" w:space="720"/>
            <w:col w:w="8200"/>
          </w:cols>
          <w:pgMar w:left="320" w:top="117" w:right="339" w:bottom="1440" w:gutter="0" w:footer="0" w:header="0"/>
          <w:type w:val="continuous"/>
        </w:sectPr>
      </w:pPr>
    </w:p>
    <w:p>
      <w:pPr>
        <w:spacing w:after="0"/>
        <w:tabs>
          <w:tab w:leader="none" w:pos="3020" w:val="left"/>
        </w:tabs>
        <w:rPr>
          <w:sz w:val="20"/>
          <w:szCs w:val="20"/>
          <w:color w:val="auto"/>
        </w:rPr>
      </w:pPr>
      <w:r>
        <w:rPr>
          <w:rFonts w:ascii="Arial" w:cs="Arial" w:eastAsia="Arial" w:hAnsi="Arial"/>
          <w:sz w:val="18"/>
          <w:szCs w:val="18"/>
          <w:i w:val="1"/>
          <w:iCs w:val="1"/>
          <w:color w:val="auto"/>
        </w:rPr>
        <w:t>(Section 4.1 of the Amended Plan)</w:t>
      </w:r>
      <w:r>
        <w:rPr>
          <w:sz w:val="20"/>
          <w:szCs w:val="20"/>
          <w:color w:val="auto"/>
        </w:rPr>
        <w:tab/>
      </w:r>
      <w:r>
        <w:rPr>
          <w:rFonts w:ascii="Arial" w:cs="Arial" w:eastAsia="Arial" w:hAnsi="Arial"/>
          <w:sz w:val="18"/>
          <w:szCs w:val="18"/>
          <w:color w:val="auto"/>
        </w:rPr>
        <w:t>Plan which terminate, expire or are settled for cash, forfeited or canceled will be added back to the</w:t>
      </w:r>
    </w:p>
    <w:p>
      <w:pPr>
        <w:sectPr>
          <w:pgSz w:w="11900" w:h="16838" w:orient="portrait"/>
          <w:cols w:equalWidth="0" w:num="1">
            <w:col w:w="11240"/>
          </w:cols>
          <w:pgMar w:left="320" w:top="117" w:right="339" w:bottom="1440" w:gutter="0" w:footer="0" w:header="0"/>
          <w:type w:val="continuous"/>
        </w:sectPr>
      </w:pPr>
    </w:p>
    <w:p>
      <w:pPr>
        <w:ind w:left="3040" w:right="200"/>
        <w:spacing w:after="0" w:line="234" w:lineRule="auto"/>
        <w:rPr>
          <w:sz w:val="20"/>
          <w:szCs w:val="20"/>
          <w:color w:val="auto"/>
        </w:rPr>
      </w:pPr>
      <w:r>
        <w:rPr>
          <w:rFonts w:ascii="Arial" w:cs="Arial" w:eastAsia="Arial" w:hAnsi="Arial"/>
          <w:sz w:val="18"/>
          <w:szCs w:val="18"/>
          <w:color w:val="auto"/>
        </w:rPr>
        <w:t>share reserve at the full-value award debiting rate; all other awards made under the Plan, the Amended Plan, or the Prior Plan which terminate, expire or are settled for cash, forfeited or canceled will be added back to the share reserve on a one-for-one basis.</w:t>
      </w:r>
    </w:p>
    <w:p>
      <w:pPr>
        <w:sectPr>
          <w:pgSz w:w="11900" w:h="16838" w:orient="portrait"/>
          <w:cols w:equalWidth="0" w:num="1">
            <w:col w:w="11240"/>
          </w:cols>
          <w:pgMar w:left="320" w:top="117" w:right="33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Award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234" w:lineRule="auto"/>
        <w:rPr>
          <w:sz w:val="20"/>
          <w:szCs w:val="20"/>
          <w:color w:val="auto"/>
        </w:rPr>
      </w:pPr>
      <w:r>
        <w:rPr>
          <w:rFonts w:ascii="Arial" w:cs="Arial" w:eastAsia="Arial" w:hAnsi="Arial"/>
          <w:sz w:val="18"/>
          <w:szCs w:val="18"/>
          <w:i w:val="1"/>
          <w:iCs w:val="1"/>
          <w:color w:val="auto"/>
        </w:rPr>
        <w:t>(Section 8.1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Plan)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Under the Amended Plan, performance awards granted pursuant to the Plan may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payable in cash, shares, other securities, other property, or any combination</w:t>
      </w:r>
    </w:p>
    <w:p>
      <w:pPr>
        <w:spacing w:after="0" w:line="234" w:lineRule="auto"/>
        <w:rPr>
          <w:sz w:val="20"/>
          <w:szCs w:val="20"/>
          <w:color w:val="auto"/>
        </w:rPr>
      </w:pPr>
      <w:r>
        <w:rPr>
          <w:rFonts w:ascii="Arial" w:cs="Arial" w:eastAsia="Arial" w:hAnsi="Arial"/>
          <w:sz w:val="18"/>
          <w:szCs w:val="18"/>
          <w:color w:val="auto"/>
        </w:rPr>
        <w:t>thereof, as determined in the sole discretion of the compensation committee.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Amended Plan clarifies that a single performance award may be settled using more than one form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200" w:lineRule="exact"/>
        <w:rPr>
          <w:sz w:val="20"/>
          <w:szCs w:val="20"/>
          <w:color w:val="auto"/>
        </w:rPr>
      </w:pPr>
    </w:p>
    <w:p>
      <w:pPr>
        <w:sectPr>
          <w:pgSz w:w="11900" w:h="16838" w:orient="portrait"/>
          <w:cols w:equalWidth="0" w:num="2">
            <w:col w:w="2320" w:space="720"/>
            <w:col w:w="820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Amended Plan Feature(1)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8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 w:lineRule="exact"/>
        <w:rPr>
          <w:sz w:val="20"/>
          <w:szCs w:val="20"/>
          <w:color w:val="auto"/>
        </w:rPr>
      </w:pPr>
    </w:p>
    <w:p>
      <w:pPr>
        <w:ind w:right="1060"/>
        <w:spacing w:after="0"/>
        <w:rPr>
          <w:sz w:val="20"/>
          <w:szCs w:val="20"/>
          <w:color w:val="auto"/>
        </w:rPr>
      </w:pPr>
      <w:r>
        <w:rPr>
          <w:rFonts w:ascii="Arial" w:cs="Arial" w:eastAsia="Arial" w:hAnsi="Arial"/>
          <w:sz w:val="18"/>
          <w:szCs w:val="18"/>
          <w:b w:val="1"/>
          <w:bCs w:val="1"/>
          <w:color w:val="auto"/>
        </w:rPr>
        <w:t xml:space="preserve">Performance Award Settlement </w:t>
      </w:r>
      <w:r>
        <w:rPr>
          <w:rFonts w:ascii="Arial" w:cs="Arial" w:eastAsia="Arial" w:hAnsi="Arial"/>
          <w:sz w:val="18"/>
          <w:szCs w:val="18"/>
          <w:i w:val="1"/>
          <w:iCs w:val="1"/>
          <w:color w:val="auto"/>
        </w:rPr>
        <w:t>(Section 8.3 of the Amended Plan)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Repricing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6.2 of the Amended Plan)</w:t>
      </w:r>
    </w:p>
    <w:p>
      <w:pPr>
        <w:spacing w:after="0" w:line="28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Minimum Vesting Requirement </w:t>
      </w:r>
      <w:r>
        <w:rPr>
          <w:rFonts w:ascii="Arial" w:cs="Arial" w:eastAsia="Arial" w:hAnsi="Arial"/>
          <w:sz w:val="18"/>
          <w:szCs w:val="18"/>
          <w:i w:val="1"/>
          <w:iCs w:val="1"/>
          <w:color w:val="auto"/>
        </w:rPr>
        <w:t>(Section 4.4 of the Amended Plan)</w:t>
      </w:r>
    </w:p>
    <w:p>
      <w:pPr>
        <w:ind w:right="740"/>
        <w:spacing w:after="0" w:line="234" w:lineRule="auto"/>
        <w:rPr>
          <w:sz w:val="20"/>
          <w:szCs w:val="20"/>
          <w:color w:val="auto"/>
        </w:rPr>
      </w:pPr>
      <w:r>
        <w:rPr>
          <w:rFonts w:ascii="Arial" w:cs="Arial" w:eastAsia="Arial" w:hAnsi="Arial"/>
          <w:sz w:val="18"/>
          <w:szCs w:val="18"/>
          <w:b w:val="1"/>
          <w:bCs w:val="1"/>
          <w:color w:val="auto"/>
        </w:rPr>
        <w:t>Recoupment/ Clawback Provision</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i w:val="1"/>
          <w:iCs w:val="1"/>
          <w:color w:val="auto"/>
        </w:rPr>
        <w:t>(Section 14.3 of the Amended Plan)</w:t>
      </w:r>
    </w:p>
    <w:p>
      <w:pPr>
        <w:spacing w:after="0" w:line="266"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Limit on Non-Employee Director Compensation</w:t>
      </w:r>
    </w:p>
    <w:p>
      <w:pPr>
        <w:ind w:right="380"/>
        <w:spacing w:after="0" w:line="250" w:lineRule="auto"/>
        <w:rPr>
          <w:sz w:val="20"/>
          <w:szCs w:val="20"/>
          <w:color w:val="auto"/>
        </w:rPr>
      </w:pPr>
      <w:r>
        <w:rPr>
          <w:rFonts w:ascii="Arial" w:cs="Arial" w:eastAsia="Arial" w:hAnsi="Arial"/>
          <w:sz w:val="18"/>
          <w:szCs w:val="18"/>
          <w:i w:val="1"/>
          <w:iCs w:val="1"/>
          <w:color w:val="auto"/>
        </w:rPr>
        <w:t>(Section 10.2 of the Amended Plan)</w:t>
      </w:r>
    </w:p>
    <w:p>
      <w:pPr>
        <w:spacing w:after="0" w:line="7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 xml:space="preserve">Limitations on Dividend Payments on Unvested Awards </w:t>
      </w:r>
      <w:r>
        <w:rPr>
          <w:rFonts w:ascii="Arial" w:cs="Arial" w:eastAsia="Arial" w:hAnsi="Arial"/>
          <w:sz w:val="18"/>
          <w:szCs w:val="18"/>
          <w:i w:val="1"/>
          <w:iCs w:val="1"/>
          <w:color w:val="auto"/>
        </w:rPr>
        <w:t>(Section 15.2 of the Amended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9030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Amended Plan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52031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15" w:lineRule="exact"/>
        <w:rPr>
          <w:sz w:val="20"/>
          <w:szCs w:val="20"/>
          <w:color w:val="auto"/>
        </w:rPr>
      </w:pPr>
    </w:p>
    <w:p>
      <w:pPr>
        <w:ind w:right="1620"/>
        <w:spacing w:after="0" w:line="239" w:lineRule="auto"/>
        <w:rPr>
          <w:sz w:val="20"/>
          <w:szCs w:val="20"/>
          <w:color w:val="auto"/>
        </w:rPr>
      </w:pPr>
      <w:r>
        <w:rPr>
          <w:rFonts w:ascii="Arial" w:cs="Arial" w:eastAsia="Arial" w:hAnsi="Arial"/>
          <w:sz w:val="18"/>
          <w:szCs w:val="18"/>
          <w:color w:val="auto"/>
        </w:rPr>
        <w:t>Under the Amended Plan, performance awards may be settled in cash, shares, other securities, other property, or any combination thereof, as determined by the compensation committee in its sole discretion. Settlement may be made in a lump sum, in installments, or on a deferred basis, in each case consistent with the terms of the applicable award agreement.</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Amended Plan prohibits the repricing of stock options or SARs without shareholder approval. This restriction applies to both direct repricing (lowering the option price of a stock option) and indirect repricing (canceling an outstanding stock option in exchange for a cash award or another award).</w:t>
      </w:r>
    </w:p>
    <w:p>
      <w:pPr>
        <w:spacing w:after="0" w:line="6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Subject to limited exceptions, no award will have a vesting period of less than one year. Up to 5% of the awards under the Amended Plan will not be subject to this requirement.</w:t>
      </w:r>
    </w:p>
    <w:p>
      <w:pPr>
        <w:ind w:right="180"/>
        <w:spacing w:after="0" w:line="239" w:lineRule="auto"/>
        <w:rPr>
          <w:sz w:val="20"/>
          <w:szCs w:val="20"/>
          <w:color w:val="auto"/>
        </w:rPr>
      </w:pPr>
      <w:r>
        <w:rPr>
          <w:rFonts w:ascii="Arial" w:cs="Arial" w:eastAsia="Arial" w:hAnsi="Arial"/>
          <w:sz w:val="18"/>
          <w:szCs w:val="18"/>
          <w:color w:val="auto"/>
        </w:rPr>
        <w:t>In addition to the permissive recoupment provisions set forth in the Amended Plan, all awards will be subject to recoupment under certain circumstances, including to the extent (1) set forth in any award agreement, (2) the recipient is subject to the Company’s existing recoupment policy (which applies to cash and equity-based incentive compensation), or (3) the recoupment provisions of the Sarbanes-Oxley Act apply to the recipient.</w:t>
      </w:r>
    </w:p>
    <w:p>
      <w:pPr>
        <w:spacing w:after="0" w:line="7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aggregate value of all compensation (both cash and equity) paid or granted, as applicable, to any non-employee director with respect to any calendar year shall not exceed $500,000 (subject to exceptions for extraordinary circumstances such as service on a special committee).</w:t>
      </w:r>
    </w:p>
    <w:p>
      <w:pPr>
        <w:spacing w:after="0" w:line="277"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Dividends and dividend equivalents may not be paid on awards subject to vesting conditions unless and until such vesting conditions are met. Dividend equivalents may not be paid on stock options or SARs.</w:t>
      </w:r>
    </w:p>
    <w:p>
      <w:pPr>
        <w:spacing w:after="0" w:line="303" w:lineRule="exact"/>
        <w:rPr>
          <w:sz w:val="20"/>
          <w:szCs w:val="20"/>
          <w:color w:val="auto"/>
        </w:rPr>
      </w:pPr>
    </w:p>
    <w:p>
      <w:pPr>
        <w:sectPr>
          <w:pgSz w:w="11900" w:h="16838" w:orient="portrait"/>
          <w:cols w:equalWidth="0" w:num="2">
            <w:col w:w="2760" w:space="280"/>
            <w:col w:w="8200"/>
          </w:cols>
          <w:pgMar w:left="320" w:top="117" w:right="339" w:bottom="1440" w:gutter="0" w:footer="0" w:header="0"/>
          <w:type w:val="continuous"/>
        </w:sectPr>
      </w:pPr>
    </w:p>
    <w:p>
      <w:pPr>
        <w:ind w:left="520" w:right="180" w:hanging="512"/>
        <w:spacing w:after="0" w:line="241"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connection with the Amended Plan, no substantive changes have been made to the Plan with the exception of (i) replenishing the share reserve, (ii) revising the ratio at which full-value awards are debited from the share reserve, and (iii) clarifying that performance awards may be settled in cash, shares,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or any combination thereof, as determined by the compensation committee in its sole discretion.</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Key Plan Data</w:t>
      </w:r>
      <w:r>
        <w:rPr>
          <w:rFonts w:ascii="Arial" w:cs="Arial" w:eastAsia="Arial" w:hAnsi="Arial"/>
          <w:sz w:val="18"/>
          <w:szCs w:val="18"/>
          <w:color w:val="auto"/>
        </w:rPr>
        <w:t>.</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certain information about the Plan, including outstanding awards, as of April 30, 2026: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8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7"/>
                <w:szCs w:val="17"/>
                <w:color w:val="auto"/>
              </w:rPr>
              <w:t>Number of shares that were remaining available for future grant under the Plan</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423,147</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Number of full-value awards (restricted stock, RSUs and PSUs) outstanding as of April 30, 2026</w:t>
            </w:r>
          </w:p>
        </w:tc>
        <w:tc>
          <w:tcPr>
            <w:tcW w:w="1460" w:type="dxa"/>
            <w:vAlign w:val="bottom"/>
          </w:tcPr>
          <w:p>
            <w:pPr>
              <w:spacing w:after="0"/>
              <w:rPr>
                <w:sz w:val="17"/>
                <w:szCs w:val="17"/>
                <w:color w:val="auto"/>
              </w:rPr>
            </w:pP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868,424</w:t>
            </w: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stock options outstanding</w:t>
            </w:r>
          </w:p>
        </w:tc>
        <w:tc>
          <w:tcPr>
            <w:tcW w:w="1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26,620</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Weighted average remaining term of outstanding options</w:t>
            </w:r>
          </w:p>
        </w:tc>
        <w:tc>
          <w:tcPr>
            <w:tcW w:w="1460" w:type="dxa"/>
            <w:vAlign w:val="bottom"/>
          </w:tcPr>
          <w:p>
            <w:pPr>
              <w:spacing w:after="0"/>
              <w:rPr>
                <w:sz w:val="17"/>
                <w:szCs w:val="17"/>
                <w:color w:val="auto"/>
              </w:rPr>
            </w:pP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4.00</w:t>
            </w: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exercise price of outstanding options</w:t>
            </w:r>
          </w:p>
        </w:tc>
        <w:tc>
          <w:tcPr>
            <w:tcW w:w="146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right="580" w:hanging="512"/>
        <w:spacing w:after="0" w:line="253"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Grants of full-value awards count against the authorization at the full-value award debiting rate. As of the Effective Date, the authorization will be reduced by the number of shares granted under the Plan after April 30, 2026 and prior to the Effective Date adjusted by the applicable full-value award debiting rate.</w:t>
      </w:r>
    </w:p>
    <w:p>
      <w:pPr>
        <w:spacing w:after="0" w:line="169" w:lineRule="exact"/>
        <w:rPr>
          <w:sz w:val="20"/>
          <w:szCs w:val="20"/>
          <w:color w:val="auto"/>
        </w:rPr>
      </w:pPr>
    </w:p>
    <w:p>
      <w:pPr>
        <w:ind w:right="20" w:firstLine="374"/>
        <w:spacing w:after="0" w:line="242" w:lineRule="auto"/>
        <w:rPr>
          <w:sz w:val="20"/>
          <w:szCs w:val="20"/>
          <w:color w:val="auto"/>
        </w:rPr>
      </w:pPr>
      <w:r>
        <w:rPr>
          <w:rFonts w:ascii="Arial" w:cs="Arial" w:eastAsia="Arial" w:hAnsi="Arial"/>
          <w:sz w:val="18"/>
          <w:szCs w:val="18"/>
          <w:i w:val="1"/>
          <w:iCs w:val="1"/>
          <w:u w:val="single" w:color="auto"/>
          <w:color w:val="auto"/>
        </w:rPr>
        <w:t>Burn Rate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that equity-based compensation programs dilute shareholder equity and need to be used</w:t>
      </w:r>
      <w:r>
        <w:rPr>
          <w:rFonts w:ascii="Arial" w:cs="Arial" w:eastAsia="Arial" w:hAnsi="Arial"/>
          <w:sz w:val="18"/>
          <w:szCs w:val="18"/>
          <w:i w:val="1"/>
          <w:iCs w:val="1"/>
          <w:color w:val="auto"/>
        </w:rPr>
        <w:t xml:space="preserve"> </w:t>
      </w:r>
      <w:r>
        <w:rPr>
          <w:rFonts w:ascii="Arial" w:cs="Arial" w:eastAsia="Arial" w:hAnsi="Arial"/>
          <w:sz w:val="18"/>
          <w:szCs w:val="18"/>
          <w:color w:val="auto"/>
        </w:rPr>
        <w:t>judiciously. We manage our long-term dilution by considering the number of shares subject to equity-based awards that we grant annually, commonly expressed as a percentage of total shares outstanding and referred to as burn rate. Burn rate is a key measure of dilution that shows how rapidly a company is depleting its shares reserved for equity-based compensation plans, and differs from annual dilution because it does not take into account cancellations and other shares returned to the reserve. We believe our historical share utilization rate has been prudent and mindful of shareholder interests.</w:t>
      </w:r>
    </w:p>
    <w:p>
      <w:pPr>
        <w:spacing w:after="0" w:line="179" w:lineRule="exact"/>
        <w:rPr>
          <w:sz w:val="20"/>
          <w:szCs w:val="20"/>
          <w:color w:val="auto"/>
        </w:rPr>
      </w:pPr>
    </w:p>
    <w:p>
      <w:pPr>
        <w:ind w:right="840" w:firstLine="374"/>
        <w:spacing w:after="0" w:line="271" w:lineRule="auto"/>
        <w:rPr>
          <w:sz w:val="20"/>
          <w:szCs w:val="20"/>
          <w:color w:val="auto"/>
        </w:rPr>
      </w:pPr>
      <w:r>
        <w:rPr>
          <w:rFonts w:ascii="Arial" w:cs="Arial" w:eastAsia="Arial" w:hAnsi="Arial"/>
          <w:sz w:val="18"/>
          <w:szCs w:val="18"/>
          <w:color w:val="auto"/>
        </w:rPr>
        <w:t>The table below sets forth information regarding historical awards granted in Fiscal 2026, Fiscal 2025 and Fiscal 2024 and the corresponding Burn Rate (as such terms are defined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Fiscal 2026</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Fiscal 2025</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Fiscal 2024</w:t>
            </w:r>
          </w:p>
        </w:tc>
      </w:tr>
      <w:tr>
        <w:trPr>
          <w:trHeight w:val="196"/>
        </w:trPr>
        <w:tc>
          <w:tcPr>
            <w:tcW w:w="6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Stock options granted</w:t>
            </w:r>
          </w:p>
        </w:tc>
        <w:tc>
          <w:tcPr>
            <w:tcW w:w="1660" w:type="dxa"/>
            <w:vAlign w:val="bottom"/>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39"/>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36"/>
              <w:spacing w:after="0" w:line="196" w:lineRule="exact"/>
              <w:rPr>
                <w:sz w:val="20"/>
                <w:szCs w:val="20"/>
                <w:color w:val="auto"/>
              </w:rPr>
            </w:pPr>
            <w:r>
              <w:rPr>
                <w:rFonts w:ascii="Arial" w:cs="Arial" w:eastAsia="Arial" w:hAnsi="Arial"/>
                <w:sz w:val="18"/>
                <w:szCs w:val="18"/>
                <w:color w:val="auto"/>
              </w:rPr>
              <w:t>—</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Time-based full-value awards (restricted stock and RSUs) granted(1)</w:t>
            </w:r>
          </w:p>
        </w:tc>
        <w:tc>
          <w:tcPr>
            <w:tcW w:w="16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186,322</w:t>
            </w:r>
          </w:p>
        </w:tc>
        <w:tc>
          <w:tcPr>
            <w:tcW w:w="1760" w:type="dxa"/>
            <w:vAlign w:val="bottom"/>
            <w:gridSpan w:val="2"/>
          </w:tcPr>
          <w:p>
            <w:pPr>
              <w:jc w:val="right"/>
              <w:ind w:right="339"/>
              <w:spacing w:after="0" w:line="202" w:lineRule="exact"/>
              <w:rPr>
                <w:sz w:val="20"/>
                <w:szCs w:val="20"/>
                <w:color w:val="auto"/>
              </w:rPr>
            </w:pPr>
            <w:r>
              <w:rPr>
                <w:rFonts w:ascii="Arial" w:cs="Arial" w:eastAsia="Arial" w:hAnsi="Arial"/>
                <w:sz w:val="18"/>
                <w:szCs w:val="18"/>
                <w:color w:val="auto"/>
              </w:rPr>
              <w:t>337,542</w:t>
            </w:r>
          </w:p>
        </w:tc>
        <w:tc>
          <w:tcPr>
            <w:tcW w:w="1760" w:type="dxa"/>
            <w:vAlign w:val="bottom"/>
            <w:gridSpan w:val="2"/>
          </w:tcPr>
          <w:p>
            <w:pPr>
              <w:jc w:val="right"/>
              <w:ind w:right="336"/>
              <w:spacing w:after="0" w:line="202" w:lineRule="exact"/>
              <w:rPr>
                <w:sz w:val="20"/>
                <w:szCs w:val="20"/>
                <w:color w:val="auto"/>
              </w:rPr>
            </w:pPr>
            <w:r>
              <w:rPr>
                <w:rFonts w:ascii="Arial" w:cs="Arial" w:eastAsia="Arial" w:hAnsi="Arial"/>
                <w:sz w:val="18"/>
                <w:szCs w:val="18"/>
                <w:color w:val="auto"/>
              </w:rPr>
              <w:t>296,028</w:t>
            </w: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Performance-based full-value awards (PSUs) earned(2)</w:t>
            </w:r>
          </w:p>
        </w:tc>
        <w:tc>
          <w:tcPr>
            <w:tcW w:w="16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39"/>
              <w:spacing w:after="0" w:line="202" w:lineRule="exact"/>
              <w:rPr>
                <w:sz w:val="20"/>
                <w:szCs w:val="20"/>
                <w:color w:val="auto"/>
              </w:rPr>
            </w:pPr>
            <w:r>
              <w:rPr>
                <w:rFonts w:ascii="Arial" w:cs="Arial" w:eastAsia="Arial" w:hAnsi="Arial"/>
                <w:sz w:val="18"/>
                <w:szCs w:val="18"/>
                <w:color w:val="auto"/>
              </w:rPr>
              <w:t>138,697</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w:t>
            </w:r>
          </w:p>
        </w:tc>
      </w:tr>
      <w:tr>
        <w:trPr>
          <w:trHeight w:val="203"/>
        </w:trPr>
        <w:tc>
          <w:tcPr>
            <w:tcW w:w="60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Total awards granted (or earned, as applicable)</w:t>
            </w:r>
          </w:p>
        </w:tc>
        <w:tc>
          <w:tcPr>
            <w:tcW w:w="16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186,322</w:t>
            </w:r>
          </w:p>
        </w:tc>
        <w:tc>
          <w:tcPr>
            <w:tcW w:w="1760" w:type="dxa"/>
            <w:vAlign w:val="bottom"/>
            <w:gridSpan w:val="2"/>
          </w:tcPr>
          <w:p>
            <w:pPr>
              <w:jc w:val="right"/>
              <w:ind w:right="339"/>
              <w:spacing w:after="0" w:line="202" w:lineRule="exact"/>
              <w:rPr>
                <w:sz w:val="20"/>
                <w:szCs w:val="20"/>
                <w:color w:val="auto"/>
              </w:rPr>
            </w:pPr>
            <w:r>
              <w:rPr>
                <w:rFonts w:ascii="Arial" w:cs="Arial" w:eastAsia="Arial" w:hAnsi="Arial"/>
                <w:sz w:val="18"/>
                <w:szCs w:val="18"/>
                <w:color w:val="auto"/>
              </w:rPr>
              <w:t>476,239</w:t>
            </w:r>
          </w:p>
        </w:tc>
        <w:tc>
          <w:tcPr>
            <w:tcW w:w="1760" w:type="dxa"/>
            <w:vAlign w:val="bottom"/>
            <w:gridSpan w:val="2"/>
          </w:tcPr>
          <w:p>
            <w:pPr>
              <w:jc w:val="right"/>
              <w:ind w:right="336"/>
              <w:spacing w:after="0" w:line="202" w:lineRule="exact"/>
              <w:rPr>
                <w:sz w:val="20"/>
                <w:szCs w:val="20"/>
                <w:color w:val="auto"/>
              </w:rPr>
            </w:pPr>
            <w:r>
              <w:rPr>
                <w:rFonts w:ascii="Arial" w:cs="Arial" w:eastAsia="Arial" w:hAnsi="Arial"/>
                <w:sz w:val="18"/>
                <w:szCs w:val="18"/>
                <w:color w:val="auto"/>
              </w:rPr>
              <w:t>296,028</w:t>
            </w: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outstanding(3)</w:t>
            </w:r>
          </w:p>
        </w:tc>
        <w:tc>
          <w:tcPr>
            <w:tcW w:w="16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10,366,000</w:t>
            </w:r>
          </w:p>
        </w:tc>
        <w:tc>
          <w:tcPr>
            <w:tcW w:w="1760" w:type="dxa"/>
            <w:vAlign w:val="bottom"/>
            <w:gridSpan w:val="2"/>
            <w:shd w:val="clear" w:color="auto" w:fill="CCEEFF"/>
          </w:tcPr>
          <w:p>
            <w:pPr>
              <w:jc w:val="right"/>
              <w:ind w:right="339"/>
              <w:spacing w:after="0" w:line="202" w:lineRule="exact"/>
              <w:rPr>
                <w:sz w:val="20"/>
                <w:szCs w:val="20"/>
                <w:color w:val="auto"/>
              </w:rPr>
            </w:pPr>
            <w:r>
              <w:rPr>
                <w:rFonts w:ascii="Arial" w:cs="Arial" w:eastAsia="Arial" w:hAnsi="Arial"/>
                <w:sz w:val="18"/>
                <w:szCs w:val="18"/>
                <w:color w:val="auto"/>
              </w:rPr>
              <w:t>10,836,000</w:t>
            </w:r>
          </w:p>
        </w:tc>
        <w:tc>
          <w:tcPr>
            <w:tcW w:w="1760" w:type="dxa"/>
            <w:vAlign w:val="bottom"/>
            <w:gridSpan w:val="2"/>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11,243,000</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Annual Burn Rate(4)</w:t>
            </w:r>
          </w:p>
        </w:tc>
        <w:tc>
          <w:tcPr>
            <w:tcW w:w="16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1.80%</w:t>
            </w:r>
          </w:p>
        </w:tc>
        <w:tc>
          <w:tcPr>
            <w:tcW w:w="1760" w:type="dxa"/>
            <w:vAlign w:val="bottom"/>
            <w:gridSpan w:val="2"/>
          </w:tcPr>
          <w:p>
            <w:pPr>
              <w:jc w:val="right"/>
              <w:ind w:right="159"/>
              <w:spacing w:after="0" w:line="202" w:lineRule="exact"/>
              <w:rPr>
                <w:sz w:val="20"/>
                <w:szCs w:val="20"/>
                <w:color w:val="auto"/>
              </w:rPr>
            </w:pPr>
            <w:r>
              <w:rPr>
                <w:rFonts w:ascii="Arial" w:cs="Arial" w:eastAsia="Arial" w:hAnsi="Arial"/>
                <w:sz w:val="18"/>
                <w:szCs w:val="18"/>
                <w:color w:val="auto"/>
              </w:rPr>
              <w:t>4.39%</w:t>
            </w:r>
          </w:p>
        </w:tc>
        <w:tc>
          <w:tcPr>
            <w:tcW w:w="1760" w:type="dxa"/>
            <w:vAlign w:val="bottom"/>
            <w:gridSpan w:val="2"/>
          </w:tcPr>
          <w:p>
            <w:pPr>
              <w:jc w:val="right"/>
              <w:ind w:right="156"/>
              <w:spacing w:after="0" w:line="202" w:lineRule="exact"/>
              <w:rPr>
                <w:sz w:val="20"/>
                <w:szCs w:val="20"/>
                <w:color w:val="auto"/>
              </w:rPr>
            </w:pPr>
            <w:r>
              <w:rPr>
                <w:rFonts w:ascii="Arial" w:cs="Arial" w:eastAsia="Arial" w:hAnsi="Arial"/>
                <w:sz w:val="18"/>
                <w:szCs w:val="18"/>
                <w:color w:val="auto"/>
              </w:rPr>
              <w:t>2.63%</w:t>
            </w: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Three Year Average Annual Burn Rate</w:t>
            </w:r>
          </w:p>
        </w:tc>
        <w:tc>
          <w:tcPr>
            <w:tcW w:w="16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b w:val="1"/>
                <w:bCs w:val="1"/>
                <w:color w:val="auto"/>
              </w:rPr>
              <w:t>2.94%</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81"/>
        </w:trPr>
        <w:tc>
          <w:tcPr>
            <w:tcW w:w="3000" w:type="dxa"/>
            <w:vAlign w:val="bottom"/>
            <w:tcBorders>
              <w:bottom w:val="single" w:sz="8" w:color="auto"/>
            </w:tcBorders>
          </w:tcPr>
          <w:p>
            <w:pPr>
              <w:spacing w:after="0"/>
              <w:rPr>
                <w:sz w:val="7"/>
                <w:szCs w:val="7"/>
                <w:color w:val="auto"/>
              </w:rPr>
            </w:pPr>
          </w:p>
        </w:tc>
        <w:tc>
          <w:tcPr>
            <w:tcW w:w="30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22"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Consists of time-based restricted stock awards granted to employees, officers and directors during the applicable fiscal year.</w:t>
      </w:r>
    </w:p>
    <w:p>
      <w:pPr>
        <w:spacing w:after="0" w:line="103" w:lineRule="exact"/>
        <w:rPr>
          <w:rFonts w:ascii="Arial" w:cs="Arial" w:eastAsia="Arial" w:hAnsi="Arial"/>
          <w:sz w:val="18"/>
          <w:szCs w:val="18"/>
          <w:color w:val="auto"/>
        </w:rPr>
      </w:pPr>
    </w:p>
    <w:p>
      <w:pPr>
        <w:ind w:left="520" w:right="120" w:hanging="512"/>
        <w:spacing w:after="0" w:line="247"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PSUs were first granted in Fiscal 2024. In Fiscal 2024, 96,866 PSUs were granted at target with a three-year performance period, none of which were earned. In Fiscal 2025, 153,602 PSUs were granted at target with a one-year performance period; 138,697 PSUs were earned based on Fiscal 2025 performance and remain subject to time-based vesting. In Fiscal 2026, 171,503 PSUs were granted at target with a three-year performance period, none of which have been earned or vested to date.</w:t>
      </w:r>
    </w:p>
    <w:p>
      <w:pPr>
        <w:spacing w:after="0" w:line="65" w:lineRule="exact"/>
        <w:rPr>
          <w:rFonts w:ascii="Arial" w:cs="Arial" w:eastAsia="Arial" w:hAnsi="Arial"/>
          <w:sz w:val="18"/>
          <w:szCs w:val="18"/>
          <w:color w:val="auto"/>
        </w:rPr>
      </w:pPr>
    </w:p>
    <w:p>
      <w:pPr>
        <w:ind w:left="520" w:right="1000" w:hanging="512"/>
        <w:spacing w:after="0" w:line="271"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purposes of the calculation above, weighted-average common shares outstanding is calculated using the basic shares outstanding, as reported in the footnotes to our Annual Report on Form 10-K for the applicable year.</w:t>
      </w:r>
    </w:p>
    <w:p>
      <w:pPr>
        <w:spacing w:after="0" w:line="45" w:lineRule="exact"/>
        <w:rPr>
          <w:rFonts w:ascii="Arial" w:cs="Arial" w:eastAsia="Arial" w:hAnsi="Arial"/>
          <w:sz w:val="18"/>
          <w:szCs w:val="18"/>
          <w:color w:val="auto"/>
        </w:rPr>
      </w:pPr>
    </w:p>
    <w:p>
      <w:pPr>
        <w:ind w:left="520" w:right="380" w:hanging="512"/>
        <w:spacing w:after="0" w:line="271"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Burn Rate for an applicable fiscal year is equal to (i) the number of full-value awards granted (or in the case of performance-based awards, earned) during such year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weighted-average common shares outstanding during such year.</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June [•], 2026, the closing price of a share of common stock on the NYSE was $[•] per share.</w:t>
      </w:r>
    </w:p>
    <w:p>
      <w:pPr>
        <w:spacing w:after="0" w:line="212" w:lineRule="exact"/>
        <w:rPr>
          <w:sz w:val="20"/>
          <w:szCs w:val="20"/>
          <w:color w:val="auto"/>
        </w:rPr>
      </w:pPr>
    </w:p>
    <w:p>
      <w:pPr>
        <w:ind w:right="80" w:firstLine="374"/>
        <w:spacing w:after="0" w:line="244" w:lineRule="auto"/>
        <w:rPr>
          <w:sz w:val="20"/>
          <w:szCs w:val="20"/>
          <w:color w:val="auto"/>
        </w:rPr>
      </w:pPr>
      <w:r>
        <w:rPr>
          <w:rFonts w:ascii="Arial" w:cs="Arial" w:eastAsia="Arial" w:hAnsi="Arial"/>
          <w:sz w:val="18"/>
          <w:szCs w:val="18"/>
          <w:i w:val="1"/>
          <w:iCs w:val="1"/>
          <w:u w:val="single" w:color="auto"/>
          <w:color w:val="auto"/>
        </w:rPr>
        <w:t>Fully Diluted Overhang Information–Plan (as of April 30, 2026)</w:t>
      </w:r>
      <w:r>
        <w:rPr>
          <w:rFonts w:ascii="Arial" w:cs="Arial" w:eastAsia="Arial" w:hAnsi="Arial"/>
          <w:sz w:val="18"/>
          <w:szCs w:val="18"/>
          <w:i w:val="1"/>
          <w:iCs w:val="1"/>
          <w:color w:val="auto"/>
        </w:rPr>
        <w:t xml:space="preserve">. </w:t>
      </w:r>
      <w:r>
        <w:rPr>
          <w:rFonts w:ascii="Arial" w:cs="Arial" w:eastAsia="Arial" w:hAnsi="Arial"/>
          <w:sz w:val="18"/>
          <w:szCs w:val="18"/>
          <w:color w:val="auto"/>
        </w:rPr>
        <w:t>An additional metric that the Company uses to measure the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impact of its equity incentive program is fully diluted overhang. The Company’s actual fully diluted overhang as of April 30, 2026 was 10.6%, which is calculated as (i) the sum of (A) all equity-based awards outstanding (26,620 stock options and 868,424 shares of restricted stock and PSUs) and (B) the total number of shares available to be granted under the Plan (423,147),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sum of the total number of our common shares outstanding (11,103,175), plus (A)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i w:val="1"/>
          <w:iCs w:val="1"/>
          <w:u w:val="single" w:color="auto"/>
          <w:color w:val="auto"/>
        </w:rPr>
        <w:t>Fully Diluted Overhang Information–Amended Plan (as of April 30, 2026)</w:t>
      </w:r>
      <w:r>
        <w:rPr>
          <w:rFonts w:ascii="Arial" w:cs="Arial" w:eastAsia="Arial" w:hAnsi="Arial"/>
          <w:sz w:val="18"/>
          <w:szCs w:val="18"/>
          <w:i w:val="1"/>
          <w:iCs w:val="1"/>
          <w:color w:val="auto"/>
        </w:rPr>
        <w:t xml:space="preserve">. </w:t>
      </w:r>
      <w:r>
        <w:rPr>
          <w:rFonts w:ascii="Arial" w:cs="Arial" w:eastAsia="Arial" w:hAnsi="Arial"/>
          <w:sz w:val="18"/>
          <w:szCs w:val="18"/>
          <w:color w:val="auto"/>
        </w:rPr>
        <w:t>As of April 30, 2026 (taking into account the impact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adoption of the Amended Plan (assuming the Amended Plan is adopted by our shareholders at the Annual Meeting), the Company’s fully diluted overhang would have been 18.5%, which is calculated as (i) the sum of (A) all equity-based awards outstanding (26,620 stock options and 868,424 shares of restricted stock and PSUs) and (B) the total number of shares available to be granted under the Amended Plan, (1,623,147),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sum of the total number of our common shares outstanding (11,103,175), plus (A) and (B).</w:t>
      </w:r>
    </w:p>
    <w:p>
      <w:pPr>
        <w:spacing w:after="0" w:line="176"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The Company believes that the burn rate and overhang referenced above reflect the sound compensation practices of the Company and represent a judicious use of equity for compensation purposes.</w:t>
      </w:r>
    </w:p>
    <w:p>
      <w:pPr>
        <w:spacing w:after="0" w:line="154" w:lineRule="exact"/>
        <w:rPr>
          <w:sz w:val="20"/>
          <w:szCs w:val="20"/>
          <w:color w:val="auto"/>
        </w:rPr>
      </w:pPr>
    </w:p>
    <w:p>
      <w:pPr>
        <w:ind w:right="80" w:firstLine="374"/>
        <w:spacing w:after="0" w:line="247" w:lineRule="auto"/>
        <w:rPr>
          <w:sz w:val="20"/>
          <w:szCs w:val="20"/>
          <w:color w:val="auto"/>
        </w:rPr>
      </w:pPr>
      <w:r>
        <w:rPr>
          <w:rFonts w:ascii="Arial" w:cs="Arial" w:eastAsia="Arial" w:hAnsi="Arial"/>
          <w:sz w:val="18"/>
          <w:szCs w:val="18"/>
          <w:color w:val="auto"/>
        </w:rPr>
        <w:t>In determining to adopt the Amended Plan and recommend the Amended Plan to the Company’s shareholders, the compensation committee and the Board considered various factors, including the provisions included in the Amended Plan, the number and type of awards made by us in recent years under the Plan, our burn rate, and our fully diluted overhang (including our potential fully diluted overhang if the Amended Plan is approved by the Company’s shareholders).</w:t>
      </w:r>
    </w:p>
    <w:p>
      <w:pPr>
        <w:spacing w:after="0" w:line="174" w:lineRule="exact"/>
        <w:rPr>
          <w:sz w:val="20"/>
          <w:szCs w:val="20"/>
          <w:color w:val="auto"/>
        </w:rPr>
      </w:pPr>
    </w:p>
    <w:p>
      <w:pPr>
        <w:ind w:right="120" w:firstLine="374"/>
        <w:spacing w:after="0" w:line="242" w:lineRule="auto"/>
        <w:rPr>
          <w:sz w:val="20"/>
          <w:szCs w:val="20"/>
          <w:color w:val="auto"/>
        </w:rPr>
      </w:pPr>
      <w:r>
        <w:rPr>
          <w:rFonts w:ascii="Arial" w:cs="Arial" w:eastAsia="Arial" w:hAnsi="Arial"/>
          <w:sz w:val="18"/>
          <w:szCs w:val="18"/>
          <w:color w:val="auto"/>
        </w:rPr>
        <w:t>Assuming that aggregate equity awards are granted at levels consistent with recent historical practices, then we generally expect that the share reserve under the Amended Plan should be sufficient to cover the Company’s projected stock grants for a period of approximately one to two years. As noted above, annual PSU grants for Fiscal 2027 had not been made as of April 30, 2026 and will need to come out of the Plan’s (or the Amended Plan’s, as applicable) share reserve. We cannot predict our future equity grant practices, the future price of our shares or future hiring activity with any degree of certainty at this time, and the share reserve under the Amended Plan could last for a shorter or longer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the Amended Plan</w:t>
      </w:r>
    </w:p>
    <w:p>
      <w:pPr>
        <w:spacing w:after="0" w:line="212" w:lineRule="exact"/>
        <w:rPr>
          <w:sz w:val="20"/>
          <w:szCs w:val="20"/>
          <w:color w:val="auto"/>
        </w:rPr>
      </w:pPr>
    </w:p>
    <w:p>
      <w:pPr>
        <w:ind w:right="260" w:firstLine="374"/>
        <w:spacing w:after="0" w:line="247" w:lineRule="auto"/>
        <w:rPr>
          <w:sz w:val="20"/>
          <w:szCs w:val="20"/>
          <w:color w:val="auto"/>
        </w:rPr>
      </w:pPr>
      <w:r>
        <w:rPr>
          <w:rFonts w:ascii="Arial" w:cs="Arial" w:eastAsia="Arial" w:hAnsi="Arial"/>
          <w:sz w:val="18"/>
          <w:szCs w:val="18"/>
          <w:color w:val="auto"/>
        </w:rPr>
        <w:t xml:space="preserve">Aside from the amendments discussed in </w:t>
      </w:r>
      <w:r>
        <w:rPr>
          <w:rFonts w:ascii="Arial" w:cs="Arial" w:eastAsia="Arial" w:hAnsi="Arial"/>
          <w:sz w:val="18"/>
          <w:szCs w:val="18"/>
          <w:i w:val="1"/>
          <w:iCs w:val="1"/>
          <w:color w:val="auto"/>
        </w:rPr>
        <w:t>Summary of Material Features of the Amended Plan</w:t>
      </w:r>
      <w:r>
        <w:rPr>
          <w:rFonts w:ascii="Arial" w:cs="Arial" w:eastAsia="Arial" w:hAnsi="Arial"/>
          <w:sz w:val="18"/>
          <w:szCs w:val="18"/>
          <w:color w:val="auto"/>
        </w:rPr>
        <w:t xml:space="preserve"> above, no substantive changes are proposed in connection with the Amended Plan that is being submitted to the shareholders. The following description of certain features of the Amended Plan is intended to be a summary only. The summary is qualified in its entirety by the full text of the Amended Plan, which is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74" w:lineRule="exact"/>
        <w:rPr>
          <w:sz w:val="20"/>
          <w:szCs w:val="20"/>
          <w:color w:val="auto"/>
        </w:rPr>
      </w:pPr>
    </w:p>
    <w:p>
      <w:pPr>
        <w:ind w:right="80" w:firstLine="374"/>
        <w:spacing w:after="0" w:line="244" w:lineRule="auto"/>
        <w:rPr>
          <w:sz w:val="20"/>
          <w:szCs w:val="20"/>
          <w:color w:val="auto"/>
        </w:rPr>
      </w:pPr>
      <w:r>
        <w:rPr>
          <w:rFonts w:ascii="Arial" w:cs="Arial" w:eastAsia="Arial" w:hAnsi="Arial"/>
          <w:sz w:val="18"/>
          <w:szCs w:val="18"/>
          <w:color w:val="auto"/>
        </w:rPr>
        <w:t>The purpose of the Amended Plan is to promote the interests of the Company and its shareholders by, among other things, (i) attracting and retaining key officers, employees and directors of, and consultants to the Company and its subsidiaries and affiliates, (ii) motivating those individuals by means of performance-related incentives to achieve long-range performance goals, (iii) enabling those individuals to participate in the long-term growth and financial success of the Company, (iv) encouraging ownership of stock in the Company by those individuals, and (v) linking the compensation of those individuals to the long-term interests of the Company and its shareholders.</w:t>
      </w:r>
    </w:p>
    <w:p>
      <w:pPr>
        <w:spacing w:after="0" w:line="176" w:lineRule="exact"/>
        <w:rPr>
          <w:sz w:val="20"/>
          <w:szCs w:val="20"/>
          <w:color w:val="auto"/>
        </w:rPr>
      </w:pPr>
    </w:p>
    <w:p>
      <w:pPr>
        <w:ind w:right="180" w:firstLine="374"/>
        <w:spacing w:after="0" w:line="242" w:lineRule="auto"/>
        <w:rPr>
          <w:sz w:val="20"/>
          <w:szCs w:val="20"/>
          <w:color w:val="auto"/>
        </w:rPr>
      </w:pPr>
      <w:r>
        <w:rPr>
          <w:rFonts w:ascii="Arial" w:cs="Arial" w:eastAsia="Arial" w:hAnsi="Arial"/>
          <w:sz w:val="18"/>
          <w:szCs w:val="18"/>
          <w:i w:val="1"/>
          <w:iCs w:val="1"/>
          <w:u w:val="single" w:color="auto"/>
          <w:color w:val="auto"/>
        </w:rPr>
        <w:t>Shares Available for Awards under the Amended Plan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Amended Plan, awards may be made in cash or in common stock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in a number of shares not to exceed the Share Reserve. As of the Effective Date, the Amended Plan authorizes awards with respect to 1,623,147 shares, minus one share for every share granted after the Effective Date under the Plan (the “Share Reserve”). Any shares that are subject to options or SARs will be counted against this limit as one share for every one share granted, and any shares that are subject to full-value awards will be counted against this limit at the full-value award debiting rate. The number of shares with respect to which incentive stock options may be granted shall be no more than 1,623,147.</w:t>
      </w:r>
    </w:p>
    <w:p>
      <w:pPr>
        <w:spacing w:after="0" w:line="179" w:lineRule="exact"/>
        <w:rPr>
          <w:sz w:val="20"/>
          <w:szCs w:val="20"/>
          <w:color w:val="auto"/>
        </w:rPr>
      </w:pPr>
    </w:p>
    <w:p>
      <w:pPr>
        <w:ind w:right="140" w:firstLine="374"/>
        <w:spacing w:after="0" w:line="247" w:lineRule="auto"/>
        <w:rPr>
          <w:sz w:val="20"/>
          <w:szCs w:val="20"/>
          <w:color w:val="auto"/>
        </w:rPr>
      </w:pPr>
      <w:r>
        <w:rPr>
          <w:rFonts w:ascii="Arial" w:cs="Arial" w:eastAsia="Arial" w:hAnsi="Arial"/>
          <w:sz w:val="18"/>
          <w:szCs w:val="18"/>
          <w:color w:val="auto"/>
        </w:rPr>
        <w:t>Shares of common stock subject to awards under the Amended Plan that are canceled, forfeited, expire unexercised, settled in cash or otherwise terminated without a delivery of shares of common stock to the participant, will again become available for awards under the Amended Plan. If any award granted under the Prior Plan expires, terminates, is settled in cash (in whole or in part) or otherwise is forfeited or canceled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before it has vested or been exercised in full after February 1, 2020, the shares subject to such award will, to the extent of such expiration, cash, settlement, forfeiture, or termination, be available for awards under the Amended Plan. In the event that withholding tax liabilities arising from an award (i) other than an option or SAR under the Amended Plan or (ii) an award other than an option or SAR granted under the Prior Plan, are satisfied after February 1, 2020 by the tendering of shares (either actually or by attestation) or by the withholding of shares by the Company, each share so tendered or withheld shall increase the Share Reserve. The following shares underlying any award will not again become available for issuance under the Amended Plan: (i) shares tendered or withheld in payment of the exercise price of an option,</w:t>
      </w:r>
    </w:p>
    <w:p>
      <w:pPr>
        <w:spacing w:after="0" w:line="2" w:lineRule="exact"/>
        <w:rPr>
          <w:sz w:val="20"/>
          <w:szCs w:val="20"/>
          <w:color w:val="auto"/>
        </w:rPr>
      </w:pPr>
    </w:p>
    <w:p>
      <w:pPr>
        <w:ind w:right="40" w:firstLine="8"/>
        <w:spacing w:after="0" w:line="242" w:lineRule="auto"/>
        <w:tabs>
          <w:tab w:leader="none" w:pos="2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shares tendered or withheld to satisfy any tax withholding obligation with respect to an option or SAR, (iii) shares repurchased by the Company with proceeds received from the exercise of an option, and (iv) shares subject to an SAR that are not issued in connection with the share settlement of that SAR upon its exercise.</w:t>
      </w:r>
    </w:p>
    <w:p>
      <w:pPr>
        <w:spacing w:after="0" w:line="179" w:lineRule="exact"/>
        <w:rPr>
          <w:sz w:val="20"/>
          <w:szCs w:val="20"/>
          <w:color w:val="auto"/>
        </w:rPr>
      </w:pPr>
    </w:p>
    <w:p>
      <w:pPr>
        <w:ind w:right="80" w:firstLine="374"/>
        <w:spacing w:after="0" w:line="244" w:lineRule="auto"/>
        <w:rPr>
          <w:sz w:val="20"/>
          <w:szCs w:val="20"/>
          <w:color w:val="auto"/>
        </w:rPr>
      </w:pPr>
      <w:r>
        <w:rPr>
          <w:rFonts w:ascii="Arial" w:cs="Arial" w:eastAsia="Arial" w:hAnsi="Arial"/>
          <w:sz w:val="18"/>
          <w:szCs w:val="18"/>
          <w:color w:val="auto"/>
        </w:rPr>
        <w:t>Shares of common stock issued under the Amended Plan may be either newly issued shares or shares which have been reacquired by the Company. Any shares that again become available for grant will be added back as (i) one share if such shares were subject to an option or SAR, and (ii) at the full-value award debiting rate if such shares were subject to awards other than options or SARs. Shares issued by the Company as substitute awards granted solely in connection with the assumption of outstanding awards previously granted by a company acquired by the Company, or with which the Company combines (“Substitute Awards”), do not reduce the Share Reserve.</w:t>
      </w:r>
    </w:p>
    <w:p>
      <w:pPr>
        <w:spacing w:after="0" w:line="176"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In case of a dividend or other distribution, recapitalization,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transaction, the Amended Plan provides that the compensation committee will in an equitable and proportionate manner consistent with the Code either: (i) adjust (1) the Share Reserve, (2) the number of shares or other securities of the Company subject to outstanding awards, and (3) the grant or exercise price with respect to any award; (ii) provide for an equivalent award in respect of securities of the surviving entity of any merger, consolidation or other transaction or event having a similar effect; or (iii) make provision for a cash payment to the holder of an outstanding award in exchange for the award’s cancellation.</w:t>
      </w:r>
    </w:p>
    <w:p>
      <w:pPr>
        <w:spacing w:after="0" w:line="180" w:lineRule="exact"/>
        <w:rPr>
          <w:sz w:val="20"/>
          <w:szCs w:val="20"/>
          <w:color w:val="auto"/>
        </w:rPr>
      </w:pPr>
    </w:p>
    <w:p>
      <w:pPr>
        <w:ind w:right="40" w:firstLine="374"/>
        <w:spacing w:after="0" w:line="238" w:lineRule="auto"/>
        <w:rPr>
          <w:sz w:val="20"/>
          <w:szCs w:val="20"/>
          <w:color w:val="auto"/>
        </w:rPr>
      </w:pPr>
      <w:r>
        <w:rPr>
          <w:rFonts w:ascii="Arial" w:cs="Arial" w:eastAsia="Arial" w:hAnsi="Arial"/>
          <w:sz w:val="18"/>
          <w:szCs w:val="18"/>
          <w:i w:val="1"/>
          <w:iCs w:val="1"/>
          <w:u w:val="single" w:color="auto"/>
          <w:color w:val="auto"/>
        </w:rPr>
        <w:t>Eligibility and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employees and consultants of the Company or its subsidiaries or affiliates and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are eligible to be granted awards under the Amended Plan. As of April 30, 2026, approximately 170 individuals would have been eligible to participate in the Amended Plan had it been effective on such date, which includes seven executive officers, 155 employees who are not executive officers, and eight directors who are not executive officers. Consultants have not historically been granted equity awards under the Company’s equity plans and there is no current intention to change that practice. The compensation committee will administer the Amended Plan, except with respect to awards to non-employee directors, for which the Amended Plan will be administered by the Board. The compensation committee will be composed of not less than two non-employee directors, each of whom will be a “Non-Employee Director” for purposes of Section 16 of the Exchange Act and Rule 16b-3 thereunder and an independent director as defined by the listing standards of the New York Stock Exchange. Subject to the terms of the Amended Plan, the compensation committee is authorized (among other things) to select participants, determine the type and number of awards to be granted, determine and later amend (subject to certain limitations) the terms and conditions of any award, interpret and specify the rules and regulations relating to the Amended Plan, and make all other determinations which may be necessary or desirable for the administration of the Amended Plan.</w:t>
      </w:r>
    </w:p>
    <w:p>
      <w:pPr>
        <w:spacing w:after="0" w:line="183"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i w:val="1"/>
          <w:iCs w:val="1"/>
          <w:u w:val="single" w:color="auto"/>
          <w:color w:val="auto"/>
        </w:rPr>
        <w:t>Minimum Vesting</w:t>
      </w:r>
      <w:r>
        <w:rPr>
          <w:rFonts w:ascii="Arial" w:cs="Arial" w:eastAsia="Arial" w:hAnsi="Arial"/>
          <w:sz w:val="18"/>
          <w:szCs w:val="18"/>
          <w:color w:val="auto"/>
        </w:rPr>
        <w:t>. Equity-based awards granted under the Amended Plan will vest no earlier than the first anniversary of the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is granted (excluding, for this purpose, any (i) substitute awards, (ii) shares delivered in lieu of fully vested cash awards and (iii) awards to Non-Employee Directors that vest on the earlier of the one year anniversary of the date of grant or the next annual meeting of shareholders which is at least 50 weeks after the immediately preceding year’s annual meeting); provided, that, the compensation committee may grant equity-based awards without regard to the foregoing minimum vesting requirement with respect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maximum of 5% of the Share Reserve (subject to adjustment for changes in capitalization); and, provided further, for the avoidance of doubt, that the foregoing restriction does not apply to the compensation committee’s discretion to provide for accelerated exercisability or vesting of any award, including in cases of retirement, death, disability or a change in control (subject to Section 13 of the Amended Plan), in the terms of the award or otherwise.</w:t>
      </w:r>
    </w:p>
    <w:p>
      <w:pPr>
        <w:spacing w:after="0" w:line="174"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i w:val="1"/>
          <w:iCs w:val="1"/>
          <w:u w:val="single" w:color="auto"/>
          <w:color w:val="auto"/>
        </w:rPr>
        <w:t>Stock Options and 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is authorized to grant stock options, including both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which can result in potentially favorable tax treatment to the participant, and non-qualified stock options. The compensation committee may specify the terms of such grants subject to the terms of the Amended Plan. The compensation committee is also authorized to grant SARs, either with or without a related option. The exercise price per share subject to an option and the grant price of a SAR is determined by the compensation committee, but may not be less than the fair market value of a share of common stock on the date of the grant, except in the case of Substitute Awards. The maximum term of each option or SAR, the times at which each option or SAR will be exercisable, and the provisions requiring forfeiture of unexercised options at or following termination of employment generally are fixed by the compensation committee, except that no option or SAR may have a term exceeding ten years. Incentive stock options that are granted to holders of more than ten percent of the Company’s voting securities are subject to certain additional restrictions, including a five-year maximum term and a minimum exercise price of 110% of fair market value.</w:t>
      </w:r>
    </w:p>
    <w:p>
      <w:pPr>
        <w:spacing w:after="0" w:line="180" w:lineRule="exact"/>
        <w:rPr>
          <w:sz w:val="20"/>
          <w:szCs w:val="20"/>
          <w:color w:val="auto"/>
        </w:rPr>
      </w:pPr>
    </w:p>
    <w:p>
      <w:pPr>
        <w:ind w:firstLine="374"/>
        <w:spacing w:after="0" w:line="247" w:lineRule="auto"/>
        <w:rPr>
          <w:sz w:val="20"/>
          <w:szCs w:val="20"/>
          <w:color w:val="auto"/>
        </w:rPr>
      </w:pPr>
      <w:r>
        <w:rPr>
          <w:rFonts w:ascii="Arial" w:cs="Arial" w:eastAsia="Arial" w:hAnsi="Arial"/>
          <w:sz w:val="18"/>
          <w:szCs w:val="18"/>
          <w:color w:val="auto"/>
        </w:rPr>
        <w:t>A stock option or SAR may be exercised in whole or in part at any time, with respect to whole shares only, within the period permitted thereunder for the exercise thereof. Stock options and SARs must be exercised by written notice of intent to exercise the stock option or SAR and, with respect to options, payment in full to the Company of the amount of the option price for the number of shares with respect to which the option is then being exercised.</w:t>
      </w:r>
    </w:p>
    <w:p>
      <w:pPr>
        <w:spacing w:after="0" w:line="174" w:lineRule="exact"/>
        <w:rPr>
          <w:sz w:val="20"/>
          <w:szCs w:val="20"/>
          <w:color w:val="auto"/>
        </w:rPr>
      </w:pPr>
    </w:p>
    <w:p>
      <w:pPr>
        <w:ind w:right="280" w:firstLine="374"/>
        <w:spacing w:after="0"/>
        <w:rPr>
          <w:sz w:val="20"/>
          <w:szCs w:val="20"/>
          <w:color w:val="auto"/>
        </w:rPr>
      </w:pPr>
      <w:r>
        <w:rPr>
          <w:rFonts w:ascii="Arial" w:cs="Arial" w:eastAsia="Arial" w:hAnsi="Arial"/>
          <w:sz w:val="18"/>
          <w:szCs w:val="18"/>
          <w:color w:val="auto"/>
        </w:rPr>
        <w:t>Payment of the option price must be made (i) in cash or cash equivalents, (ii) at the discretion of the compensation committee, by transfer, either actually or by attestation, to the Company of shares that have been held by the participant for such period as may be determined by the compensation committee which have a fair market value on the date of exercise equal to the option price, together with any applicable withholding taxes, (iii) by a combination of such cash and shares, or (iv) by any other method approved or accepted by the compensation committee in its discretion, including, for example, a broker-assisted exercise that complies with applicable law or a net-exercise arrangement. Until the participant has been issued the shares subject to such exercise, he or she will possess no rights as a shareholder with respect to such shares.</w:t>
      </w:r>
    </w:p>
    <w:p>
      <w:pPr>
        <w:spacing w:after="0" w:line="185" w:lineRule="exact"/>
        <w:rPr>
          <w:sz w:val="20"/>
          <w:szCs w:val="20"/>
          <w:color w:val="auto"/>
        </w:rPr>
      </w:pPr>
    </w:p>
    <w:p>
      <w:pPr>
        <w:ind w:right="100" w:firstLine="374"/>
        <w:spacing w:after="0" w:line="271" w:lineRule="auto"/>
        <w:rPr>
          <w:sz w:val="20"/>
          <w:szCs w:val="20"/>
          <w:color w:val="auto"/>
        </w:rPr>
      </w:pPr>
      <w:r>
        <w:rPr>
          <w:rFonts w:ascii="Arial" w:cs="Arial" w:eastAsia="Arial" w:hAnsi="Arial"/>
          <w:sz w:val="18"/>
          <w:szCs w:val="18"/>
          <w:color w:val="auto"/>
        </w:rPr>
        <w:t>No stock option or SAR granted under the Amended Plan is transferable or exercisable by anyone other than the participant, except for certain limited circumstances and for no consideration.</w:t>
      </w:r>
    </w:p>
    <w:p>
      <w:pPr>
        <w:spacing w:after="0" w:line="154" w:lineRule="exact"/>
        <w:rPr>
          <w:sz w:val="20"/>
          <w:szCs w:val="20"/>
          <w:color w:val="auto"/>
        </w:rPr>
      </w:pPr>
    </w:p>
    <w:p>
      <w:pPr>
        <w:ind w:right="60" w:firstLine="374"/>
        <w:spacing w:after="0" w:line="238" w:lineRule="auto"/>
        <w:rPr>
          <w:sz w:val="20"/>
          <w:szCs w:val="20"/>
          <w:color w:val="auto"/>
        </w:rPr>
      </w:pPr>
      <w:r>
        <w:rPr>
          <w:rFonts w:ascii="Arial" w:cs="Arial" w:eastAsia="Arial" w:hAnsi="Arial"/>
          <w:sz w:val="18"/>
          <w:szCs w:val="18"/>
          <w:i w:val="1"/>
          <w:iCs w:val="1"/>
          <w:u w:val="single" w:color="auto"/>
          <w:color w:val="auto"/>
        </w:rPr>
        <w:t>Restricted Shares and Restricted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is authorized to grant restricted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restricted share units. Restricted shares are shares of common stock subject to transfer restrictions as well as forfeiture upon certain terminations of employment prior to the end of a restricted period or other conditions specified by the compensation committee in the award agreement. A participant granted restricted shares of common stock generally has most of the rights of a shareholder of the Company with respect to the restricted shares, including the right to vote such shares. A participant will not be entitled to receive dividends or to be credited with dividend equivalents on any restricted shares at the time of any payment of dividends to shareholders on shares of common stock unless and until such award has vested, although such dividends shall be accumulated and paid upon the vesting or settlement of the award unless otherwise determined by the compensation committee. Restricted shares may not be transferred, encumbered or disposed of during the restricted period or until after fulfillment of the restrictive conditions. A participant will forfeit their restricted shares, without further obligation or action by the Company, if the participant does not remain in continuous employment of the Company for the restricted period or if any other conditions relating to the restricted shares are not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Each restricted share unit is a right for the participant to receive the fair market value of a share, in cash or in shares, of common stock upon such terms and conditions and subject to such restrictions as set forth in the applicable award agreement. A participant will not be entitled to receive dividends or to be credited with dividend equivalents on any restricted share units at the time of any payment of dividends to shareholders on shares of common stock unless and until such award has vested, although such dividends may be accumulated and paid upon the vesting or settlement of the award as provided by the compensation committee. Except as determined otherwise by the compensation committee, restricted share units may not be transferred, encumbered or disposed of during the applicable restricted period, and a participant will forfeit their restricted share units, without further obligation or action by the Company, if the participant does not remain in continuous employment of the Company for the restricted period or if any other conditions relating to the restricted share units are not met.</w:t>
      </w:r>
    </w:p>
    <w:p>
      <w:pPr>
        <w:spacing w:after="0" w:line="180"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i w:val="1"/>
          <w:iCs w:val="1"/>
          <w:u w:val="single" w:color="auto"/>
          <w:color w:val="auto"/>
        </w:rPr>
        <w:t>Performance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 performance award is an award that is denominated in cash or shares of common stock, valued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achievement of certain performance goals during certain performance periods as established by the compensation committee, and payable at such time and in such form (including in cash, shares of common stock, other securities, other property, or any combination thereof) as determined by the compensation committee. Performance awards may be settled in cash, shares of common stock, other securities, other property or any combination thereof, as determined by the compensation committee, and may be paid in a lump sum or in installments following the close of a performance period or on a deferred basis. Except as provided in the applicable award agreement, termination of employment prior to the end of any performance period will result in the forfeiture of the performance award. A participant’s rights to any performance award may not be transferred, encumbered or disposed of in any manner, except by will or the laws of descent and distribution, except as the compensation committee may determine. A participant will not be entitled to receive dividends or to be credited with dividend equivalents on any performance awards at the time of any payment of dividends to shareholders on shares of common stock unless and until such award has vested, although such dividends may be accumulated and paid upon the vesting or settlement of the award as provided by the compensation committee.</w:t>
      </w:r>
    </w:p>
    <w:p>
      <w:pPr>
        <w:spacing w:after="0" w:line="183" w:lineRule="exact"/>
        <w:rPr>
          <w:sz w:val="20"/>
          <w:szCs w:val="20"/>
          <w:color w:val="auto"/>
        </w:rPr>
      </w:pPr>
    </w:p>
    <w:p>
      <w:pPr>
        <w:ind w:right="40" w:firstLine="374"/>
        <w:spacing w:after="0" w:line="237" w:lineRule="auto"/>
        <w:rPr>
          <w:sz w:val="20"/>
          <w:szCs w:val="20"/>
          <w:color w:val="auto"/>
        </w:rPr>
      </w:pPr>
      <w:r>
        <w:rPr>
          <w:rFonts w:ascii="Arial" w:cs="Arial" w:eastAsia="Arial" w:hAnsi="Arial"/>
          <w:sz w:val="18"/>
          <w:szCs w:val="18"/>
          <w:color w:val="auto"/>
        </w:rPr>
        <w:t>Performance awards generally are subject to the achievement of performance goals determined by the compensation committee. Performance goals selected by the compensation committee may include one or more of the following financial performance measures relating to the Company or any of its subsidiaries, operating units, business segments or divisions: (a) earnings before interest, taxes, depreciation and/or amortization; (b) operating income or profit; (c) operating efficiencies; (d) return on equity, assets, capital, capital employed or investment; (e) net income; (f) earnings per share; (g) utilization; (h) gross profit; (i) stock price or total stockholder return; (j) customer growth; (k) debt reduction; (l) strategic business objectives, consisting of one or more objectives based on meeting specified cost targets, business expansion goals and goals relating to acquisitions or divestitures; or (m) any combination thereof. Each goal may be expressed on an absolute and/or relative basis, may be expressed to take into account the Company’s or business segment’s cost of capital,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shareholders’ equity and/or shares outstanding, or to assets or net assets. The compensation committee may adjust any evaluation of performance (including making adjustments to performance targets) under criteria set forth in the Amended Plan to exclude any of the following events that occur during a performance period: (i) asset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generally accepted accounting principles or other extraordinary items that are included in management’s discussion and analysis of financial condition and results of operations appearing in the Company’s annual report to shareholders for the applicable year, or (vi) any event either not directly related to the operations of the Company or not within the reasonable control of the Company’s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79"/>
        <w:spacing w:after="0" w:line="242" w:lineRule="auto"/>
        <w:rPr>
          <w:sz w:val="20"/>
          <w:szCs w:val="20"/>
          <w:color w:val="auto"/>
        </w:rPr>
      </w:pPr>
      <w:r>
        <w:rPr>
          <w:rFonts w:ascii="Arial" w:cs="Arial" w:eastAsia="Arial" w:hAnsi="Arial"/>
          <w:sz w:val="18"/>
          <w:szCs w:val="18"/>
          <w:i w:val="1"/>
          <w:iCs w:val="1"/>
          <w:u w:val="single" w:color="auto"/>
          <w:color w:val="auto"/>
        </w:rPr>
        <w:t>Other Stock-Based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is authorized to grant any other type of award that is denominated or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in, valued by reference to, or otherwise based on or related to shares of common stock. The compensation committee will determine the terms and conditions of such awards, consistent with the terms of the Amended Plan. A participant will not be entitled to receive dividends or to be credited with dividend equivalents on any other stock-based awards at the time of any payment of dividends to shareholders on shares of common stock unless and until such award has vested, although such dividends may be accumulated and paid upon the vesting or settlement of the award as provided by the compensation committee.</w:t>
      </w:r>
    </w:p>
    <w:p>
      <w:pPr>
        <w:spacing w:after="0" w:line="179"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i w:val="1"/>
          <w:iCs w:val="1"/>
          <w:u w:val="single" w:color="auto"/>
          <w:color w:val="auto"/>
        </w:rPr>
        <w:t>Non-Employee Director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may provide that all or a portion of a non-employee director’s annual retainer, meeting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and/or other awards or compensation as determined by the Board be payable in non-qualified stock options, restricted shares, restricted share units and/or other stock-based awards, including unrestricted shares (subject to the minimum vesting provisions described above), either automatically or at the option of the non-employee directors. The Board will determine the terms and conditions of any such awards, including those that apply upon the termination of a non-employee director’s service as a member of the Board. Notwithstanding anything in the Amended Plan to the contrary, the aggregate value of all compensation paid or granted, as applicable, to any individual for service as a non-employee director with respect to any calendar year, including equity awards granted and cash fees paid by the Company to such non-employee director, may not exceed five hundred thousand dollars ($500,000) in value, calculating the value of any equity awards granted during such calendar year based on the grant date fair value of such awards for financial reporting purposes. The Board may make exceptions to the applicable limit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180" w:lineRule="exact"/>
        <w:rPr>
          <w:sz w:val="20"/>
          <w:szCs w:val="20"/>
          <w:color w:val="auto"/>
        </w:rPr>
      </w:pPr>
    </w:p>
    <w:p>
      <w:pPr>
        <w:ind w:right="120" w:firstLine="374"/>
        <w:spacing w:after="0" w:line="239" w:lineRule="auto"/>
        <w:rPr>
          <w:sz w:val="20"/>
          <w:szCs w:val="20"/>
          <w:color w:val="auto"/>
        </w:rPr>
      </w:pPr>
      <w:r>
        <w:rPr>
          <w:rFonts w:ascii="Arial" w:cs="Arial" w:eastAsia="Arial" w:hAnsi="Arial"/>
          <w:sz w:val="18"/>
          <w:szCs w:val="18"/>
          <w:i w:val="1"/>
          <w:iCs w:val="1"/>
          <w:u w:val="single" w:color="auto"/>
          <w:color w:val="auto"/>
        </w:rPr>
        <w:t>Termination of Employment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will determine the terms and conditions that apply to any award</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termination of employment or service with the Company, its subsidiaries and affiliates, and provide such terms in the applicable award agreement or in its rules or regulations. Unless determined otherwise by the compensation committee, a transfer of a participant’s employment or other service-providing capacity (including board service) without an intervening period of separation of service from the Company and any affiliate or subsidiary will not be deemed a termination of employment or service. The compensation committee has discretion to determine that vesting of an award will continue while a participant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compensation committee otherwise so provides in writing. Such terms and conditions need not be the same with respect to all awards or participants.</w:t>
      </w:r>
    </w:p>
    <w:p>
      <w:pPr>
        <w:spacing w:after="0" w:line="183"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provided by the compensation committee at or after grant, no cancellation, accelerated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accelerated exercisability, cash settlement or other payment will occur if the compensation committee determines that an award will be honored, assumed or replaced by an award of equivalent value meeting certain specific criteria immediately upon a change in control; provided, that such assumed awards must, among other requirements, (a) provide a participant with rights and entitlements substantially equivalent to or better than the rights, terms and conditions applicable under the outstanding award, and (b) have terms and conditions which provide that in the event that within twenty-four months following the change in control, the participant’s employment is involuntarily terminated for any reason other than for cause, or if the participant terminates their employment for good reason, all of such participant’s awards shall be deemed immediately and fully exercisable and/or all restrictions shall lapse. If such awards are not assumed, then all outstanding awards will vest, become immediately exercisable or payable and have all restrictions lifted immediately upon a change in control. The compensation committee may provide prior to the occurrence of a change in control that upon its occurrence, an award may be canceled in exchange for a payment per share or unit in an amount based on the fair market value of the award with reference to the change in control. With respect to performance awards, unless otherwise provided in an award agreement or other documents governing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a performance award, in the event of a change in control, (x) any outstanding performance awards relating to performance periods ending prior to the change in control which have been earned but not paid will become immediately payable, (y) all then-in-progress performance periods for outstanding performance awards will end, and all participants will be deemed to have earned an award based on actual performance during the shortened performance period or a pro rata amount of the target award opportunity based on the number of months that have elapsed during the performance period in question, and (z) if the award is assumed, such performance award shall convert into a time-based vesting award for such earned portion.</w:t>
      </w:r>
    </w:p>
    <w:p>
      <w:pPr>
        <w:spacing w:after="0" w:line="179"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i w:val="1"/>
          <w:iCs w:val="1"/>
          <w:u w:val="single" w:color="auto"/>
          <w:color w:val="auto"/>
        </w:rPr>
        <w:t>Amendment and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may amend, alter, suspend, discontinue or terminate the Amended Plan or any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Plan at any time, except that shareholder approval must be obtained for any such action if such approval is necessary to comply with any tax or regulatory requirement with which the Board deems it desirable or necessary to comply. The compensation committee may waive any conditions or rights under, amend any terms of, or alter, suspend, discontinue, cancel or terminate any award, either prospectively or retroactively. However, without the approval of the Company’s shareholders, the compensation committee does not have the power to (a) amend the terms of previously granted stock options to reduce the exercise price per share of outstanding stock options or grant price of outstanding SARs, (b) cancel such options or SARs in exchange for cash or a grant of either substitute options or SARs with a lower exercise price per share or grant price, as applicable, than the cancelled award, or any other award, or (c) take any other action with respect to a stock option or SAR that would be treated as a repricing under the rules and regulations of the NYSE or such other principal securities exchange on which shares of the Company’s common stock is traded. The compensation committee also may not amend, alter or suspend a previously granted award in a manner that would materially and adversely affect the rights of a participant without the participant’s consent.</w:t>
      </w:r>
    </w:p>
    <w:p>
      <w:pPr>
        <w:spacing w:after="0" w:line="186"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i w:val="1"/>
          <w:iCs w:val="1"/>
          <w:u w:val="single" w:color="auto"/>
          <w:color w:val="auto"/>
        </w:rPr>
        <w:t>Cancellation and Rescission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or the compensation committee may cancel, rescind, suspend, withhold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limit or restrict any unexpired, unpaid, or deferred award made to an officer under the Amended Plan if (a) the Board or a Board committee has determined that any fraud, negligence, or intentional misconduct was a significant contributing factor to the Company having to restate all or a portion of its financial statement(s), (b) the officer engaged in any fraud or misconduct that caused or contributed to the need for the restatement, and (c) the amount of compensation that would have been paid or payable to the officer pursuant to the award had the financial results been properly reported would have been lower than the amount actually paid or payable. An officer will be liable to the Company for the reimbursement of any bonus or incentive compensation paid to the officer, and for gains realized on the exercise of stock options or SARs under the circumstances described in this paragraph. In addition, any award granted under the Amended Plan will be subject to mandatory repayment by the participant to the Company (i) to the extent set forth in any award agreement, (ii) to the extent such participant is, or in the future becomes, subject to (1)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(2) any applicable laws which impose mandatory recoupment, under circumstances set forth in such applicable laws, including the Sarbanes-Oxley Act of 2002.</w:t>
      </w:r>
    </w:p>
    <w:p>
      <w:pPr>
        <w:spacing w:after="0" w:line="180" w:lineRule="exact"/>
        <w:rPr>
          <w:sz w:val="20"/>
          <w:szCs w:val="20"/>
          <w:color w:val="auto"/>
        </w:rPr>
      </w:pPr>
    </w:p>
    <w:p>
      <w:pPr>
        <w:ind w:right="40" w:firstLine="374"/>
        <w:spacing w:after="0" w:line="247" w:lineRule="auto"/>
        <w:rPr>
          <w:sz w:val="20"/>
          <w:szCs w:val="20"/>
          <w:color w:val="auto"/>
        </w:rPr>
      </w:pPr>
      <w:r>
        <w:rPr>
          <w:rFonts w:ascii="Arial" w:cs="Arial" w:eastAsia="Arial" w:hAnsi="Arial"/>
          <w:sz w:val="18"/>
          <w:szCs w:val="18"/>
          <w:i w:val="1"/>
          <w:iCs w:val="1"/>
          <w:u w:val="single" w:color="auto"/>
          <w:color w:val="auto"/>
        </w:rPr>
        <w:t>Other Terms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take action, including the withholding of amounts from any award made under the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satisfy withholding and other tax obligations. Except as permitted by the applicable award agreement, awards granted under the Amended Plan generally may not be pledged or otherwise encumbered and are not transferable except by will or by the laws of descent and distribution, or as permitted by the compensation committee in its discretion.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U.S. Federal Income Tax Consequences</w:t>
      </w:r>
      <w:r>
        <w:rPr>
          <w:rFonts w:ascii="Arial" w:cs="Arial" w:eastAsia="Arial" w:hAnsi="Arial"/>
          <w:sz w:val="18"/>
          <w:szCs w:val="18"/>
          <w:i w:val="1"/>
          <w:iCs w:val="1"/>
          <w:color w:val="auto"/>
        </w:rPr>
        <w:t>.</w:t>
      </w:r>
    </w:p>
    <w:p>
      <w:pPr>
        <w:spacing w:after="0" w:line="214" w:lineRule="exact"/>
        <w:rPr>
          <w:sz w:val="20"/>
          <w:szCs w:val="20"/>
          <w:color w:val="auto"/>
        </w:rPr>
      </w:pPr>
    </w:p>
    <w:p>
      <w:pPr>
        <w:ind w:right="180" w:firstLine="374"/>
        <w:spacing w:after="0" w:line="252" w:lineRule="auto"/>
        <w:rPr>
          <w:sz w:val="20"/>
          <w:szCs w:val="20"/>
          <w:color w:val="auto"/>
        </w:rPr>
      </w:pPr>
      <w:r>
        <w:rPr>
          <w:rFonts w:ascii="Arial" w:cs="Arial" w:eastAsia="Arial" w:hAnsi="Arial"/>
          <w:sz w:val="18"/>
          <w:szCs w:val="18"/>
          <w:i w:val="1"/>
          <w:iCs w:val="1"/>
          <w:color w:val="auto"/>
        </w:rPr>
        <w:t>The following is a brief summary of certain U.S. federal income tax aspects of awards under the Amended Plan based upon the U.S. federal income tax laws in effect on the date hereof. This summary is not intended to be exhaustive and the exact tax consequences to any participant will depend upon his or her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i w:val="1"/>
          <w:iCs w:val="1"/>
          <w:color w:val="auto"/>
        </w:rPr>
        <w:t>circumstances and other factors. Participants may also be subject to certain other U.S. federal, state, local or non-U.S. taxes that are not described herein. Participants in the Amended Plan are encouraged to consult their own tax advisors with respect to any state, local or non-U.S. tax considerations or particular U.S. federal tax implications of awards granted under the Amended Plan.</w:t>
      </w:r>
    </w:p>
    <w:p>
      <w:pPr>
        <w:spacing w:after="0" w:line="169" w:lineRule="exact"/>
        <w:rPr>
          <w:sz w:val="20"/>
          <w:szCs w:val="20"/>
          <w:color w:val="auto"/>
        </w:rPr>
      </w:pPr>
    </w:p>
    <w:p>
      <w:pPr>
        <w:ind w:firstLine="374"/>
        <w:spacing w:after="0"/>
        <w:rPr>
          <w:sz w:val="20"/>
          <w:szCs w:val="20"/>
          <w:color w:val="auto"/>
        </w:rPr>
      </w:pPr>
      <w:r>
        <w:rPr>
          <w:rFonts w:ascii="Arial" w:cs="Arial" w:eastAsia="Arial" w:hAnsi="Arial"/>
          <w:sz w:val="18"/>
          <w:szCs w:val="18"/>
          <w:i w:val="1"/>
          <w:iCs w:val="1"/>
          <w:u w:val="single" w:color="auto"/>
          <w:color w:val="auto"/>
        </w:rPr>
        <w:t>Non-qualified Stock Options</w:t>
      </w:r>
      <w:r>
        <w:rPr>
          <w:rFonts w:ascii="Arial" w:cs="Arial" w:eastAsia="Arial" w:hAnsi="Arial"/>
          <w:sz w:val="18"/>
          <w:szCs w:val="18"/>
          <w:color w:val="auto"/>
        </w:rPr>
        <w:t>. No income is generally recognized by an optionee at the time a non-qualified stock option is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(i) upon the exercise of a non-qualified stock option, the optionee recognizes ordinary income in an amount equal to the difference between the aggregate option price paid and the aggregate fair market value of the shares received on the date of exercise, and the Company receives an income tax deduction for the same amount, and (ii) upon the disposition shares received upon the exercise of a non-qualified stock option, appreciation or depreciation of the shares after the date of exercise is treated as either short-term or long-term capital gain or loss depending on how long the shares have been held. Special rules will apply where all or a portion of the exercise price of the non-qualified stock option is paid by tendering shares of common stock. Upon exercise of a nonqualified stock option, the optionee will also be subject to employment taxes on the excess of the fair market value of the shares received over the exercise price of the option.</w:t>
      </w:r>
    </w:p>
    <w:p>
      <w:pPr>
        <w:spacing w:after="0" w:line="180" w:lineRule="exact"/>
        <w:rPr>
          <w:sz w:val="20"/>
          <w:szCs w:val="20"/>
          <w:color w:val="auto"/>
        </w:rPr>
      </w:pPr>
    </w:p>
    <w:p>
      <w:pPr>
        <w:ind w:firstLine="374"/>
        <w:spacing w:after="0" w:line="242" w:lineRule="auto"/>
        <w:rPr>
          <w:sz w:val="20"/>
          <w:szCs w:val="20"/>
          <w:color w:val="auto"/>
        </w:rPr>
      </w:pPr>
      <w:r>
        <w:rPr>
          <w:rFonts w:ascii="Arial" w:cs="Arial" w:eastAsia="Arial" w:hAnsi="Arial"/>
          <w:sz w:val="18"/>
          <w:szCs w:val="18"/>
          <w:i w:val="1"/>
          <w:iCs w:val="1"/>
          <w:u w:val="single" w:color="auto"/>
          <w:color w:val="auto"/>
        </w:rPr>
        <w:t>Incentive Stock Options</w:t>
      </w:r>
      <w:r>
        <w:rPr>
          <w:rFonts w:ascii="Arial" w:cs="Arial" w:eastAsia="Arial" w:hAnsi="Arial"/>
          <w:sz w:val="18"/>
          <w:szCs w:val="18"/>
          <w:color w:val="auto"/>
        </w:rPr>
        <w:t>. No income is generally recognized by an optionee upon the grant or exercise of an 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the alternative minimum tax may apply to the exercise thereof). If shares of common stock issued to the optionee pursuant to the exercise of an incentive stock option are sold or transferred after two years from the date of grant and after one year from the date of exercise, then upon sale of such shares, (i) any amount realized in excess of the option price paid for the shares will be taxed to the optionee as a long-term capital gain, and any loss sustained will be treated as a long-term capital loss to the optionee, and (ii) the Company will not be entitled to any deduction for federal income tax purposes.</w:t>
      </w:r>
    </w:p>
    <w:p>
      <w:pPr>
        <w:spacing w:after="0" w:line="179" w:lineRule="exact"/>
        <w:rPr>
          <w:sz w:val="20"/>
          <w:szCs w:val="20"/>
          <w:color w:val="auto"/>
        </w:rPr>
      </w:pPr>
    </w:p>
    <w:p>
      <w:pPr>
        <w:ind w:firstLine="374"/>
        <w:spacing w:after="0" w:line="244" w:lineRule="auto"/>
        <w:rPr>
          <w:sz w:val="20"/>
          <w:szCs w:val="20"/>
          <w:color w:val="auto"/>
        </w:rPr>
      </w:pPr>
      <w:r>
        <w:rPr>
          <w:rFonts w:ascii="Arial" w:cs="Arial" w:eastAsia="Arial" w:hAnsi="Arial"/>
          <w:sz w:val="18"/>
          <w:szCs w:val="18"/>
          <w:color w:val="auto"/>
        </w:rPr>
        <w:t>If shares acquired upon the exercise of an incentive stock option are disposed of prior to the expiration of the two-year and one-year holding periods described above, generally (i) the optionee will recognize ordinary income in the year of disposition in an amount equal to the excess (if any) of the fair market value of the shares received upon exercise (or, if less, the amount realized on the sale of such shares ) over the option price thereof, and (ii) the Company will be entitled to deduct such amount. Special rules will apply where all or a portion of the exercise price of the incentive stock option is paid by tendering shares of common stock.</w:t>
      </w:r>
    </w:p>
    <w:p>
      <w:pPr>
        <w:spacing w:after="0" w:line="176" w:lineRule="exact"/>
        <w:rPr>
          <w:sz w:val="20"/>
          <w:szCs w:val="20"/>
          <w:color w:val="auto"/>
        </w:rPr>
      </w:pPr>
    </w:p>
    <w:p>
      <w:pPr>
        <w:ind w:right="80" w:firstLine="374"/>
        <w:spacing w:after="0" w:line="247" w:lineRule="auto"/>
        <w:rPr>
          <w:sz w:val="20"/>
          <w:szCs w:val="20"/>
          <w:color w:val="auto"/>
        </w:rPr>
      </w:pPr>
      <w:r>
        <w:rPr>
          <w:rFonts w:ascii="Arial" w:cs="Arial" w:eastAsia="Arial" w:hAnsi="Arial"/>
          <w:sz w:val="18"/>
          <w:szCs w:val="18"/>
          <w:color w:val="auto"/>
        </w:rPr>
        <w:t>If an incentive stock option is exercised at a time when it no longer qualifies for the tax treatment described above, the option is treated as a non-qualified stock option. Generally, an incentive stock option will not be eligible for the tax treatment described above if it is exercised more than three months following termination of employment (or one year in the case of a termination by reason of disability) under circumstances other than the death of the optionee.</w:t>
      </w:r>
    </w:p>
    <w:p>
      <w:pPr>
        <w:spacing w:after="0" w:line="174" w:lineRule="exact"/>
        <w:rPr>
          <w:sz w:val="20"/>
          <w:szCs w:val="20"/>
          <w:color w:val="auto"/>
        </w:rPr>
      </w:pPr>
    </w:p>
    <w:p>
      <w:pPr>
        <w:ind w:firstLine="374"/>
        <w:spacing w:after="0" w:line="242" w:lineRule="auto"/>
        <w:rPr>
          <w:sz w:val="20"/>
          <w:szCs w:val="20"/>
          <w:color w:val="auto"/>
        </w:rPr>
      </w:pPr>
      <w:r>
        <w:rPr>
          <w:rFonts w:ascii="Arial" w:cs="Arial" w:eastAsia="Arial" w:hAnsi="Arial"/>
          <w:sz w:val="18"/>
          <w:szCs w:val="18"/>
          <w:i w:val="1"/>
          <w:iCs w:val="1"/>
          <w:u w:val="single" w:color="auto"/>
          <w:color w:val="auto"/>
        </w:rPr>
        <w:t>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of a SAR with an exercise price equal to the fair market value of a share on the date of grant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 taxable event to the participant or the Company. The exercise of a SAR will result in the participant recognizing ordinary income on the value of the SAR at the time of exercise. The Company will be allowed an income tax deduction for the amount of ordinary income recognized by a participant with respect to the exercise of a SAR. A participant also will recognize capital gain or loss on the subsequent sale of any common stock acquired through the exercise of a SAR. For this purpose, the participant’s basis in the common stock is its fair market value at the time the SAR is exercised.</w:t>
      </w:r>
    </w:p>
    <w:p>
      <w:pPr>
        <w:spacing w:after="0" w:line="179" w:lineRule="exact"/>
        <w:rPr>
          <w:sz w:val="20"/>
          <w:szCs w:val="20"/>
          <w:color w:val="auto"/>
        </w:rPr>
      </w:pPr>
    </w:p>
    <w:p>
      <w:pPr>
        <w:ind w:right="80" w:firstLine="374"/>
        <w:spacing w:after="0" w:line="242" w:lineRule="auto"/>
        <w:rPr>
          <w:sz w:val="20"/>
          <w:szCs w:val="20"/>
          <w:color w:val="auto"/>
        </w:rPr>
      </w:pPr>
      <w:r>
        <w:rPr>
          <w:rFonts w:ascii="Arial" w:cs="Arial" w:eastAsia="Arial" w:hAnsi="Arial"/>
          <w:sz w:val="18"/>
          <w:szCs w:val="18"/>
          <w:i w:val="1"/>
          <w:iCs w:val="1"/>
          <w:u w:val="single" w:color="auto"/>
          <w:color w:val="auto"/>
        </w:rPr>
        <w:t>Restricted Shares</w:t>
      </w:r>
      <w:r>
        <w:rPr>
          <w:rFonts w:ascii="Arial" w:cs="Arial" w:eastAsia="Arial" w:hAnsi="Arial"/>
          <w:sz w:val="18"/>
          <w:szCs w:val="18"/>
          <w:color w:val="auto"/>
        </w:rPr>
        <w:t>. A participant who has been granted a restricted share award generally will not recognize taxable income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is granted. Upon the vesting of shares subject to a restricted share award, the participant generally will recognize ordinary income in an amount equal to the then fair market value of those shares in excess of the amount paid, if any, for such shares, and the Company will be entitled to a corresponding income tax deduction. Gains or losses subsequently recognized by the participant upon disposition of such shares generally will be treated as capital gains or losses, with the basis in such shares equal to the fair market value of the shares at the time of vesting plus the amount, if any, paid for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firstLine="374"/>
        <w:spacing w:after="0" w:line="242" w:lineRule="auto"/>
        <w:rPr>
          <w:sz w:val="20"/>
          <w:szCs w:val="20"/>
          <w:color w:val="auto"/>
        </w:rPr>
      </w:pPr>
      <w:r>
        <w:rPr>
          <w:rFonts w:ascii="Arial" w:cs="Arial" w:eastAsia="Arial" w:hAnsi="Arial"/>
          <w:sz w:val="18"/>
          <w:szCs w:val="18"/>
          <w:i w:val="1"/>
          <w:iCs w:val="1"/>
          <w:u w:val="single" w:color="auto"/>
          <w:color w:val="auto"/>
        </w:rPr>
        <w:t>Restricted Share Units</w:t>
      </w:r>
      <w:r>
        <w:rPr>
          <w:rFonts w:ascii="Arial" w:cs="Arial" w:eastAsia="Arial" w:hAnsi="Arial"/>
          <w:sz w:val="18"/>
          <w:szCs w:val="18"/>
          <w:color w:val="auto"/>
        </w:rPr>
        <w:t>. A participant who has been granted an award of restricted share units generally will not recognize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at the time the award is granted. The participant generally will recognize ordinary income in an amount equal to the cash or the then fair market value of any shares received upon settlement of the restricted share units when such cash or shares are made available to the participant, and the Company generally will be entitled to an income tax deduction at that time. Gains or losses recognized by the participant upon disposition of any shares received upon settlement of a restricted share unit award generally will be treated as capital gains or losses, with the basis in such shares equal to the fair market value of the shares at the time they were made available to the participant.</w:t>
      </w:r>
    </w:p>
    <w:p>
      <w:pPr>
        <w:spacing w:after="0" w:line="179" w:lineRule="exact"/>
        <w:rPr>
          <w:sz w:val="20"/>
          <w:szCs w:val="20"/>
          <w:color w:val="auto"/>
        </w:rPr>
      </w:pPr>
    </w:p>
    <w:p>
      <w:pPr>
        <w:ind w:firstLine="374"/>
        <w:spacing w:after="0"/>
        <w:rPr>
          <w:sz w:val="20"/>
          <w:szCs w:val="20"/>
          <w:color w:val="auto"/>
        </w:rPr>
      </w:pPr>
      <w:r>
        <w:rPr>
          <w:rFonts w:ascii="Arial" w:cs="Arial" w:eastAsia="Arial" w:hAnsi="Arial"/>
          <w:sz w:val="18"/>
          <w:szCs w:val="18"/>
          <w:i w:val="1"/>
          <w:iCs w:val="1"/>
          <w:u w:val="single" w:color="auto"/>
          <w:color w:val="auto"/>
        </w:rPr>
        <w:t>Other Stock-Based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who is granted any other stock-based award that is not subject to any vesting or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will generally recognize, in the year of grant (or, if later, payment in case of stock units and similar awards), ordinary income equal to the fair market value of any cash or other property received. If such other stock-based award is subject to restrictions that do not allow for the delivery of shares or cash until a vesting condition has been satisfied, the participant would not generally recognize ordinary income until the date the vesting condition is satisfied and the shares or cash have been made available to the participant. The Company generally is entitled to an income tax deduction for the amount of ordinary income recognized by the participant with respect to the other stock-based award in the same year as the ordinary income is recognized by the participant.</w:t>
      </w:r>
    </w:p>
    <w:p>
      <w:pPr>
        <w:spacing w:after="0" w:line="185" w:lineRule="exact"/>
        <w:rPr>
          <w:sz w:val="20"/>
          <w:szCs w:val="20"/>
          <w:color w:val="auto"/>
        </w:rPr>
      </w:pPr>
    </w:p>
    <w:p>
      <w:pPr>
        <w:ind w:right="60" w:firstLine="374"/>
        <w:spacing w:after="0"/>
        <w:rPr>
          <w:sz w:val="20"/>
          <w:szCs w:val="20"/>
          <w:color w:val="auto"/>
        </w:rPr>
      </w:pPr>
      <w:r>
        <w:rPr>
          <w:rFonts w:ascii="Arial" w:cs="Arial" w:eastAsia="Arial" w:hAnsi="Arial"/>
          <w:sz w:val="18"/>
          <w:szCs w:val="18"/>
          <w:i w:val="1"/>
          <w:iCs w:val="1"/>
          <w:u w:val="single" w:color="auto"/>
          <w:color w:val="auto"/>
        </w:rPr>
        <w:t>Performance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made under performance awards are taxable as ordinary income at the time an individual attains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and the payments in cash or shares are made available to, and are transferable by, the participant. Participants receiving performance awards settled in shares of common stock will recognize ordinary income equal to the fair market value of the shares received as the performance goals are met and such shares vest, less any amount paid by the participant for the shares. The participant will also recognize capital gain or loss on the subsequent sale of any shares received by the participant in connection with a performance award. Such participant’s tax basis in the stock generally is its fair market value at the time the shares become vested and are made available to the participant.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Amended Plan is not intended to be qualified under Section 401(a) of the Code.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12" w:lineRule="exact"/>
        <w:rPr>
          <w:sz w:val="20"/>
          <w:szCs w:val="20"/>
          <w:color w:val="auto"/>
        </w:rPr>
      </w:pPr>
    </w:p>
    <w:p>
      <w:pPr>
        <w:ind w:right="160" w:firstLine="374"/>
        <w:spacing w:after="0" w:line="244" w:lineRule="auto"/>
        <w:rPr>
          <w:sz w:val="20"/>
          <w:szCs w:val="20"/>
          <w:color w:val="auto"/>
        </w:rPr>
      </w:pPr>
      <w:r>
        <w:rPr>
          <w:rFonts w:ascii="Arial" w:cs="Arial" w:eastAsia="Arial" w:hAnsi="Arial"/>
          <w:sz w:val="18"/>
          <w:szCs w:val="18"/>
          <w:color w:val="auto"/>
        </w:rPr>
        <w:t>Because awards granted under the Amended Plan will be made at the discretion of the compensation committee, the benefits that will be awarded under the Amended Plan are not currently determinable as it is not currently possible to determine the benefits or amounts that will be received by any individual or groups pursuant to the Amended Plan in the future, or the benefits or amounts that would have been received by or allocated to any individual or groups for Fiscal 2027 if the Amended Plan had been in effect. Information regarding the Company’s recent practices with respect to equity-based compensation is presented elsewhere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2"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color w:val="auto"/>
        </w:rPr>
        <w:t>The following table sets forth certain information concerning the Plan, previously approved by shareholders, and the Prior Plan. There are no equity compensation plans not approved by shareholders. For additional information concerning the Company’s equity compensation plans, see the discussion in the Notes to Consolidated Financial Statements in Note 1 – Summary of Significant Accounting Policies – Share-Based Compensation, and Note 14 – Share-Based Compensation Plans, included in the Company’s Annual Report on Form 10-K for the Fiscal Year ended January 31,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Available for</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Future Issuance</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Securities to be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Issued Upon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rPr>
              <w:t>Exercise Price of</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Plans (excluding</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Reflected in</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Warrants and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rPr>
              <w:t>Warrants and</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Column</w:t>
            </w:r>
          </w:p>
        </w:tc>
      </w:tr>
      <w:tr>
        <w:trPr>
          <w:trHeight w:val="171"/>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4"/>
                <w:szCs w:val="14"/>
                <w:color w:val="auto"/>
              </w:rPr>
            </w:pPr>
          </w:p>
        </w:tc>
        <w:tc>
          <w:tcPr>
            <w:tcW w:w="154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Rights(1)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Rights</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(a))(2)</w:t>
            </w:r>
          </w:p>
        </w:tc>
      </w:tr>
      <w:tr>
        <w:trPr>
          <w:trHeight w:val="196"/>
        </w:trPr>
        <w:tc>
          <w:tcPr>
            <w:tcW w:w="6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Equity compensation plans approved by security holders</w:t>
            </w:r>
          </w:p>
        </w:tc>
        <w:tc>
          <w:tcPr>
            <w:tcW w:w="1660" w:type="dxa"/>
            <w:vAlign w:val="bottom"/>
            <w:gridSpan w:val="2"/>
            <w:shd w:val="clear" w:color="auto" w:fill="CCEEFF"/>
          </w:tcPr>
          <w:p>
            <w:pPr>
              <w:jc w:val="right"/>
              <w:ind w:right="386"/>
              <w:spacing w:after="0" w:line="196" w:lineRule="exact"/>
              <w:rPr>
                <w:sz w:val="20"/>
                <w:szCs w:val="20"/>
                <w:color w:val="auto"/>
              </w:rPr>
            </w:pPr>
            <w:r>
              <w:rPr>
                <w:rFonts w:ascii="Arial" w:cs="Arial" w:eastAsia="Arial" w:hAnsi="Arial"/>
                <w:sz w:val="18"/>
                <w:szCs w:val="18"/>
                <w:color w:val="auto"/>
              </w:rPr>
              <w:t>920</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7"/>
              <w:spacing w:after="0" w:line="196" w:lineRule="exact"/>
              <w:rPr>
                <w:sz w:val="20"/>
                <w:szCs w:val="20"/>
                <w:color w:val="auto"/>
              </w:rPr>
            </w:pPr>
            <w:r>
              <w:rPr>
                <w:rFonts w:ascii="Arial" w:cs="Arial" w:eastAsia="Arial" w:hAnsi="Arial"/>
                <w:sz w:val="18"/>
                <w:szCs w:val="18"/>
                <w:color w:val="auto"/>
              </w:rPr>
              <w:t>766,794</w:t>
            </w: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Equity compensation plans not approved by security holders</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ind w:right="386"/>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ind w:left="7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ind w:right="287"/>
              <w:spacing w:after="0" w:line="202" w:lineRule="exact"/>
              <w:rPr>
                <w:sz w:val="20"/>
                <w:szCs w:val="20"/>
                <w:color w:val="auto"/>
              </w:rPr>
            </w:pPr>
            <w:r>
              <w:rPr>
                <w:rFonts w:ascii="Arial" w:cs="Arial" w:eastAsia="Arial" w:hAnsi="Arial"/>
                <w:sz w:val="18"/>
                <w:szCs w:val="18"/>
                <w:color w:val="auto"/>
              </w:rPr>
              <w:t>—</w:t>
            </w:r>
          </w:p>
        </w:tc>
      </w:tr>
      <w:tr>
        <w:trPr>
          <w:trHeight w:val="196"/>
        </w:trPr>
        <w:tc>
          <w:tcPr>
            <w:tcW w:w="6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CCEEFF"/>
          </w:tcPr>
          <w:p>
            <w:pPr>
              <w:jc w:val="right"/>
              <w:ind w:right="386"/>
              <w:spacing w:after="0" w:line="196" w:lineRule="exact"/>
              <w:rPr>
                <w:sz w:val="20"/>
                <w:szCs w:val="20"/>
                <w:color w:val="auto"/>
              </w:rPr>
            </w:pPr>
            <w:r>
              <w:rPr>
                <w:rFonts w:ascii="Arial" w:cs="Arial" w:eastAsia="Arial" w:hAnsi="Arial"/>
                <w:sz w:val="18"/>
                <w:szCs w:val="18"/>
                <w:color w:val="auto"/>
              </w:rPr>
              <w:t>920</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ind w:left="720"/>
              <w:spacing w:after="0" w:line="196" w:lineRule="exact"/>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287"/>
              <w:spacing w:after="0" w:line="196" w:lineRule="exact"/>
              <w:rPr>
                <w:sz w:val="20"/>
                <w:szCs w:val="20"/>
                <w:color w:val="auto"/>
              </w:rPr>
            </w:pPr>
            <w:r>
              <w:rPr>
                <w:rFonts w:ascii="Arial" w:cs="Arial" w:eastAsia="Arial" w:hAnsi="Arial"/>
                <w:sz w:val="18"/>
                <w:szCs w:val="18"/>
                <w:color w:val="auto"/>
              </w:rPr>
              <w:t>766,794</w:t>
            </w:r>
          </w:p>
        </w:tc>
      </w:tr>
      <w:tr>
        <w:trPr>
          <w:trHeight w:val="75"/>
        </w:trPr>
        <w:tc>
          <w:tcPr>
            <w:tcW w:w="3000" w:type="dxa"/>
            <w:vAlign w:val="bottom"/>
            <w:tcBorders>
              <w:top w:val="single" w:sz="8" w:color="CCEEFF"/>
              <w:bottom w:val="single" w:sz="8" w:color="auto"/>
            </w:tcBorders>
          </w:tcPr>
          <w:p>
            <w:pPr>
              <w:spacing w:after="0"/>
              <w:rPr>
                <w:sz w:val="6"/>
                <w:szCs w:val="6"/>
                <w:color w:val="auto"/>
              </w:rPr>
            </w:pPr>
          </w:p>
        </w:tc>
        <w:tc>
          <w:tcPr>
            <w:tcW w:w="3360" w:type="dxa"/>
            <w:vAlign w:val="bottom"/>
            <w:tcBorders>
              <w:top w:val="single" w:sz="8" w:color="CCEEFF"/>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-67945</wp:posOffset>
            </wp:positionV>
            <wp:extent cx="1028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-67945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Restricted stock units issued to certain employees at no cost.</w:t>
      </w:r>
    </w:p>
    <w:p>
      <w:pPr>
        <w:spacing w:after="0" w:line="103" w:lineRule="exact"/>
        <w:rPr>
          <w:rFonts w:ascii="Arial" w:cs="Arial" w:eastAsia="Arial" w:hAnsi="Arial"/>
          <w:sz w:val="18"/>
          <w:szCs w:val="18"/>
          <w:color w:val="auto"/>
        </w:rPr>
      </w:pPr>
    </w:p>
    <w:p>
      <w:pPr>
        <w:ind w:left="520" w:right="100" w:hanging="512"/>
        <w:spacing w:after="0" w:line="247"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Such shares may be issued as restricted shares or other forms of stock-based compensation pursuant to the Plan and Prior Plan. Represents the 766,794 shares of the Company’s common stock reserved for issuance under the Plan and Prior Plan, as reported in Note 10 to the Company’s consolidated financial statements included in Part II, Item 8 of the Company’s Annual Report on Form 10-K as filed with the SEC on March 25, 2026.</w:t>
      </w:r>
    </w:p>
    <w:p>
      <w:pPr>
        <w:spacing w:after="0" w:line="174" w:lineRule="exact"/>
        <w:rPr>
          <w:sz w:val="20"/>
          <w:szCs w:val="20"/>
          <w:color w:val="auto"/>
        </w:rPr>
      </w:pPr>
    </w:p>
    <w:p>
      <w:pPr>
        <w:ind w:right="480" w:firstLine="374"/>
        <w:spacing w:after="0" w:line="281" w:lineRule="auto"/>
        <w:rPr>
          <w:sz w:val="20"/>
          <w:szCs w:val="20"/>
          <w:color w:val="auto"/>
        </w:rPr>
      </w:pPr>
      <w:r>
        <w:rPr>
          <w:rFonts w:ascii="Arial" w:cs="Arial" w:eastAsia="Arial" w:hAnsi="Arial"/>
          <w:sz w:val="18"/>
          <w:szCs w:val="18"/>
          <w:b w:val="1"/>
          <w:bCs w:val="1"/>
          <w:color w:val="auto"/>
        </w:rPr>
        <w:t>The Board recommends a vote FOR the proposal to approve the Genesco Inc. Fourth Amended and Restated 2020 Equity Incentive Plan. Proxies solicited by the Board will be so voted unless shareholders otherwise specify in their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MATTERS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4</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94" w:lineRule="exact"/>
        <w:rPr>
          <w:sz w:val="20"/>
          <w:szCs w:val="20"/>
          <w:color w:val="auto"/>
        </w:rPr>
      </w:pPr>
    </w:p>
    <w:p>
      <w:pPr>
        <w:ind w:right="240" w:firstLine="382"/>
        <w:spacing w:after="0" w:line="244" w:lineRule="auto"/>
        <w:rPr>
          <w:sz w:val="20"/>
          <w:szCs w:val="20"/>
          <w:color w:val="auto"/>
        </w:rPr>
      </w:pPr>
      <w:r>
        <w:rPr>
          <w:rFonts w:ascii="Arial" w:cs="Arial" w:eastAsia="Arial" w:hAnsi="Arial"/>
          <w:sz w:val="18"/>
          <w:szCs w:val="18"/>
          <w:color w:val="auto"/>
        </w:rPr>
        <w:t>The audit committee is responsible for the appointment, compensation, and oversight of the independent registered public accounting firm retained to audit the Company’s consolidated financial statements and its process of internal control over financial reporting. The audit committee conducts an annual evaluation of the independent registered public accounting firm’s qualifications, performance, and independence. On April 29, 2026, the audit committee approved the appointment of Deloitte &amp; Touche LLP (“Deloitte”) to serve as the Company’s independent registered public accounting firm for the fiscal year ending January 30, 2027.</w:t>
      </w:r>
    </w:p>
    <w:p>
      <w:pPr>
        <w:spacing w:after="0" w:line="176" w:lineRule="exact"/>
        <w:rPr>
          <w:sz w:val="20"/>
          <w:szCs w:val="20"/>
          <w:color w:val="auto"/>
        </w:rPr>
      </w:pPr>
    </w:p>
    <w:p>
      <w:pPr>
        <w:ind w:right="100" w:firstLine="382"/>
        <w:spacing w:after="0" w:line="239" w:lineRule="auto"/>
        <w:rPr>
          <w:sz w:val="20"/>
          <w:szCs w:val="20"/>
          <w:color w:val="auto"/>
        </w:rPr>
      </w:pPr>
      <w:r>
        <w:rPr>
          <w:rFonts w:ascii="Arial" w:cs="Arial" w:eastAsia="Arial" w:hAnsi="Arial"/>
          <w:sz w:val="18"/>
          <w:szCs w:val="18"/>
          <w:color w:val="auto"/>
        </w:rPr>
        <w:t>The audit committee exercises sole authority to approve all fees and terms associated with the retention of Deloitte. In addition to ensuring the regular rotation of the lead audit partner as required by law, the audit committee is involved in the selection of, and reviews and evaluates, the lead audit partner. The audit committee and the Board believe that the retention of Deloitte to serve as the Company’s independent registered public accounting firm is in the best interest of the Company and its shareholders, and are submitting the appointment for shareholder ratification at the Annual Meeting. If shareholders do not ratify the firm’s appointment, the audit committee will reconsider the appointment. Even if the appointment is ratified, the audit committee may in its discretion choose a different independent registered public accounting firm at any time during the fiscal year if it determines that such an action would be in the best interest of the Company and its shareholders. Representatives of the firm are expected to be present at the Annual Meeting, will have the opportunity to make a statement if they desire to do so, and will be available to respond to appropriate questions.</w:t>
      </w:r>
    </w:p>
    <w:p>
      <w:pPr>
        <w:spacing w:after="0" w:line="183" w:lineRule="exact"/>
        <w:rPr>
          <w:sz w:val="20"/>
          <w:szCs w:val="20"/>
          <w:color w:val="auto"/>
        </w:rPr>
      </w:pPr>
    </w:p>
    <w:p>
      <w:pPr>
        <w:ind w:right="220" w:firstLine="382"/>
        <w:spacing w:after="0" w:line="281" w:lineRule="auto"/>
        <w:rPr>
          <w:sz w:val="20"/>
          <w:szCs w:val="20"/>
          <w:color w:val="auto"/>
        </w:rPr>
      </w:pPr>
      <w:r>
        <w:rPr>
          <w:rFonts w:ascii="Arial" w:cs="Arial" w:eastAsia="Arial" w:hAnsi="Arial"/>
          <w:sz w:val="18"/>
          <w:szCs w:val="18"/>
          <w:b w:val="1"/>
          <w:bCs w:val="1"/>
          <w:color w:val="auto"/>
        </w:rPr>
        <w:t>The Board unanimously recommends a vote FOR ratification of this appointment and your proxy will be so voted unless you specify otherwise.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12" w:lineRule="exact"/>
        <w:rPr>
          <w:sz w:val="20"/>
          <w:szCs w:val="20"/>
          <w:color w:val="auto"/>
        </w:rPr>
      </w:pPr>
    </w:p>
    <w:p>
      <w:pPr>
        <w:ind w:right="160" w:firstLine="382"/>
        <w:spacing w:after="0" w:line="238" w:lineRule="auto"/>
        <w:rPr>
          <w:sz w:val="20"/>
          <w:szCs w:val="20"/>
          <w:color w:val="auto"/>
        </w:rPr>
      </w:pPr>
      <w:r>
        <w:rPr>
          <w:rFonts w:ascii="Arial" w:cs="Arial" w:eastAsia="Arial" w:hAnsi="Arial"/>
          <w:sz w:val="18"/>
          <w:szCs w:val="18"/>
          <w:color w:val="auto"/>
        </w:rPr>
        <w:t xml:space="preserve">The audit committee is composed of three independent directors as defined under the current rules of the NYSE and applicable SEC regulations. The audit committee oversees the Company’s financial reporting process on behalf of the Board. The audit committee’s charter is available on the Company’s website, </w:t>
      </w:r>
      <w:r>
        <w:rPr>
          <w:rFonts w:ascii="Arial" w:cs="Arial" w:eastAsia="Arial" w:hAnsi="Arial"/>
          <w:sz w:val="18"/>
          <w:szCs w:val="18"/>
          <w:u w:val="single" w:color="auto"/>
          <w:color w:val="auto"/>
        </w:rPr>
        <w:t>www.genesco.com.</w:t>
      </w:r>
      <w:r>
        <w:rPr>
          <w:rFonts w:ascii="Arial" w:cs="Arial" w:eastAsia="Arial" w:hAnsi="Arial"/>
          <w:sz w:val="18"/>
          <w:szCs w:val="18"/>
          <w:color w:val="auto"/>
        </w:rPr>
        <w:t xml:space="preserve"> It is not the duty of the audit committee to prepare the Company’s consolidated financial statements, to plan or conduct audits of such financial statements, or to determine that the financial statements are complete and accurate and in accordance with generally accepted accounting principles. Management has the primary responsibility for the consolidated financial statements and the financial reporting process, including the Company’s internal control over financial reporting and its disclosure controls and procedures. Ernst &amp; Young LLP ("Ernst &amp; Young"), the Company’s independent registered public accounting firm for Fiscal 2025, was responsible for auditing the Company’s (i) consolidated financial statements and expressing an opinion as to whether they fairly present, in all material respects, the financial position, results of operations, and cash flows of the Company in conformity with generally accepted accounting principles in the United States, and (ii) internal control over financial reporting and expressing an opinion as to its effectiveness.</w:t>
      </w:r>
    </w:p>
    <w:p>
      <w:pPr>
        <w:spacing w:after="0" w:line="186"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In Fiscal 2026, the audit committee met 15 times. Agendas are established by the chairman of the audit committee in consultation with management. Each meeting included participation by members of the Company’s corporate and financial management team, generally including the chief executive officer, the chief financial officer, the general counsel, and representatives of the internal audit department, and by representatives of the Company’s independent registered public accounting firm for Fiscal 2026, Deloitte. In connection with each of the quarterly audit committee meetings, the audit committee met in separate private sessions with management, representatives of internal audit, and representatives of Deloitte.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40" w:firstLine="382"/>
        <w:spacing w:after="0" w:line="271" w:lineRule="auto"/>
        <w:rPr>
          <w:sz w:val="20"/>
          <w:szCs w:val="20"/>
          <w:color w:val="auto"/>
        </w:rPr>
      </w:pPr>
      <w:r>
        <w:rPr>
          <w:rFonts w:ascii="Arial" w:cs="Arial" w:eastAsia="Arial" w:hAnsi="Arial"/>
          <w:sz w:val="18"/>
          <w:szCs w:val="18"/>
          <w:color w:val="auto"/>
        </w:rPr>
        <w:t>In addition to reviewing and discussing with management and Deloitte, the Company’s interim and annual consolidated financial statements filed on Forms 10-Q and 10-K, the audit committee also:</w:t>
      </w:r>
    </w:p>
    <w:p>
      <w:pPr>
        <w:spacing w:after="0" w:line="154"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Reviewed and approved the internal audit plan for the fiscal year and regularly received updates on the status of the plan;</w:t>
      </w:r>
    </w:p>
    <w:p>
      <w:pPr>
        <w:spacing w:after="0" w:line="224" w:lineRule="exact"/>
        <w:rPr>
          <w:rFonts w:ascii="Times New Roman" w:cs="Times New Roman" w:eastAsia="Times New Roman" w:hAnsi="Times New Roman"/>
          <w:sz w:val="18"/>
          <w:szCs w:val="18"/>
          <w:color w:val="auto"/>
        </w:rPr>
      </w:pPr>
    </w:p>
    <w:p>
      <w:pPr>
        <w:ind w:left="760" w:right="40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Reviewed with representatives of Deloitte the overall scope and strategy for their annual audits of the Company’s consolidated financial statements and internal control over financial reporting;</w:t>
      </w:r>
    </w:p>
    <w:p>
      <w:pPr>
        <w:spacing w:after="0" w:line="154" w:lineRule="exact"/>
        <w:rPr>
          <w:rFonts w:ascii="Times New Roman" w:cs="Times New Roman" w:eastAsia="Times New Roman" w:hAnsi="Times New Roman"/>
          <w:sz w:val="18"/>
          <w:szCs w:val="18"/>
          <w:color w:val="auto"/>
        </w:rPr>
      </w:pPr>
    </w:p>
    <w:p>
      <w:pPr>
        <w:ind w:left="760" w:right="40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Reviewed and discussed with management the Company’s quarterly earnings press releases, including the earnings guidance estimates for the full fiscal year and the non-GAAP measures used by the Company;</w:t>
      </w:r>
    </w:p>
    <w:p>
      <w:pPr>
        <w:spacing w:after="0" w:line="154" w:lineRule="exact"/>
        <w:rPr>
          <w:rFonts w:ascii="Times New Roman" w:cs="Times New Roman" w:eastAsia="Times New Roman" w:hAnsi="Times New Roman"/>
          <w:sz w:val="18"/>
          <w:szCs w:val="18"/>
          <w:color w:val="auto"/>
        </w:rPr>
      </w:pPr>
    </w:p>
    <w:p>
      <w:pPr>
        <w:ind w:left="760" w:right="40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Regularly discussed with Deloitte the matters required to be discussed under the standards of the Public Company Accounting Oversight Board (the “PCAOB”);</w:t>
      </w:r>
    </w:p>
    <w:p>
      <w:pPr>
        <w:spacing w:after="0" w:line="154" w:lineRule="exact"/>
        <w:rPr>
          <w:rFonts w:ascii="Times New Roman" w:cs="Times New Roman" w:eastAsia="Times New Roman" w:hAnsi="Times New Roman"/>
          <w:sz w:val="18"/>
          <w:szCs w:val="18"/>
          <w:color w:val="auto"/>
        </w:rPr>
      </w:pPr>
    </w:p>
    <w:p>
      <w:pPr>
        <w:ind w:left="760" w:right="62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Regularly received updates on management’s processes to assess the effectiveness of the Company’s internal control over financial reporting and discussed these processes with representatives of internal audit and Deloitte;</w:t>
      </w:r>
    </w:p>
    <w:p>
      <w:pPr>
        <w:spacing w:after="0" w:line="154"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Received periodic updates from the Company’s chief information security and privacy officer and its senior vice president-strategy and shared services on the Company’s cybersecurity processes and initiatives;</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Received regular updates from the Company’s general counsel on the status of litigation and legal compliance matters affecting the Company;</w:t>
      </w:r>
    </w:p>
    <w:p>
      <w:pPr>
        <w:spacing w:after="0" w:line="154" w:lineRule="exact"/>
        <w:rPr>
          <w:rFonts w:ascii="Times New Roman" w:cs="Times New Roman" w:eastAsia="Times New Roman" w:hAnsi="Times New Roman"/>
          <w:sz w:val="18"/>
          <w:szCs w:val="18"/>
          <w:color w:val="auto"/>
        </w:rPr>
      </w:pPr>
    </w:p>
    <w:p>
      <w:pPr>
        <w:ind w:left="760" w:right="54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Received regular updates from the Company’s chief financial officer and treasurer on matters including the Company’s credit facilities, cash flow, and capital expenditures and on certain employee benefit plans; and</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Received overviews and status reports from management, legal counsel and Deloitte on accounting and financial reporting matters, insurable risk and SEC and PCAOB developments.</w:t>
      </w:r>
    </w:p>
    <w:p>
      <w:pPr>
        <w:spacing w:after="0" w:line="154"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The audit committee has discussed with Deloitte the factors which might be deemed to bear upon the firm’s independence from the Company and its management, including the matters in the written disclosures and the applicable requirements of the PCAOB regarding the firm’s communications with the audit committee concerning independence, which were reviewed by the audit committee. The audit committee considered, among other factors, the distribution of fees paid to the firm among those for audit services, those for audit-related services, those for tax services and all other fees, as described below under the caption “Fee Information,” and considered whether the provision of services other than the audit and audit-related services is compatible with Deloitte’s independence.</w:t>
      </w:r>
    </w:p>
    <w:p>
      <w:pPr>
        <w:spacing w:after="0" w:line="179" w:lineRule="exact"/>
        <w:rPr>
          <w:sz w:val="20"/>
          <w:szCs w:val="20"/>
          <w:color w:val="auto"/>
        </w:rPr>
      </w:pPr>
    </w:p>
    <w:p>
      <w:pPr>
        <w:ind w:right="40" w:firstLine="382"/>
        <w:spacing w:after="0" w:line="253" w:lineRule="auto"/>
        <w:rPr>
          <w:sz w:val="20"/>
          <w:szCs w:val="20"/>
          <w:color w:val="auto"/>
        </w:rPr>
      </w:pPr>
      <w:r>
        <w:rPr>
          <w:rFonts w:ascii="Arial" w:cs="Arial" w:eastAsia="Arial" w:hAnsi="Arial"/>
          <w:sz w:val="18"/>
          <w:szCs w:val="18"/>
          <w:color w:val="auto"/>
        </w:rPr>
        <w:t>In reliance on the reviews and discussions described in this report, the audit committee recommended to the Board, and the Board approved, inclusion of the audited consolidated financial statements in the Company’s Annual Report on Form 10-K for the fiscal year ended January 31, 2026, filed with the SEC on March 25, 2026.</w:t>
      </w:r>
    </w:p>
    <w:p>
      <w:pPr>
        <w:spacing w:after="0" w:line="76"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By the Audit Committee:</w:t>
      </w:r>
    </w:p>
    <w:p>
      <w:pPr>
        <w:spacing w:after="0" w:line="19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Mary E. Meixelsperger, Chairperson</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Matthew M. Bilunas</w:t>
      </w:r>
    </w:p>
    <w:p>
      <w:pPr>
        <w:ind w:left="7440"/>
        <w:spacing w:after="0"/>
        <w:rPr>
          <w:sz w:val="20"/>
          <w:szCs w:val="20"/>
          <w:color w:val="auto"/>
        </w:rPr>
      </w:pPr>
      <w:r>
        <w:rPr>
          <w:rFonts w:ascii="Arial" w:cs="Arial" w:eastAsia="Arial" w:hAnsi="Arial"/>
          <w:sz w:val="18"/>
          <w:szCs w:val="18"/>
          <w:color w:val="auto"/>
        </w:rPr>
        <w:t>Gregory A. Sandfort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The foregoing report of the audit committee shall not be deemed incorporated by reference by any general statement incorporating by reference this proxy statement into any filing under the Securities Act or the Exchange Act, except to the extent that the Company specifically incorporates this information by reference, and shall not otherwise be deemed filed under such 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Information</w:t>
      </w:r>
    </w:p>
    <w:p>
      <w:pPr>
        <w:spacing w:after="0" w:line="212" w:lineRule="exact"/>
        <w:rPr>
          <w:sz w:val="20"/>
          <w:szCs w:val="20"/>
          <w:color w:val="auto"/>
        </w:rPr>
      </w:pPr>
    </w:p>
    <w:p>
      <w:pPr>
        <w:ind w:right="760" w:firstLine="382"/>
        <w:spacing w:after="0" w:line="271" w:lineRule="auto"/>
        <w:rPr>
          <w:sz w:val="20"/>
          <w:szCs w:val="20"/>
          <w:color w:val="auto"/>
        </w:rPr>
      </w:pPr>
      <w:r>
        <w:rPr>
          <w:rFonts w:ascii="Arial" w:cs="Arial" w:eastAsia="Arial" w:hAnsi="Arial"/>
          <w:sz w:val="18"/>
          <w:szCs w:val="18"/>
          <w:color w:val="auto"/>
        </w:rPr>
        <w:t>The following table sets forth summary information regarding fees for services by the Company’s independent registered public accounting firm during Fiscal 2026, Deloitte, and Fiscal 2025, Ernst &amp; Young.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Fiscal 2026</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Fiscal 2025</w:t>
            </w: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rPr>
              <w:t>1,085,000</w:t>
            </w:r>
          </w:p>
        </w:tc>
        <w:tc>
          <w:tcPr>
            <w:tcW w:w="4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rPr>
              <w:t>1,648,998</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320" w:type="dxa"/>
            <w:vAlign w:val="bottom"/>
          </w:tcPr>
          <w:p>
            <w:pPr>
              <w:spacing w:after="0"/>
              <w:rPr>
                <w:sz w:val="17"/>
                <w:szCs w:val="17"/>
                <w:color w:val="auto"/>
              </w:rPr>
            </w:pPr>
          </w:p>
        </w:tc>
        <w:tc>
          <w:tcPr>
            <w:tcW w:w="15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15,000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521,795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330,740</w:t>
            </w: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auto"/>
              </w:rPr>
              <w:t>All Other Fees</w:t>
            </w:r>
          </w:p>
        </w:tc>
        <w:tc>
          <w:tcPr>
            <w:tcW w:w="320" w:type="dxa"/>
            <w:vAlign w:val="bottom"/>
          </w:tcPr>
          <w:p>
            <w:pPr>
              <w:spacing w:after="0"/>
              <w:rPr>
                <w:sz w:val="20"/>
                <w:szCs w:val="20"/>
                <w:color w:val="auto"/>
              </w:rPr>
            </w:pPr>
          </w:p>
        </w:tc>
        <w:tc>
          <w:tcPr>
            <w:tcW w:w="1540" w:type="dxa"/>
            <w:vAlign w:val="bottom"/>
          </w:tcPr>
          <w:p>
            <w:pPr>
              <w:jc w:val="right"/>
              <w:ind w:right="314"/>
              <w:spacing w:after="0"/>
              <w:rPr>
                <w:sz w:val="20"/>
                <w:szCs w:val="20"/>
                <w:color w:val="auto"/>
              </w:rPr>
            </w:pPr>
            <w:r>
              <w:rPr>
                <w:rFonts w:ascii="Arial" w:cs="Arial" w:eastAsia="Arial" w:hAnsi="Arial"/>
                <w:sz w:val="18"/>
                <w:szCs w:val="18"/>
                <w:color w:val="auto"/>
              </w:rPr>
              <w:t>1,895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ind w:right="314"/>
              <w:spacing w:after="0"/>
              <w:rPr>
                <w:sz w:val="20"/>
                <w:szCs w:val="20"/>
                <w:color w:val="auto"/>
              </w:rPr>
            </w:pPr>
            <w:r>
              <w:rPr>
                <w:rFonts w:ascii="Arial" w:cs="Arial" w:eastAsia="Arial" w:hAnsi="Arial"/>
                <w:sz w:val="18"/>
                <w:szCs w:val="18"/>
                <w:color w:val="auto"/>
              </w:rPr>
              <w:t>—</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12"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Audit fees include fees paid by the Company to Deloitte in connection with annual audits of the Company’s consolidated financial statements, internal controls over financial reporting, and their review of the Company’s interim financial statements. Audit fees also include fees for services performed by the independent registered public accounting firm that are closely related to the audit and in many cases could be provided only by the Company’s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Audit-related fees for Fiscal 2026 include fees for the performance of agreed-upon procedures for EPA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12" w:lineRule="exact"/>
        <w:rPr>
          <w:sz w:val="20"/>
          <w:szCs w:val="20"/>
          <w:color w:val="auto"/>
        </w:rPr>
      </w:pPr>
    </w:p>
    <w:p>
      <w:pPr>
        <w:ind w:right="520" w:firstLine="382"/>
        <w:spacing w:after="0" w:line="271" w:lineRule="auto"/>
        <w:rPr>
          <w:sz w:val="20"/>
          <w:szCs w:val="20"/>
          <w:color w:val="auto"/>
        </w:rPr>
      </w:pPr>
      <w:r>
        <w:rPr>
          <w:rFonts w:ascii="Arial" w:cs="Arial" w:eastAsia="Arial" w:hAnsi="Arial"/>
          <w:sz w:val="18"/>
          <w:szCs w:val="18"/>
          <w:color w:val="auto"/>
        </w:rPr>
        <w:t>Tax fees include fees paid by the Company primarily for compliance services and also for planning and advice for Fiscal 2026 and Fiscal 2025.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12" w:lineRule="exact"/>
        <w:rPr>
          <w:sz w:val="20"/>
          <w:szCs w:val="20"/>
          <w:color w:val="auto"/>
        </w:rPr>
      </w:pPr>
    </w:p>
    <w:p>
      <w:pPr>
        <w:ind w:right="140" w:firstLine="382"/>
        <w:spacing w:after="0" w:line="247" w:lineRule="auto"/>
        <w:rPr>
          <w:sz w:val="20"/>
          <w:szCs w:val="20"/>
          <w:color w:val="auto"/>
        </w:rPr>
      </w:pPr>
      <w:r>
        <w:rPr>
          <w:rFonts w:ascii="Arial" w:cs="Arial" w:eastAsia="Arial" w:hAnsi="Arial"/>
          <w:sz w:val="18"/>
          <w:szCs w:val="18"/>
          <w:color w:val="auto"/>
        </w:rPr>
        <w:t>The audit committee has adopted a policy pursuant to which it pre-approves all services to be provided by the Company’s independent registered public accounting firm and a maximum fee for such services. As permitted by the policy, the audit committee has delegated authority to its chairman to pre-approve services the fees for which do not exceed $100,000, subject to the requirement that the chairman report any such pre-approval to the audit committee at its next meeting.</w:t>
      </w:r>
    </w:p>
    <w:p>
      <w:pPr>
        <w:spacing w:after="0" w:line="174" w:lineRule="exact"/>
        <w:rPr>
          <w:sz w:val="20"/>
          <w:szCs w:val="20"/>
          <w:color w:val="auto"/>
        </w:rPr>
      </w:pPr>
    </w:p>
    <w:p>
      <w:pPr>
        <w:ind w:right="80" w:firstLine="382"/>
        <w:spacing w:after="0" w:line="271" w:lineRule="auto"/>
        <w:rPr>
          <w:sz w:val="20"/>
          <w:szCs w:val="20"/>
          <w:color w:val="auto"/>
        </w:rPr>
      </w:pPr>
      <w:r>
        <w:rPr>
          <w:rFonts w:ascii="Arial" w:cs="Arial" w:eastAsia="Arial" w:hAnsi="Arial"/>
          <w:sz w:val="18"/>
          <w:szCs w:val="18"/>
          <w:color w:val="auto"/>
        </w:rPr>
        <w:t>All fees paid to the Company’s independent registered public accounting firm in Fiscal 2026, Deloitte, were pre-approved in accordance with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FOR THE 2027 ANNUAL MEETING</w:t>
      </w:r>
    </w:p>
    <w:p>
      <w:pPr>
        <w:spacing w:after="0" w:line="212" w:lineRule="exact"/>
        <w:rPr>
          <w:sz w:val="20"/>
          <w:szCs w:val="20"/>
          <w:color w:val="auto"/>
        </w:rPr>
      </w:pPr>
    </w:p>
    <w:p>
      <w:pPr>
        <w:ind w:right="80" w:firstLine="374"/>
        <w:spacing w:after="0" w:line="244" w:lineRule="auto"/>
        <w:rPr>
          <w:sz w:val="20"/>
          <w:szCs w:val="20"/>
          <w:color w:val="auto"/>
        </w:rPr>
      </w:pPr>
      <w:r>
        <w:rPr>
          <w:rFonts w:ascii="Arial" w:cs="Arial" w:eastAsia="Arial" w:hAnsi="Arial"/>
          <w:sz w:val="18"/>
          <w:szCs w:val="18"/>
          <w:color w:val="auto"/>
        </w:rPr>
        <w:t>Rule 14a-8 Shareholder Proposals: Proposals of shareholders intended for inclusion in the Company’s proxy materials for the 2027 annual meeting of shareholders under Exchange Act Rule 14a-8 must be received at the Company’s offices at 535 Marriott Drive, Nashville, Tennessee 37214, attention of the Corporate Secretary, no later than [ ], 2027. In order to be eligible for inclusion in the proxy materials for such meeting, any such proposal must (i) meet the informational and other requirements set forth in the SEC’s rules and regulations and (ii) be submitted by eligible shareholders.</w:t>
      </w:r>
    </w:p>
    <w:p>
      <w:pPr>
        <w:spacing w:after="0" w:line="176" w:lineRule="exact"/>
        <w:rPr>
          <w:sz w:val="20"/>
          <w:szCs w:val="20"/>
          <w:color w:val="auto"/>
        </w:rPr>
      </w:pPr>
    </w:p>
    <w:p>
      <w:pPr>
        <w:ind w:firstLine="374"/>
        <w:spacing w:after="0" w:line="237" w:lineRule="auto"/>
        <w:rPr>
          <w:sz w:val="20"/>
          <w:szCs w:val="20"/>
          <w:color w:val="auto"/>
        </w:rPr>
      </w:pPr>
      <w:r>
        <w:rPr>
          <w:rFonts w:ascii="Arial" w:cs="Arial" w:eastAsia="Arial" w:hAnsi="Arial"/>
          <w:sz w:val="18"/>
          <w:szCs w:val="18"/>
          <w:color w:val="auto"/>
        </w:rPr>
        <w:t>Nomination of Director Candidates and Non-Rule 14a-8 Shareholder Proposals: The Company’s Bylaws contain an advance notice provision requiring that, if a shareholder’s nomination or proposal is to be brought before, and considered at, the next annual meeting of shareholders, such shareholder must provide timely written notice thereof to the Secretary of the Company. In the case of an annual meeting to be held on the fourth Thursday in the month of June or within thirty days thereafter, in order to be timely, the notice must be delivered to or mailed to the Corporate Secretary of the Company and received at the principal executive offices of the Company not less than sixty days nor more than ninety days prior to the fourth Thursday in the month of June, i.e., no earlier than [ ], 2027 nor later than [ ], 2027 (or, if less than seventy days’ notice or prior public disclosure of the date of the meeting is given or made to shareholders, notice must be so received not later than the close of business on the tenth day following the day on which such notice of the date of the annual meeting was mailed or such public disclosure was made). In the event the annual meeting is being held on a date other than the fourth Thursday in the month of June, or within thirty days thereafter, or in the case of any special meeting of shareholders, the notice must be sent within ten days after the earlier of (i) the date on which notice of the meeting is first mailed to shareholders or (ii) the date on which public disclosure is first made of the date of such shareholders’ meeting, whichever occurs first. The written notice must include the information required by our Bylaws. The Company reserves the right to disregard any shareholder nomination of a candidate for election to our Board or shareholder proposal of other business that does not comply with the requirements of our Bylaws or any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 AVAILABLE</w:t>
      </w:r>
    </w:p>
    <w:p>
      <w:pPr>
        <w:spacing w:after="0" w:line="212" w:lineRule="exact"/>
        <w:rPr>
          <w:sz w:val="20"/>
          <w:szCs w:val="20"/>
          <w:color w:val="auto"/>
        </w:rPr>
      </w:pPr>
    </w:p>
    <w:p>
      <w:pPr>
        <w:ind w:right="20" w:firstLine="374"/>
        <w:spacing w:after="0" w:line="271" w:lineRule="auto"/>
        <w:rPr>
          <w:sz w:val="20"/>
          <w:szCs w:val="20"/>
          <w:color w:val="auto"/>
        </w:rPr>
      </w:pPr>
      <w:r>
        <w:rPr>
          <w:rFonts w:ascii="Arial" w:cs="Arial" w:eastAsia="Arial" w:hAnsi="Arial"/>
          <w:sz w:val="18"/>
          <w:szCs w:val="18"/>
          <w:color w:val="auto"/>
        </w:rPr>
        <w:t>A copy of the Company’s annual report to shareholders containing audited financial statements accompanies this proxy statement. The annual report does not constitute a part of the proxy solicitation material.</w:t>
      </w:r>
    </w:p>
    <w:p>
      <w:pPr>
        <w:spacing w:after="0" w:line="154"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b w:val="1"/>
          <w:bCs w:val="1"/>
          <w:color w:val="auto"/>
        </w:rPr>
        <w:t>A copy of the Company’s Annual Report on Form 10-K for the fiscal year ended January 31, 2026, excluding certain of the exhibits thereto, may be obtained, without charge, by any shareholder, upon written request to Corporate Secretary, Genesco Inc., 535 Marriott Drive, Nashville, Tennessee 37214.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COST OF SOLICITATION</w:t>
      </w:r>
    </w:p>
    <w:p>
      <w:pPr>
        <w:spacing w:after="0" w:line="212" w:lineRule="exact"/>
        <w:rPr>
          <w:sz w:val="20"/>
          <w:szCs w:val="20"/>
          <w:color w:val="auto"/>
        </w:rPr>
      </w:pPr>
    </w:p>
    <w:p>
      <w:pPr>
        <w:ind w:right="160" w:firstLine="374"/>
        <w:spacing w:after="0" w:line="259" w:lineRule="auto"/>
        <w:rPr>
          <w:sz w:val="20"/>
          <w:szCs w:val="20"/>
          <w:color w:val="auto"/>
        </w:rPr>
      </w:pPr>
      <w:r>
        <w:rPr>
          <w:rFonts w:ascii="Arial" w:cs="Arial" w:eastAsia="Arial" w:hAnsi="Arial"/>
          <w:sz w:val="17"/>
          <w:szCs w:val="17"/>
          <w:color w:val="auto"/>
        </w:rPr>
        <w:t>The Company will pay the full cost of the proxy solicitation. The Company has retained Innisfree to assist in the proxy solicitation. Proxies may be solicited by mail, in person, by telephone and via the Internet. The Company will pay Innisfree a proxy solicitation fee of $[</w:t>
      </w:r>
    </w:p>
    <w:p>
      <w:pPr>
        <w:spacing w:after="0" w:line="1" w:lineRule="exact"/>
        <w:rPr>
          <w:sz w:val="20"/>
          <w:szCs w:val="20"/>
          <w:color w:val="auto"/>
        </w:rPr>
      </w:pPr>
    </w:p>
    <w:p>
      <w:pPr>
        <w:ind w:firstLine="8"/>
        <w:spacing w:after="0"/>
        <w:tabs>
          <w:tab w:leader="none" w:pos="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and reimburse its expenses. In addition to approximately [ ] employees of Innisfree, directors, officers and other employees of the Company may also solicit proxies personally, by mail, telephone, email or other electronic means, but will receive no extra compensation for any solicitation activities. The Company will request brokers, nominees, fiduciaries and other custodians to forward soliciting material to the beneficial owners of shares and will reimburse the expenses they incur in doing so.</w:t>
      </w:r>
    </w:p>
    <w:p>
      <w:pPr>
        <w:spacing w:after="0" w:line="180" w:lineRule="exact"/>
        <w:rPr>
          <w:sz w:val="20"/>
          <w:szCs w:val="20"/>
          <w:color w:val="auto"/>
        </w:rPr>
      </w:pPr>
    </w:p>
    <w:p>
      <w:pPr>
        <w:ind w:right="20" w:firstLine="374"/>
        <w:spacing w:after="0" w:line="245" w:lineRule="auto"/>
        <w:rPr>
          <w:sz w:val="20"/>
          <w:szCs w:val="20"/>
          <w:color w:val="auto"/>
        </w:rPr>
      </w:pPr>
      <w:r>
        <w:rPr>
          <w:rFonts w:ascii="Arial" w:cs="Arial" w:eastAsia="Arial" w:hAnsi="Arial"/>
          <w:sz w:val="18"/>
          <w:szCs w:val="18"/>
          <w:color w:val="auto"/>
        </w:rPr>
        <w:t>The Company's aggregate expenses, including those of Innisfree related to our solicitation of proxies in excess of those normally spent for an Annual Meeting as a result of the proxy contest initiated by Mr. Radoff, and excluding salaries and wages of our regular employees</w:t>
      </w:r>
    </w:p>
    <w:p>
      <w:pPr>
        <w:ind w:right="60"/>
        <w:spacing w:after="0"/>
        <w:rPr>
          <w:sz w:val="20"/>
          <w:szCs w:val="20"/>
          <w:color w:val="auto"/>
        </w:rPr>
      </w:pPr>
      <w:r>
        <w:rPr>
          <w:rFonts w:ascii="Arial" w:cs="Arial" w:eastAsia="Arial" w:hAnsi="Arial"/>
          <w:sz w:val="18"/>
          <w:szCs w:val="18"/>
          <w:color w:val="auto"/>
        </w:rPr>
        <w:t>and officers, are expected to be approximately $[ ] million, of which the Company estimates it has incurred approximately $[ ] to date. Appendix B sets forth information relating to our director nominees as well as certain of our directors, officers and employees who are considered “participants” in our solicitation under the rules of the SEC by reason of their position as directors or director nominees of the Company or because they may be soliciting proxies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100"/>
        <w:spacing w:after="0"/>
        <w:rPr>
          <w:sz w:val="20"/>
          <w:szCs w:val="20"/>
          <w:color w:val="auto"/>
        </w:rPr>
      </w:pPr>
      <w:r>
        <w:rPr>
          <w:rFonts w:ascii="Arial" w:cs="Arial" w:eastAsia="Arial" w:hAnsi="Arial"/>
          <w:sz w:val="18"/>
          <w:szCs w:val="18"/>
          <w:b w:val="1"/>
          <w:bCs w:val="1"/>
          <w:color w:val="auto"/>
        </w:rPr>
        <w:t>APPENDIX A</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GENESCO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FOURTH AMENDED AND RESTATED</w:t>
      </w:r>
    </w:p>
    <w:p>
      <w:pPr>
        <w:jc w:val="center"/>
        <w:ind w:right="20"/>
        <w:spacing w:after="0"/>
        <w:rPr>
          <w:sz w:val="20"/>
          <w:szCs w:val="20"/>
          <w:color w:val="auto"/>
        </w:rPr>
      </w:pPr>
      <w:r>
        <w:rPr>
          <w:rFonts w:ascii="Arial" w:cs="Arial" w:eastAsia="Arial" w:hAnsi="Arial"/>
          <w:sz w:val="18"/>
          <w:szCs w:val="18"/>
          <w:b w:val="1"/>
          <w:bCs w:val="1"/>
          <w:color w:val="auto"/>
        </w:rPr>
        <w:t>2020 EQUITY INCENTIVE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12" w:lineRule="exact"/>
        <w:rPr>
          <w:sz w:val="20"/>
          <w:szCs w:val="20"/>
          <w:color w:val="auto"/>
        </w:rPr>
      </w:pPr>
    </w:p>
    <w:p>
      <w:pPr>
        <w:ind w:right="80" w:firstLine="382"/>
        <w:spacing w:after="0" w:line="242" w:lineRule="auto"/>
        <w:rPr>
          <w:sz w:val="20"/>
          <w:szCs w:val="20"/>
          <w:color w:val="auto"/>
        </w:rPr>
      </w:pPr>
      <w:r>
        <w:rPr>
          <w:rFonts w:ascii="Arial" w:cs="Arial" w:eastAsia="Arial" w:hAnsi="Arial"/>
          <w:sz w:val="18"/>
          <w:szCs w:val="18"/>
          <w:color w:val="auto"/>
        </w:rPr>
        <w:t>This plan shall be known as the “Genesco Inc. Fourth Amended and Restated 2020 Equity Incentive Plan” (the “Plan”). The purpose of the Plan is to promote the interests of Genesco Inc., a Tennessee corporation (the “Company”), its Subsidiaries and its stockholders by (i) attracting and retaining key officers, employees, and directors of, and consultants to, the Company and its Subsidiaries and Affiliates; (ii) motivating such individuals by means of performance-related incentives to achieve long-range performance goals; (iii) enabling such individuals to participate in the long-term growth and financial success of the Company; (iv) encouraging ownership of stock in the Company by such individuals; and (v) linking their compensation to the long-term interests of the Company and its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12"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shall mean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twenty percent (20%) of the combined voting power of the entity’s outstanding voting securities, in each case as designated by the Board as being a participating employer in the Plan.</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“Alternative Award”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hereof.</w:t>
      </w:r>
    </w:p>
    <w:p>
      <w:pPr>
        <w:spacing w:after="0" w:line="212" w:lineRule="exact"/>
        <w:rPr>
          <w:sz w:val="20"/>
          <w:szCs w:val="20"/>
          <w:color w:val="auto"/>
        </w:rPr>
      </w:pPr>
    </w:p>
    <w:p>
      <w:pPr>
        <w:ind w:right="260" w:firstLine="382"/>
        <w:spacing w:after="0" w:line="24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“Award”</w:t>
      </w:r>
      <w:r>
        <w:rPr>
          <w:rFonts w:ascii="Arial" w:cs="Arial" w:eastAsia="Arial" w:hAnsi="Arial"/>
          <w:sz w:val="18"/>
          <w:szCs w:val="18"/>
          <w:color w:val="auto"/>
        </w:rPr>
        <w:t xml:space="preserve"> shall mean any Option, Stock Appreciation Right, Restricted Share Award, Restricted Share Unit, Performance Award, Other Stock-Based Award or other award (whether cash or Share-based) granted under the Plan, whether singly, in combination or in tandem, to a Participant by the Committee pursuant to such terms, conditions, restrictions and/or limitations, if any, as the Committee may establish or which are required by applicable legal requirements.</w:t>
      </w:r>
    </w:p>
    <w:p>
      <w:pPr>
        <w:spacing w:after="0" w:line="174" w:lineRule="exact"/>
        <w:rPr>
          <w:sz w:val="20"/>
          <w:szCs w:val="20"/>
          <w:color w:val="auto"/>
        </w:rPr>
      </w:pPr>
    </w:p>
    <w:p>
      <w:pPr>
        <w:ind w:right="60" w:firstLine="382"/>
        <w:spacing w:after="0" w:line="271"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“Award Agreement”</w:t>
      </w:r>
      <w:r>
        <w:rPr>
          <w:rFonts w:ascii="Arial" w:cs="Arial" w:eastAsia="Arial" w:hAnsi="Arial"/>
          <w:sz w:val="18"/>
          <w:szCs w:val="18"/>
          <w:color w:val="auto"/>
        </w:rPr>
        <w:t xml:space="preserve"> shall mean any written agreement (including electronically written), contract or other instrument or document evidencing any Award, which may, but need not, be executed or acknowledged by a Participant.</w:t>
      </w:r>
    </w:p>
    <w:p>
      <w:pPr>
        <w:spacing w:after="0" w:line="154" w:lineRule="exact"/>
        <w:rPr>
          <w:sz w:val="20"/>
          <w:szCs w:val="20"/>
          <w:color w:val="auto"/>
        </w:rPr>
      </w:pPr>
    </w:p>
    <w:p>
      <w:pPr>
        <w:ind w:right="260" w:firstLine="382"/>
        <w:spacing w:after="0" w:line="271"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“Beneficial Ownership”</w:t>
      </w:r>
      <w:r>
        <w:rPr>
          <w:rFonts w:ascii="Arial" w:cs="Arial" w:eastAsia="Arial" w:hAnsi="Arial"/>
          <w:sz w:val="18"/>
          <w:szCs w:val="18"/>
          <w:color w:val="auto"/>
        </w:rPr>
        <w:t xml:space="preserve"> (including correlative terms) shall have the meaning given such term in Rule 13d-3 promulgated under the Exchange Act.</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“Board”</w:t>
      </w:r>
      <w:r>
        <w:rPr>
          <w:rFonts w:ascii="Arial" w:cs="Arial" w:eastAsia="Arial" w:hAnsi="Arial"/>
          <w:sz w:val="18"/>
          <w:szCs w:val="18"/>
          <w:color w:val="auto"/>
        </w:rPr>
        <w:t xml:space="preserve"> shall mean the Board of Directors of the Company.</w:t>
      </w:r>
    </w:p>
    <w:p>
      <w:pPr>
        <w:spacing w:after="0" w:line="212" w:lineRule="exact"/>
        <w:rPr>
          <w:sz w:val="20"/>
          <w:szCs w:val="20"/>
          <w:color w:val="auto"/>
        </w:rPr>
      </w:pPr>
    </w:p>
    <w:p>
      <w:pPr>
        <w:ind w:right="140" w:firstLine="382"/>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“Cause”</w:t>
      </w:r>
      <w:r>
        <w:rPr>
          <w:rFonts w:ascii="Arial" w:cs="Arial" w:eastAsia="Arial" w:hAnsi="Arial"/>
          <w:sz w:val="18"/>
          <w:szCs w:val="18"/>
          <w:color w:val="auto"/>
        </w:rPr>
        <w:t xml:space="preserve"> shall mean, unless otherwise defined in the applicable Award Agreement, (i) the engaging by the Participant in willful misconduct that is injurious (financially, reputationally or otherwise) to the Company or its Subsidiaries or Affiliates, (ii) the embezzlement or misappropriation of funds or property of the Company or its Subsidiaries or Affiliates by the Participant, (iii) the Participant’s having been convicted of, or entered a plea of guilty or nolo contendere to, a crime that constitutes a felony, or a crime that constitutes a misdemeanor involving moral turpitude, (iv) the material breach by the Participant of any written covenant or agreement with the Company not to disclose any information pertaining to the Company and/or its Affiliates, or (v) the material breach by the Participant of the Company’s code of conduct, or any material provision of the any written Company policies, whether currently in effect or later adopted. For purposes of this paragraph, no act, or failure to 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Participant’s part shall be considered “willful” unless done, or omitted to be done, by the Participant not in good faith and without reasonable belief that the Participant’s action or omission was in the best interest of the Company. Any determination of Cause for purposes of the Plan or any Award shall be made by the Committee in its sole discretion. Any such determination shall be final and binding on a Participant.</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unless otherwise defined in an Award Agreement, shall mean any of the following events:</w:t>
      </w:r>
    </w:p>
    <w:p>
      <w:pPr>
        <w:spacing w:after="0" w:line="212" w:lineRule="exact"/>
        <w:rPr>
          <w:sz w:val="20"/>
          <w:szCs w:val="20"/>
          <w:color w:val="auto"/>
        </w:rPr>
      </w:pPr>
    </w:p>
    <w:p>
      <w:pPr>
        <w:ind w:left="380" w:right="80" w:firstLine="374"/>
        <w:spacing w:after="0" w:line="244" w:lineRule="auto"/>
        <w:rPr>
          <w:sz w:val="20"/>
          <w:szCs w:val="20"/>
          <w:color w:val="auto"/>
        </w:rPr>
      </w:pPr>
      <w:r>
        <w:rPr>
          <w:rFonts w:ascii="Arial" w:cs="Arial" w:eastAsia="Arial" w:hAnsi="Arial"/>
          <w:sz w:val="18"/>
          <w:szCs w:val="18"/>
          <w:color w:val="auto"/>
        </w:rPr>
        <w:t>(i)  any person or entity, including a “group” as defined in Section 13(d)(3) of the Exchange Act, other than the Company or a wholly-owned subsidiary thereof or any employee benefit plan of the Company or any of its Subsidiaries, acquired Beneficial Ownership of the Company’s securities having 25% or more of the combined voting power of the then outstanding securities of the Company that may be cast for the election of directors of the Company unless such acquisition is approved by a majority of the directors of the Company in office immediately preceding such acquisition;</w:t>
      </w:r>
    </w:p>
    <w:p>
      <w:pPr>
        <w:spacing w:after="0" w:line="176" w:lineRule="exact"/>
        <w:rPr>
          <w:sz w:val="20"/>
          <w:szCs w:val="20"/>
          <w:color w:val="auto"/>
        </w:rPr>
      </w:pPr>
    </w:p>
    <w:p>
      <w:pPr>
        <w:ind w:left="380" w:right="180" w:firstLine="374"/>
        <w:spacing w:after="0" w:line="244" w:lineRule="auto"/>
        <w:rPr>
          <w:sz w:val="20"/>
          <w:szCs w:val="20"/>
          <w:color w:val="auto"/>
        </w:rPr>
      </w:pPr>
      <w:r>
        <w:rPr>
          <w:rFonts w:ascii="Arial" w:cs="Arial" w:eastAsia="Arial" w:hAnsi="Arial"/>
          <w:sz w:val="18"/>
          <w:szCs w:val="18"/>
          <w:color w:val="auto"/>
        </w:rPr>
        <w:t>(ii)  as the result of, or in connection with, any cash tender or exchange offer, merger or other business combination, contested election or any combination of the foregoing transactions, less than a majority of the combined voting power of the then outstanding securities of the Company or any successor company or entity entitled to vote generally in the election of the directors of the Company or such other corporation or entity after such transaction is held in the aggregate by the holders of the Company’s securities entitled to vote generally in the election of directors of the Company immediately prior to such transaction;</w:t>
      </w:r>
    </w:p>
    <w:p>
      <w:pPr>
        <w:spacing w:after="0" w:line="176" w:lineRule="exact"/>
        <w:rPr>
          <w:sz w:val="20"/>
          <w:szCs w:val="20"/>
          <w:color w:val="auto"/>
        </w:rPr>
      </w:pPr>
    </w:p>
    <w:p>
      <w:pPr>
        <w:ind w:left="380" w:right="40" w:firstLine="374"/>
        <w:spacing w:after="0"/>
        <w:rPr>
          <w:sz w:val="20"/>
          <w:szCs w:val="20"/>
          <w:color w:val="auto"/>
        </w:rPr>
      </w:pPr>
      <w:r>
        <w:rPr>
          <w:rFonts w:ascii="Arial" w:cs="Arial" w:eastAsia="Arial" w:hAnsi="Arial"/>
          <w:sz w:val="18"/>
          <w:szCs w:val="18"/>
          <w:color w:val="auto"/>
        </w:rPr>
        <w:t>(iii)  during any period of two (2) consecutive years, individuals who at the beginning of any such period constitute the Board cease for any reason to constitute at least a majority thereof, unless the election, or the nomination for election by the Company’s shareholders, of each Director of the Company first elected during such period was approved by a vote of at least two-thirds (2/3rds) of the Directors of the Company then still in office who were (i) Directors of the Company at the beginning of any such period, and (ii) not initially (a) appointed or elected to office as result of either an actual or threatened election and/or proxy contest by or on behalf of a Person other than the Board, or (b) designated by a Person who has entered into an agreement with the Company to effect a transaction described in (i) or (ii) above or (iv) or (v) below;</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(iv)   a complete liquidation or dissolution of the Company; or</w:t>
      </w:r>
    </w:p>
    <w:p>
      <w:pPr>
        <w:spacing w:after="0" w:line="212" w:lineRule="exact"/>
        <w:rPr>
          <w:sz w:val="20"/>
          <w:szCs w:val="20"/>
          <w:color w:val="auto"/>
        </w:rPr>
      </w:pPr>
    </w:p>
    <w:p>
      <w:pPr>
        <w:ind w:left="380" w:right="360" w:firstLine="374"/>
        <w:spacing w:after="0" w:line="271" w:lineRule="auto"/>
        <w:rPr>
          <w:sz w:val="20"/>
          <w:szCs w:val="20"/>
          <w:color w:val="auto"/>
        </w:rPr>
      </w:pPr>
      <w:r>
        <w:rPr>
          <w:rFonts w:ascii="Arial" w:cs="Arial" w:eastAsia="Arial" w:hAnsi="Arial"/>
          <w:sz w:val="18"/>
          <w:szCs w:val="18"/>
          <w:color w:val="auto"/>
        </w:rPr>
        <w:t>(v)  the sale or other disposition of all or substantially all of the assets of the Company to any Person (other than a transfer to a Subsidiary).</w:t>
      </w:r>
    </w:p>
    <w:p>
      <w:pPr>
        <w:spacing w:after="0" w:line="154"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 xml:space="preserve">Notwithstanding the foregoing, (I) a Change in Control shall not be deemed to occur solely because any Person (the “Subject Person”) acquired Beneficial Ownership of more than fifty percent (50%) of the combined voting power of the then outstanding voting securities of the Company as a result of the acquisition of voting securities of the Company by the Company which, by reducing the number of voting securities of the Company then outstanding, increases the proportional number of shares Beneficially Owned by the Subject Persons,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Subject Person becomes the Beneficial Owner of any new or additional voting securities of the Company in a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or after such share acquisition by the Company the Subject Person becomes the Beneficial Owner of any new or additional voting securities of the Company which in either case increases the percentage of the then outstanding voting securities of the Company Beneficially Owned by the Subject Person, then a Change in Control shall be deemed to occur; and (II) in no event shall a Change in Control be defined in such a manner that a Change in Control would be deemed to occur prior to the actual consummation of the event or transaction that results in a Change in Control of the Company (e.g., upon the announcement, commencement, or stockholder approval of any event or transaction that, if completed, would result in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0" w:firstLine="374"/>
        <w:spacing w:after="0" w:line="247" w:lineRule="auto"/>
        <w:rPr>
          <w:sz w:val="20"/>
          <w:szCs w:val="20"/>
          <w:color w:val="auto"/>
        </w:rPr>
      </w:pPr>
      <w:r>
        <w:rPr>
          <w:rFonts w:ascii="Arial" w:cs="Arial" w:eastAsia="Arial" w:hAnsi="Arial"/>
          <w:sz w:val="18"/>
          <w:szCs w:val="18"/>
          <w:color w:val="auto"/>
        </w:rPr>
        <w:t>Solely for the purpose of determining the timing of any payments pursuant to any Awards constituting a “deferral of compensation” subject to Section 409A of the Code,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“Code”</w:t>
      </w:r>
      <w:r>
        <w:rPr>
          <w:rFonts w:ascii="Arial" w:cs="Arial" w:eastAsia="Arial" w:hAnsi="Arial"/>
          <w:sz w:val="18"/>
          <w:szCs w:val="18"/>
          <w:color w:val="auto"/>
        </w:rPr>
        <w:t xml:space="preserve"> shall mean the Internal Revenue Code of 1986, as amended from time to time.</w:t>
      </w:r>
    </w:p>
    <w:p>
      <w:pPr>
        <w:spacing w:after="0" w:line="212" w:lineRule="exact"/>
        <w:rPr>
          <w:sz w:val="20"/>
          <w:szCs w:val="20"/>
          <w:color w:val="auto"/>
        </w:rPr>
      </w:pPr>
    </w:p>
    <w:p>
      <w:pPr>
        <w:ind w:right="820" w:firstLine="382"/>
        <w:spacing w:after="0" w:line="271"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shall mean the Compensation Committee of the Board or a subcommittee thereof, or such other committee designated by the Board to administer the Plan.</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color w:val="auto"/>
        </w:rPr>
        <w:t>“Consultant”</w:t>
      </w:r>
      <w:r>
        <w:rPr>
          <w:rFonts w:ascii="Arial" w:cs="Arial" w:eastAsia="Arial" w:hAnsi="Arial"/>
          <w:sz w:val="18"/>
          <w:szCs w:val="18"/>
          <w:color w:val="auto"/>
        </w:rPr>
        <w:t xml:space="preserve"> shall mean any consultant to the Company or its Subsidiaries or Affiliates who is a natural person.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color w:val="auto"/>
        </w:rPr>
        <w:t>“Director”</w:t>
      </w:r>
      <w:r>
        <w:rPr>
          <w:rFonts w:ascii="Arial" w:cs="Arial" w:eastAsia="Arial" w:hAnsi="Arial"/>
          <w:sz w:val="18"/>
          <w:szCs w:val="18"/>
          <w:color w:val="auto"/>
        </w:rPr>
        <w:t xml:space="preserve"> shall mean a member of the Board.</w:t>
      </w:r>
    </w:p>
    <w:p>
      <w:pPr>
        <w:spacing w:after="0" w:line="212" w:lineRule="exact"/>
        <w:rPr>
          <w:sz w:val="20"/>
          <w:szCs w:val="20"/>
          <w:color w:val="auto"/>
        </w:rPr>
      </w:pPr>
    </w:p>
    <w:p>
      <w:pPr>
        <w:ind w:right="20" w:firstLine="382"/>
        <w:spacing w:after="0" w:line="271"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shall mean, unless otherwise defined in the applicable Award Agreement, a disability that would qualify as a total and permanent disability under the Company’s then current long-term disability plan.</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mean a Person who is an employee of the Company or of any Subsidiary or Affiliate.</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shall mean the Securities Exchange Act of 1934, as amended from time to time.</w:t>
      </w:r>
    </w:p>
    <w:p>
      <w:pPr>
        <w:spacing w:after="0" w:line="212"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(p)  “</w:t>
      </w:r>
      <w:r>
        <w:rPr>
          <w:rFonts w:ascii="Arial" w:cs="Arial" w:eastAsia="Arial" w:hAnsi="Arial"/>
          <w:sz w:val="18"/>
          <w:szCs w:val="18"/>
          <w:b w:val="1"/>
          <w:bCs w:val="1"/>
          <w:color w:val="auto"/>
        </w:rPr>
        <w:t>Fair Market Value</w:t>
      </w:r>
      <w:r>
        <w:rPr>
          <w:rFonts w:ascii="Arial" w:cs="Arial" w:eastAsia="Arial" w:hAnsi="Arial"/>
          <w:sz w:val="18"/>
          <w:szCs w:val="18"/>
          <w:color w:val="auto"/>
        </w:rPr>
        <w:t>” with respect to the Shares, shall mean, for purposes of a grant of an Award as of any date, (i) the closing sales price of the Shares on the New York Stock Exchange, or any other such exchange or market as is the principal trading market for the Shares, on such date, or in the absence of reported sales on such date, the closing sales price on the immediately preceding date on which sales were reported (or in either case, such other price based on actual trading on the applicable date that the Committee determines is appropriate), or (ii) in the event there is no public market for the Shares on such date, the fair market value as determined, in good faith and by the reasonable application of a reasonable valuation method by the Committee in its sole discretion, and for purposes of a sale of a Share as of any date, the actual sales price on that date.</w:t>
      </w:r>
    </w:p>
    <w:p>
      <w:pPr>
        <w:spacing w:after="0" w:line="185" w:lineRule="exact"/>
        <w:rPr>
          <w:sz w:val="20"/>
          <w:szCs w:val="20"/>
          <w:color w:val="auto"/>
        </w:rPr>
      </w:pPr>
    </w:p>
    <w:p>
      <w:pPr>
        <w:ind w:right="200" w:firstLine="382"/>
        <w:spacing w:after="0" w:line="271" w:lineRule="auto"/>
        <w:rPr>
          <w:sz w:val="20"/>
          <w:szCs w:val="20"/>
          <w:color w:val="auto"/>
        </w:rPr>
      </w:pPr>
      <w:r>
        <w:rPr>
          <w:rFonts w:ascii="Arial" w:cs="Arial" w:eastAsia="Arial" w:hAnsi="Arial"/>
          <w:sz w:val="18"/>
          <w:szCs w:val="18"/>
          <w:color w:val="auto"/>
        </w:rPr>
        <w:t>(q)  “</w:t>
      </w:r>
      <w:r>
        <w:rPr>
          <w:rFonts w:ascii="Arial" w:cs="Arial" w:eastAsia="Arial" w:hAnsi="Arial"/>
          <w:sz w:val="18"/>
          <w:szCs w:val="18"/>
          <w:b w:val="1"/>
          <w:bCs w:val="1"/>
          <w:color w:val="auto"/>
        </w:rPr>
        <w:t>Full-Value Award</w:t>
      </w:r>
      <w:r>
        <w:rPr>
          <w:rFonts w:ascii="Arial" w:cs="Arial" w:eastAsia="Arial" w:hAnsi="Arial"/>
          <w:sz w:val="18"/>
          <w:szCs w:val="18"/>
          <w:color w:val="auto"/>
        </w:rPr>
        <w:t>” means an Award other than an Option or Stock Appreciation Right made under the Plan, or any comparable award made under the Prior Plan.</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   “</w:t>
      </w:r>
      <w:r>
        <w:rPr>
          <w:rFonts w:ascii="Arial" w:cs="Arial" w:eastAsia="Arial" w:hAnsi="Arial"/>
          <w:sz w:val="18"/>
          <w:szCs w:val="18"/>
          <w:b w:val="1"/>
          <w:bCs w:val="1"/>
          <w:color w:val="auto"/>
        </w:rPr>
        <w:t>Full-Value Award Debiting Rate</w:t>
      </w:r>
      <w:r>
        <w:rPr>
          <w:rFonts w:ascii="Arial" w:cs="Arial" w:eastAsia="Arial" w:hAnsi="Arial"/>
          <w:sz w:val="18"/>
          <w:szCs w:val="18"/>
          <w:color w:val="auto"/>
        </w:rPr>
        <w:t>” shall have the meaning given to such term in Section 4.1(a).</w:t>
      </w:r>
    </w:p>
    <w:p>
      <w:pPr>
        <w:spacing w:after="0" w:line="212"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“Good Reason”</w:t>
      </w:r>
      <w:r>
        <w:rPr>
          <w:rFonts w:ascii="Arial" w:cs="Arial" w:eastAsia="Arial" w:hAnsi="Arial"/>
          <w:sz w:val="18"/>
          <w:szCs w:val="18"/>
          <w:color w:val="auto"/>
        </w:rPr>
        <w:t xml:space="preserve"> shall have the definition given such term in a Participant’s Award Agreement, or in the absence of such definition, as determined in good faith by the Committee, and with respect to any award constituting a deferral of compensation within the meaning of Section 409A of the Code, consistent with the provisions thereof.</w:t>
      </w:r>
    </w:p>
    <w:p>
      <w:pPr>
        <w:spacing w:after="0" w:line="169" w:lineRule="exact"/>
        <w:rPr>
          <w:sz w:val="20"/>
          <w:szCs w:val="20"/>
          <w:color w:val="auto"/>
        </w:rPr>
      </w:pPr>
    </w:p>
    <w:p>
      <w:pPr>
        <w:ind w:right="140" w:firstLine="374"/>
        <w:spacing w:after="0" w:line="271" w:lineRule="auto"/>
        <w:rPr>
          <w:sz w:val="20"/>
          <w:szCs w:val="20"/>
          <w:color w:val="auto"/>
        </w:rPr>
      </w:pPr>
      <w:r>
        <w:rPr>
          <w:rFonts w:ascii="Arial" w:cs="Arial" w:eastAsia="Arial" w:hAnsi="Arial"/>
          <w:sz w:val="18"/>
          <w:szCs w:val="18"/>
          <w:color w:val="auto"/>
        </w:rPr>
        <w:t xml:space="preserve">(t)  </w:t>
      </w:r>
      <w:r>
        <w:rPr>
          <w:rFonts w:ascii="Arial" w:cs="Arial" w:eastAsia="Arial" w:hAnsi="Arial"/>
          <w:sz w:val="18"/>
          <w:szCs w:val="18"/>
          <w:b w:val="1"/>
          <w:bCs w:val="1"/>
          <w:color w:val="auto"/>
        </w:rPr>
        <w:t>“Grant Price”</w:t>
      </w:r>
      <w:r>
        <w:rPr>
          <w:rFonts w:ascii="Arial" w:cs="Arial" w:eastAsia="Arial" w:hAnsi="Arial"/>
          <w:sz w:val="18"/>
          <w:szCs w:val="18"/>
          <w:color w:val="auto"/>
        </w:rPr>
        <w:t xml:space="preserve"> means the price established at the time of grant of a SAR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used to determine whether there is any payment due upon exercise of the SAR.</w:t>
      </w:r>
    </w:p>
    <w:p>
      <w:pPr>
        <w:spacing w:after="0" w:line="154" w:lineRule="exact"/>
        <w:rPr>
          <w:sz w:val="20"/>
          <w:szCs w:val="20"/>
          <w:color w:val="auto"/>
        </w:rPr>
      </w:pPr>
    </w:p>
    <w:p>
      <w:pPr>
        <w:ind w:right="140" w:firstLine="374"/>
        <w:spacing w:after="0" w:line="271" w:lineRule="auto"/>
        <w:rPr>
          <w:sz w:val="20"/>
          <w:szCs w:val="20"/>
          <w:color w:val="auto"/>
        </w:rPr>
      </w:pPr>
      <w:r>
        <w:rPr>
          <w:rFonts w:ascii="Arial" w:cs="Arial" w:eastAsia="Arial" w:hAnsi="Arial"/>
          <w:sz w:val="18"/>
          <w:szCs w:val="18"/>
          <w:color w:val="auto"/>
        </w:rPr>
        <w:t xml:space="preserve">(u)  </w:t>
      </w:r>
      <w:r>
        <w:rPr>
          <w:rFonts w:ascii="Arial" w:cs="Arial" w:eastAsia="Arial" w:hAnsi="Arial"/>
          <w:sz w:val="18"/>
          <w:szCs w:val="18"/>
          <w:b w:val="1"/>
          <w:bCs w:val="1"/>
          <w:color w:val="auto"/>
        </w:rPr>
        <w:t>“Incentive Stock Option”</w:t>
      </w:r>
      <w:r>
        <w:rPr>
          <w:rFonts w:ascii="Arial" w:cs="Arial" w:eastAsia="Arial" w:hAnsi="Arial"/>
          <w:sz w:val="18"/>
          <w:szCs w:val="18"/>
          <w:color w:val="auto"/>
        </w:rPr>
        <w:t xml:space="preserve"> shall mean an option to purchase Shares from the Company that is granted under the Plan and that is intended to meet the requirements of Section 422 of the Code or any successor provision thereto.</w:t>
      </w:r>
    </w:p>
    <w:p>
      <w:pPr>
        <w:spacing w:after="0" w:line="154" w:lineRule="exact"/>
        <w:rPr>
          <w:sz w:val="20"/>
          <w:szCs w:val="20"/>
          <w:color w:val="auto"/>
        </w:rPr>
      </w:pPr>
    </w:p>
    <w:p>
      <w:pPr>
        <w:ind w:right="100" w:firstLine="374"/>
        <w:spacing w:after="0" w:line="271"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xml:space="preserve"> shall mean an option to purchase Shares from the Company that is granted under the Plan and is not an Incentive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40" w:firstLine="374"/>
        <w:spacing w:after="0" w:line="271" w:lineRule="auto"/>
        <w:rPr>
          <w:sz w:val="20"/>
          <w:szCs w:val="20"/>
          <w:color w:val="auto"/>
        </w:rPr>
      </w:pPr>
      <w:r>
        <w:rPr>
          <w:rFonts w:ascii="Arial" w:cs="Arial" w:eastAsia="Arial" w:hAnsi="Arial"/>
          <w:sz w:val="18"/>
          <w:szCs w:val="18"/>
          <w:color w:val="auto"/>
        </w:rPr>
        <w:t xml:space="preserve">(w)  </w:t>
      </w:r>
      <w:r>
        <w:rPr>
          <w:rFonts w:ascii="Arial" w:cs="Arial" w:eastAsia="Arial" w:hAnsi="Arial"/>
          <w:sz w:val="18"/>
          <w:szCs w:val="18"/>
          <w:b w:val="1"/>
          <w:bCs w:val="1"/>
          <w:color w:val="auto"/>
        </w:rPr>
        <w:t>“Non-Employee Director”</w:t>
      </w:r>
      <w:r>
        <w:rPr>
          <w:rFonts w:ascii="Arial" w:cs="Arial" w:eastAsia="Arial" w:hAnsi="Arial"/>
          <w:sz w:val="18"/>
          <w:szCs w:val="18"/>
          <w:color w:val="auto"/>
        </w:rPr>
        <w:t xml:space="preserve"> shall mean a member of the Board who is not an officer or employee of the Company or any Subsidiary of the Company.</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“Option”</w:t>
      </w:r>
      <w:r>
        <w:rPr>
          <w:rFonts w:ascii="Arial" w:cs="Arial" w:eastAsia="Arial" w:hAnsi="Arial"/>
          <w:sz w:val="18"/>
          <w:szCs w:val="18"/>
          <w:color w:val="auto"/>
        </w:rPr>
        <w:t xml:space="preserve"> shall mean an Incentive Stock Option or a Non-Qualified Stock Option.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(y)   </w:t>
      </w:r>
      <w:r>
        <w:rPr>
          <w:rFonts w:ascii="Arial" w:cs="Arial" w:eastAsia="Arial" w:hAnsi="Arial"/>
          <w:sz w:val="18"/>
          <w:szCs w:val="18"/>
          <w:b w:val="1"/>
          <w:bCs w:val="1"/>
          <w:color w:val="auto"/>
        </w:rPr>
        <w:t>“Option Price”</w:t>
      </w:r>
      <w:r>
        <w:rPr>
          <w:rFonts w:ascii="Arial" w:cs="Arial" w:eastAsia="Arial" w:hAnsi="Arial"/>
          <w:sz w:val="18"/>
          <w:szCs w:val="18"/>
          <w:color w:val="auto"/>
        </w:rPr>
        <w:t xml:space="preserve"> shall mean the purchase price payable to purchase one Share upon the exercise of an Option.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(z)   “</w:t>
      </w:r>
      <w:r>
        <w:rPr>
          <w:rFonts w:ascii="Arial" w:cs="Arial" w:eastAsia="Arial" w:hAnsi="Arial"/>
          <w:sz w:val="18"/>
          <w:szCs w:val="18"/>
          <w:b w:val="1"/>
          <w:bCs w:val="1"/>
          <w:color w:val="auto"/>
        </w:rPr>
        <w:t>Original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of the Plan.</w:t>
      </w:r>
    </w:p>
    <w:p>
      <w:pPr>
        <w:spacing w:after="0" w:line="212" w:lineRule="exact"/>
        <w:rPr>
          <w:sz w:val="20"/>
          <w:szCs w:val="20"/>
          <w:color w:val="auto"/>
        </w:rPr>
      </w:pPr>
    </w:p>
    <w:p>
      <w:pPr>
        <w:ind w:right="220" w:firstLine="374"/>
        <w:spacing w:after="0" w:line="247" w:lineRule="auto"/>
        <w:rPr>
          <w:sz w:val="20"/>
          <w:szCs w:val="20"/>
          <w:color w:val="auto"/>
        </w:rPr>
      </w:pPr>
      <w:r>
        <w:rPr>
          <w:rFonts w:ascii="Arial" w:cs="Arial" w:eastAsia="Arial" w:hAnsi="Arial"/>
          <w:sz w:val="18"/>
          <w:szCs w:val="18"/>
          <w:color w:val="auto"/>
        </w:rPr>
        <w:t xml:space="preserve">(aa)  </w:t>
      </w:r>
      <w:r>
        <w:rPr>
          <w:rFonts w:ascii="Arial" w:cs="Arial" w:eastAsia="Arial" w:hAnsi="Arial"/>
          <w:sz w:val="18"/>
          <w:szCs w:val="18"/>
          <w:b w:val="1"/>
          <w:bCs w:val="1"/>
          <w:color w:val="auto"/>
        </w:rPr>
        <w:t>“Other Stock-Based Award”</w:t>
      </w:r>
      <w:r>
        <w:rPr>
          <w:rFonts w:ascii="Arial" w:cs="Arial" w:eastAsia="Arial" w:hAnsi="Arial"/>
          <w:sz w:val="18"/>
          <w:szCs w:val="18"/>
          <w:color w:val="auto"/>
        </w:rPr>
        <w:t xml:space="preserve"> shall mean any Award granted under </w:t>
      </w:r>
      <w:r>
        <w:rPr>
          <w:rFonts w:ascii="Arial" w:cs="Arial" w:eastAsia="Arial" w:hAnsi="Arial"/>
          <w:sz w:val="18"/>
          <w:szCs w:val="18"/>
          <w:u w:val="single" w:color="auto"/>
          <w:color w:val="auto"/>
        </w:rPr>
        <w:t>Sections 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 For purposes of the share counting provisions of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an Other Stock-Based Award that is not settled in cash shall be treated as (i) an Option Award if the amounts payable thereunder will be determined by reference to the appreciation of a Share, and (ii) a Restricted Share Award if the amounts payable thereunder will be determined by reference to the full value of a Share.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(bb)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shall mean any Employee, Director, Consultant or other person who receives an Award under the Plan.</w:t>
      </w:r>
    </w:p>
    <w:p>
      <w:pPr>
        <w:spacing w:after="0" w:line="212"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 xml:space="preserve">(cc)  </w:t>
      </w:r>
      <w:r>
        <w:rPr>
          <w:rFonts w:ascii="Arial" w:cs="Arial" w:eastAsia="Arial" w:hAnsi="Arial"/>
          <w:sz w:val="18"/>
          <w:szCs w:val="18"/>
          <w:b w:val="1"/>
          <w:bCs w:val="1"/>
          <w:color w:val="auto"/>
        </w:rPr>
        <w:t>“Performance Award”</w:t>
      </w:r>
      <w:r>
        <w:rPr>
          <w:rFonts w:ascii="Arial" w:cs="Arial" w:eastAsia="Arial" w:hAnsi="Arial"/>
          <w:sz w:val="18"/>
          <w:szCs w:val="18"/>
          <w:color w:val="auto"/>
        </w:rPr>
        <w:t xml:space="preserve"> shall mean any Award granted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Plan. For purposes of the share counting provisions of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a Performance Award that is not settled in cash shall be treated as (i) an Option Award if the amounts payable thereunder will be determined by reference to the appreciation of a Share, and (ii) a Restricted Share Award if the amounts payable thereunder will be determined by reference to the full value of a Share.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(dd)   </w:t>
      </w:r>
      <w:r>
        <w:rPr>
          <w:rFonts w:ascii="Arial" w:cs="Arial" w:eastAsia="Arial" w:hAnsi="Arial"/>
          <w:sz w:val="18"/>
          <w:szCs w:val="18"/>
          <w:b w:val="1"/>
          <w:bCs w:val="1"/>
          <w:color w:val="auto"/>
        </w:rPr>
        <w:t>“Performance Period”</w:t>
      </w:r>
      <w:r>
        <w:rPr>
          <w:rFonts w:ascii="Arial" w:cs="Arial" w:eastAsia="Arial" w:hAnsi="Arial"/>
          <w:sz w:val="18"/>
          <w:szCs w:val="18"/>
          <w:color w:val="auto"/>
        </w:rPr>
        <w:t xml:space="preserve"> means the period over which a performance goal underlying a Performance Award shall be evaluated.</w:t>
      </w:r>
    </w:p>
    <w:p>
      <w:pPr>
        <w:spacing w:after="0" w:line="212" w:lineRule="exact"/>
        <w:rPr>
          <w:sz w:val="20"/>
          <w:szCs w:val="20"/>
          <w:color w:val="auto"/>
        </w:rPr>
      </w:pPr>
    </w:p>
    <w:p>
      <w:pPr>
        <w:ind w:right="280" w:firstLine="382"/>
        <w:spacing w:after="0" w:line="271" w:lineRule="auto"/>
        <w:rPr>
          <w:sz w:val="20"/>
          <w:szCs w:val="20"/>
          <w:color w:val="auto"/>
        </w:rPr>
      </w:pPr>
      <w:r>
        <w:rPr>
          <w:rFonts w:ascii="Arial" w:cs="Arial" w:eastAsia="Arial" w:hAnsi="Arial"/>
          <w:sz w:val="18"/>
          <w:szCs w:val="18"/>
          <w:color w:val="auto"/>
        </w:rPr>
        <w:t xml:space="preserve">(ee)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mean any individual, corporation, partnership, limited liability company, association, joint-stock company, trust, unincorporated organization, government or political subdivision thereof or other entity.</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(ff)   “</w:t>
      </w:r>
      <w:r>
        <w:rPr>
          <w:rFonts w:ascii="Arial" w:cs="Arial" w:eastAsia="Arial" w:hAnsi="Arial"/>
          <w:sz w:val="18"/>
          <w:szCs w:val="18"/>
          <w:b w:val="1"/>
          <w:bCs w:val="1"/>
          <w:color w:val="auto"/>
        </w:rPr>
        <w:t>Prior Plan</w:t>
      </w:r>
      <w:r>
        <w:rPr>
          <w:rFonts w:ascii="Arial" w:cs="Arial" w:eastAsia="Arial" w:hAnsi="Arial"/>
          <w:sz w:val="18"/>
          <w:szCs w:val="18"/>
          <w:color w:val="auto"/>
        </w:rPr>
        <w:t>” shall mean the Second Amended and Restated Genesco Inc. 2009 Equity Incentive Plan.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(gg)   “</w:t>
      </w:r>
      <w:r>
        <w:rPr>
          <w:rFonts w:ascii="Arial" w:cs="Arial" w:eastAsia="Arial" w:hAnsi="Arial"/>
          <w:sz w:val="18"/>
          <w:szCs w:val="18"/>
          <w:b w:val="1"/>
          <w:bCs w:val="1"/>
          <w:color w:val="auto"/>
        </w:rPr>
        <w:t>Restatement Effective Date</w:t>
      </w:r>
      <w:r>
        <w:rPr>
          <w:rFonts w:ascii="Arial" w:cs="Arial" w:eastAsia="Arial" w:hAnsi="Arial"/>
          <w:sz w:val="18"/>
          <w:szCs w:val="18"/>
          <w:color w:val="auto"/>
        </w:rPr>
        <w:t>” means [ ], 2026.</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(hh)   </w:t>
      </w:r>
      <w:r>
        <w:rPr>
          <w:rFonts w:ascii="Arial" w:cs="Arial" w:eastAsia="Arial" w:hAnsi="Arial"/>
          <w:sz w:val="18"/>
          <w:szCs w:val="18"/>
          <w:b w:val="1"/>
          <w:bCs w:val="1"/>
          <w:color w:val="auto"/>
        </w:rPr>
        <w:t>“Restricted Period”</w:t>
      </w:r>
      <w:r>
        <w:rPr>
          <w:rFonts w:ascii="Arial" w:cs="Arial" w:eastAsia="Arial" w:hAnsi="Arial"/>
          <w:sz w:val="18"/>
          <w:szCs w:val="18"/>
          <w:color w:val="auto"/>
        </w:rPr>
        <w:t xml:space="preserve"> shall mean the period over which a Restricted Share, Restricted Share Unit or Performance Award shall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vest.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color w:val="auto"/>
        </w:rPr>
        <w:t>“Restricted Share”</w:t>
      </w:r>
      <w:r>
        <w:rPr>
          <w:rFonts w:ascii="Arial" w:cs="Arial" w:eastAsia="Arial" w:hAnsi="Arial"/>
          <w:sz w:val="18"/>
          <w:szCs w:val="18"/>
          <w:color w:val="auto"/>
        </w:rPr>
        <w:t xml:space="preserve"> shall mean any Share granted under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(jj)   </w:t>
      </w:r>
      <w:r>
        <w:rPr>
          <w:rFonts w:ascii="Arial" w:cs="Arial" w:eastAsia="Arial" w:hAnsi="Arial"/>
          <w:sz w:val="18"/>
          <w:szCs w:val="18"/>
          <w:b w:val="1"/>
          <w:bCs w:val="1"/>
          <w:color w:val="auto"/>
        </w:rPr>
        <w:t>“Restricted Share Unit”</w:t>
      </w:r>
      <w:r>
        <w:rPr>
          <w:rFonts w:ascii="Arial" w:cs="Arial" w:eastAsia="Arial" w:hAnsi="Arial"/>
          <w:sz w:val="18"/>
          <w:szCs w:val="18"/>
          <w:color w:val="auto"/>
        </w:rPr>
        <w:t xml:space="preserve"> shall mean any unit granted under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212" w:lineRule="exact"/>
        <w:rPr>
          <w:sz w:val="20"/>
          <w:szCs w:val="20"/>
          <w:color w:val="auto"/>
        </w:rPr>
      </w:pPr>
    </w:p>
    <w:p>
      <w:pPr>
        <w:ind w:right="140" w:firstLine="374"/>
        <w:spacing w:after="0" w:line="247" w:lineRule="auto"/>
        <w:rPr>
          <w:sz w:val="20"/>
          <w:szCs w:val="20"/>
          <w:color w:val="auto"/>
        </w:rPr>
      </w:pPr>
      <w:r>
        <w:rPr>
          <w:rFonts w:ascii="Arial" w:cs="Arial" w:eastAsia="Arial" w:hAnsi="Arial"/>
          <w:sz w:val="18"/>
          <w:szCs w:val="18"/>
          <w:color w:val="auto"/>
        </w:rPr>
        <w:t xml:space="preserve">(kk)  </w:t>
      </w:r>
      <w:r>
        <w:rPr>
          <w:rFonts w:ascii="Arial" w:cs="Arial" w:eastAsia="Arial" w:hAnsi="Arial"/>
          <w:sz w:val="18"/>
          <w:szCs w:val="18"/>
          <w:b w:val="1"/>
          <w:bCs w:val="1"/>
          <w:color w:val="auto"/>
        </w:rPr>
        <w:t>“Retirement”</w:t>
      </w:r>
      <w:r>
        <w:rPr>
          <w:rFonts w:ascii="Arial" w:cs="Arial" w:eastAsia="Arial" w:hAnsi="Arial"/>
          <w:sz w:val="18"/>
          <w:szCs w:val="18"/>
          <w:color w:val="auto"/>
        </w:rPr>
        <w:t xml:space="preserve"> shall mean, unless otherwise defined in the applicable Award Agreement, retirement of a Participant from the employ or service of the Company or any of its Subsidiaries or Affiliates in accordance with the terms of the applicable Company retirement plan or, if a Participant is not covered by any such plan, the Participant’s voluntary termination of employment on or after such Participant’s 65th birthday.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(ll)   </w:t>
      </w:r>
      <w:r>
        <w:rPr>
          <w:rFonts w:ascii="Arial" w:cs="Arial" w:eastAsia="Arial" w:hAnsi="Arial"/>
          <w:sz w:val="18"/>
          <w:szCs w:val="18"/>
          <w:b w:val="1"/>
          <w:bCs w:val="1"/>
          <w:color w:val="auto"/>
        </w:rPr>
        <w:t>“SEC”</w:t>
      </w:r>
      <w:r>
        <w:rPr>
          <w:rFonts w:ascii="Arial" w:cs="Arial" w:eastAsia="Arial" w:hAnsi="Arial"/>
          <w:sz w:val="18"/>
          <w:szCs w:val="18"/>
          <w:color w:val="auto"/>
        </w:rPr>
        <w:t xml:space="preserve"> shall mean the Securities and Exchange Commission or any successor thereto.</w:t>
      </w:r>
    </w:p>
    <w:p>
      <w:pPr>
        <w:spacing w:after="0" w:line="212" w:lineRule="exact"/>
        <w:rPr>
          <w:sz w:val="20"/>
          <w:szCs w:val="20"/>
          <w:color w:val="auto"/>
        </w:rPr>
      </w:pPr>
    </w:p>
    <w:p>
      <w:pPr>
        <w:ind w:right="260" w:firstLine="382"/>
        <w:spacing w:after="0" w:line="271" w:lineRule="auto"/>
        <w:rPr>
          <w:sz w:val="20"/>
          <w:szCs w:val="20"/>
          <w:color w:val="auto"/>
        </w:rPr>
      </w:pPr>
      <w:r>
        <w:rPr>
          <w:rFonts w:ascii="Arial" w:cs="Arial" w:eastAsia="Arial" w:hAnsi="Arial"/>
          <w:sz w:val="18"/>
          <w:szCs w:val="18"/>
          <w:color w:val="auto"/>
        </w:rPr>
        <w:t xml:space="preserve">(mm)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shall mean Section 16 of the Exchange Act and the rules promulgated thereunder and any successor provision thereto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(nn)   </w:t>
      </w:r>
      <w:r>
        <w:rPr>
          <w:rFonts w:ascii="Arial" w:cs="Arial" w:eastAsia="Arial" w:hAnsi="Arial"/>
          <w:sz w:val="18"/>
          <w:szCs w:val="18"/>
          <w:b w:val="1"/>
          <w:bCs w:val="1"/>
          <w:color w:val="auto"/>
        </w:rPr>
        <w:t>“Shares”</w:t>
      </w:r>
      <w:r>
        <w:rPr>
          <w:rFonts w:ascii="Arial" w:cs="Arial" w:eastAsia="Arial" w:hAnsi="Arial"/>
          <w:sz w:val="18"/>
          <w:szCs w:val="18"/>
          <w:color w:val="auto"/>
        </w:rPr>
        <w:t xml:space="preserve"> shall mean shares of the common stock, $1.00 par value, of the Company.</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(oo)   </w:t>
      </w:r>
      <w:r>
        <w:rPr>
          <w:rFonts w:ascii="Arial" w:cs="Arial" w:eastAsia="Arial" w:hAnsi="Arial"/>
          <w:sz w:val="18"/>
          <w:szCs w:val="18"/>
          <w:b w:val="1"/>
          <w:bCs w:val="1"/>
          <w:color w:val="auto"/>
        </w:rPr>
        <w:t>“Share Reserve”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the Plan.</w:t>
      </w:r>
    </w:p>
    <w:p>
      <w:pPr>
        <w:spacing w:after="0" w:line="212" w:lineRule="exact"/>
        <w:rPr>
          <w:sz w:val="20"/>
          <w:szCs w:val="20"/>
          <w:color w:val="auto"/>
        </w:rPr>
      </w:pPr>
    </w:p>
    <w:p>
      <w:pPr>
        <w:ind w:right="160" w:firstLine="382"/>
        <w:spacing w:after="0" w:line="244" w:lineRule="auto"/>
        <w:rPr>
          <w:sz w:val="20"/>
          <w:szCs w:val="20"/>
          <w:color w:val="auto"/>
        </w:rPr>
      </w:pPr>
      <w:r>
        <w:rPr>
          <w:rFonts w:ascii="Arial" w:cs="Arial" w:eastAsia="Arial" w:hAnsi="Arial"/>
          <w:sz w:val="18"/>
          <w:szCs w:val="18"/>
          <w:color w:val="auto"/>
        </w:rPr>
        <w:t xml:space="preserve">(pp)  </w:t>
      </w:r>
      <w:r>
        <w:rPr>
          <w:rFonts w:ascii="Arial" w:cs="Arial" w:eastAsia="Arial" w:hAnsi="Arial"/>
          <w:sz w:val="18"/>
          <w:szCs w:val="18"/>
          <w:b w:val="1"/>
          <w:bCs w:val="1"/>
          <w:color w:val="auto"/>
        </w:rPr>
        <w:t>“Stock Appreciation Right”</w:t>
      </w:r>
      <w:r>
        <w:rPr>
          <w:rFonts w:ascii="Arial" w:cs="Arial" w:eastAsia="Arial" w:hAnsi="Arial"/>
          <w:sz w:val="18"/>
          <w:szCs w:val="18"/>
          <w:color w:val="auto"/>
        </w:rPr>
        <w:t xml:space="preserve"> or </w:t>
      </w:r>
      <w:r>
        <w:rPr>
          <w:rFonts w:ascii="Arial" w:cs="Arial" w:eastAsia="Arial" w:hAnsi="Arial"/>
          <w:sz w:val="18"/>
          <w:szCs w:val="18"/>
          <w:b w:val="1"/>
          <w:bCs w:val="1"/>
          <w:color w:val="auto"/>
        </w:rPr>
        <w:t>“SAR”</w:t>
      </w:r>
      <w:r>
        <w:rPr>
          <w:rFonts w:ascii="Arial" w:cs="Arial" w:eastAsia="Arial" w:hAnsi="Arial"/>
          <w:sz w:val="18"/>
          <w:szCs w:val="18"/>
          <w:color w:val="auto"/>
        </w:rPr>
        <w:t xml:space="preserve"> shall mean a stock appreciation right granted under the Plan that entitles the holder to receive, with respect to each Share encompassed by the exercise of such SAR, the amount determined by the Committee and specified in an Award Agreement. In the absence of such a determination, the holder shall be entitled to receive, with respect to each Share encompassed by the exercise of such SAR, the excess of the Fair Market Value of such Share on the date of exercise over the Grant Price applicable to such SAR.</w:t>
      </w:r>
    </w:p>
    <w:p>
      <w:pPr>
        <w:spacing w:after="0" w:line="176" w:lineRule="exact"/>
        <w:rPr>
          <w:sz w:val="20"/>
          <w:szCs w:val="20"/>
          <w:color w:val="auto"/>
        </w:rPr>
      </w:pPr>
    </w:p>
    <w:p>
      <w:pPr>
        <w:ind w:right="220" w:firstLine="382"/>
        <w:spacing w:after="0" w:line="271" w:lineRule="auto"/>
        <w:rPr>
          <w:sz w:val="20"/>
          <w:szCs w:val="20"/>
          <w:color w:val="auto"/>
        </w:rPr>
      </w:pPr>
      <w:r>
        <w:rPr>
          <w:rFonts w:ascii="Arial" w:cs="Arial" w:eastAsia="Arial" w:hAnsi="Arial"/>
          <w:sz w:val="18"/>
          <w:szCs w:val="18"/>
          <w:color w:val="auto"/>
        </w:rPr>
        <w:t xml:space="preserve">(qq)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shall mean any Person (other than the Company) of which a majority of its voting power or its equity securities or equity interest is owned directly or indirectly by the Company.</w:t>
      </w:r>
    </w:p>
    <w:p>
      <w:pPr>
        <w:spacing w:after="0" w:line="154" w:lineRule="exact"/>
        <w:rPr>
          <w:sz w:val="20"/>
          <w:szCs w:val="20"/>
          <w:color w:val="auto"/>
        </w:rPr>
      </w:pPr>
    </w:p>
    <w:p>
      <w:pPr>
        <w:ind w:right="360" w:firstLine="382"/>
        <w:spacing w:after="0" w:line="271" w:lineRule="auto"/>
        <w:rPr>
          <w:sz w:val="20"/>
          <w:szCs w:val="20"/>
          <w:color w:val="auto"/>
        </w:rPr>
      </w:pPr>
      <w:r>
        <w:rPr>
          <w:rFonts w:ascii="Arial" w:cs="Arial" w:eastAsia="Arial" w:hAnsi="Arial"/>
          <w:sz w:val="18"/>
          <w:szCs w:val="18"/>
          <w:color w:val="auto"/>
        </w:rPr>
        <w:t xml:space="preserve">(rr)  </w:t>
      </w:r>
      <w:r>
        <w:rPr>
          <w:rFonts w:ascii="Arial" w:cs="Arial" w:eastAsia="Arial" w:hAnsi="Arial"/>
          <w:sz w:val="18"/>
          <w:szCs w:val="18"/>
          <w:b w:val="1"/>
          <w:bCs w:val="1"/>
          <w:color w:val="auto"/>
        </w:rPr>
        <w:t>“Substitute Awards”</w:t>
      </w:r>
      <w:r>
        <w:rPr>
          <w:rFonts w:ascii="Arial" w:cs="Arial" w:eastAsia="Arial" w:hAnsi="Arial"/>
          <w:sz w:val="18"/>
          <w:szCs w:val="18"/>
          <w:color w:val="auto"/>
        </w:rPr>
        <w:t xml:space="preserve"> shall mean Awards granted solely in assumption of, or in substitution for, outstanding awards previously granted by a company acquired by the Company or with which the Company combines.</w:t>
      </w:r>
    </w:p>
    <w:p>
      <w:pPr>
        <w:spacing w:after="0" w:line="154" w:lineRule="exact"/>
        <w:rPr>
          <w:sz w:val="20"/>
          <w:szCs w:val="20"/>
          <w:color w:val="auto"/>
        </w:rPr>
      </w:pPr>
    </w:p>
    <w:p>
      <w:pPr>
        <w:ind w:right="680" w:firstLine="382"/>
        <w:spacing w:after="0" w:line="271" w:lineRule="auto"/>
        <w:rPr>
          <w:sz w:val="20"/>
          <w:szCs w:val="20"/>
          <w:color w:val="auto"/>
        </w:rPr>
      </w:pPr>
      <w:r>
        <w:rPr>
          <w:rFonts w:ascii="Arial" w:cs="Arial" w:eastAsia="Arial" w:hAnsi="Arial"/>
          <w:sz w:val="18"/>
          <w:szCs w:val="18"/>
          <w:color w:val="auto"/>
        </w:rPr>
        <w:t xml:space="preserve">(ss)  </w:t>
      </w:r>
      <w:r>
        <w:rPr>
          <w:rFonts w:ascii="Arial" w:cs="Arial" w:eastAsia="Arial" w:hAnsi="Arial"/>
          <w:sz w:val="18"/>
          <w:szCs w:val="18"/>
          <w:b w:val="1"/>
          <w:bCs w:val="1"/>
          <w:color w:val="auto"/>
        </w:rPr>
        <w:t>“Vesting Period”</w:t>
      </w:r>
      <w:r>
        <w:rPr>
          <w:rFonts w:ascii="Arial" w:cs="Arial" w:eastAsia="Arial" w:hAnsi="Arial"/>
          <w:sz w:val="18"/>
          <w:szCs w:val="18"/>
          <w:color w:val="auto"/>
        </w:rPr>
        <w:t xml:space="preserve"> means the period of time specified by the Committee during which vesting restrictions for an Award are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12" w:lineRule="exact"/>
        <w:rPr>
          <w:sz w:val="20"/>
          <w:szCs w:val="20"/>
          <w:color w:val="auto"/>
        </w:rPr>
      </w:pPr>
    </w:p>
    <w:p>
      <w:pPr>
        <w:ind w:right="80" w:firstLine="382"/>
        <w:spacing w:after="0" w:line="24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Authority of Committee.</w:t>
      </w:r>
      <w:r>
        <w:rPr>
          <w:rFonts w:ascii="Arial" w:cs="Arial" w:eastAsia="Arial" w:hAnsi="Arial"/>
          <w:sz w:val="18"/>
          <w:szCs w:val="18"/>
          <w:color w:val="auto"/>
        </w:rPr>
        <w:t xml:space="preserve"> The Plan shall be administered, construed and interpreted by the Committee, which shall be appointed by and serve at the pleasure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the Board may, in its sole discretion, take any action designated to the Committee under this Plan as it may deem necessary; </w:t>
      </w:r>
      <w:r>
        <w:rPr>
          <w:rFonts w:ascii="Arial" w:cs="Arial" w:eastAsia="Arial" w:hAnsi="Arial"/>
          <w:sz w:val="18"/>
          <w:szCs w:val="18"/>
          <w:i w:val="1"/>
          <w:iCs w:val="1"/>
          <w:color w:val="auto"/>
        </w:rPr>
        <w:t>provided further</w:t>
      </w:r>
      <w:r>
        <w:rPr>
          <w:rFonts w:ascii="Arial" w:cs="Arial" w:eastAsia="Arial" w:hAnsi="Arial"/>
          <w:sz w:val="18"/>
          <w:szCs w:val="18"/>
          <w:color w:val="auto"/>
        </w:rPr>
        <w:t>, with respect to Awards to Non-Employee Directors, all references in the Plan to the Committee shall be deemed to be references to the Board. Subject to the terms of the Plan and applicable law, and in addition to other express powers and authorizations conferred on the Committee by the Plan, the Committee shall have full power and authority in its discretion to:</w:t>
      </w:r>
    </w:p>
    <w:p>
      <w:pPr>
        <w:spacing w:after="0" w:line="179" w:lineRule="exact"/>
        <w:rPr>
          <w:sz w:val="20"/>
          <w:szCs w:val="20"/>
          <w:color w:val="auto"/>
        </w:rPr>
      </w:pPr>
    </w:p>
    <w:p>
      <w:pPr>
        <w:ind w:left="380" w:firstLine="374"/>
        <w:spacing w:after="0" w:line="271" w:lineRule="auto"/>
        <w:rPr>
          <w:sz w:val="20"/>
          <w:szCs w:val="20"/>
          <w:color w:val="auto"/>
        </w:rPr>
      </w:pPr>
      <w:r>
        <w:rPr>
          <w:rFonts w:ascii="Arial" w:cs="Arial" w:eastAsia="Arial" w:hAnsi="Arial"/>
          <w:sz w:val="18"/>
          <w:szCs w:val="18"/>
          <w:color w:val="auto"/>
        </w:rPr>
        <w:t>(i)  designate Participants, determine eligibility for participation in the Plan and decide all questions concerning eligibility for and the amount of Awards under the Plan;</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(ii)   determine the type or types of Awards to be granted to a Participant;</w:t>
      </w:r>
    </w:p>
    <w:p>
      <w:pPr>
        <w:spacing w:after="0" w:line="212" w:lineRule="exact"/>
        <w:rPr>
          <w:sz w:val="20"/>
          <w:szCs w:val="20"/>
          <w:color w:val="auto"/>
        </w:rPr>
      </w:pPr>
    </w:p>
    <w:p>
      <w:pPr>
        <w:ind w:left="380" w:right="660" w:firstLine="374"/>
        <w:spacing w:after="0" w:line="271" w:lineRule="auto"/>
        <w:rPr>
          <w:sz w:val="20"/>
          <w:szCs w:val="20"/>
          <w:color w:val="auto"/>
        </w:rPr>
      </w:pPr>
      <w:r>
        <w:rPr>
          <w:rFonts w:ascii="Arial" w:cs="Arial" w:eastAsia="Arial" w:hAnsi="Arial"/>
          <w:sz w:val="18"/>
          <w:szCs w:val="18"/>
          <w:color w:val="auto"/>
        </w:rPr>
        <w:t>(iii)  determine the number of Shares to be covered by, or with respect to which payments, rights or other matters are to be calculated in connection with Awards;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(iv)   determine the timing, terms, and conditions of any Award;</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   accelerate the time at which all or any part of an Award may be settled or exercised;</w:t>
      </w:r>
    </w:p>
    <w:p>
      <w:pPr>
        <w:spacing w:after="0" w:line="212" w:lineRule="exact"/>
        <w:rPr>
          <w:sz w:val="20"/>
          <w:szCs w:val="20"/>
          <w:color w:val="auto"/>
        </w:rPr>
      </w:pPr>
    </w:p>
    <w:p>
      <w:pPr>
        <w:ind w:left="380" w:right="40" w:firstLine="374"/>
        <w:spacing w:after="0" w:line="253" w:lineRule="auto"/>
        <w:rPr>
          <w:sz w:val="20"/>
          <w:szCs w:val="20"/>
          <w:color w:val="auto"/>
        </w:rPr>
      </w:pPr>
      <w:r>
        <w:rPr>
          <w:rFonts w:ascii="Arial" w:cs="Arial" w:eastAsia="Arial" w:hAnsi="Arial"/>
          <w:sz w:val="18"/>
          <w:szCs w:val="18"/>
          <w:color w:val="auto"/>
        </w:rPr>
        <w:t>(vi)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w:t>
      </w:r>
    </w:p>
    <w:p>
      <w:pPr>
        <w:spacing w:after="0" w:line="169" w:lineRule="exact"/>
        <w:rPr>
          <w:sz w:val="20"/>
          <w:szCs w:val="20"/>
          <w:color w:val="auto"/>
        </w:rPr>
      </w:pPr>
    </w:p>
    <w:p>
      <w:pPr>
        <w:ind w:left="380" w:right="460" w:firstLine="374"/>
        <w:spacing w:after="0" w:line="253" w:lineRule="auto"/>
        <w:rPr>
          <w:sz w:val="20"/>
          <w:szCs w:val="20"/>
          <w:color w:val="auto"/>
        </w:rPr>
      </w:pPr>
      <w:r>
        <w:rPr>
          <w:rFonts w:ascii="Arial" w:cs="Arial" w:eastAsia="Arial" w:hAnsi="Arial"/>
          <w:sz w:val="18"/>
          <w:szCs w:val="18"/>
          <w:color w:val="auto"/>
        </w:rPr>
        <w:t>(vii)  determine whether, to what extent, and under what circumstances cash, Shares, other securities, other Awards, other property, and other amounts payable with respect to an Award shall be deferred either automatically or at the election of the holder thereof or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right="400" w:firstLine="374"/>
        <w:spacing w:after="0" w:line="271" w:lineRule="auto"/>
        <w:rPr>
          <w:sz w:val="20"/>
          <w:szCs w:val="20"/>
          <w:color w:val="auto"/>
        </w:rPr>
      </w:pPr>
      <w:r>
        <w:rPr>
          <w:rFonts w:ascii="Arial" w:cs="Arial" w:eastAsia="Arial" w:hAnsi="Arial"/>
          <w:sz w:val="18"/>
          <w:szCs w:val="18"/>
          <w:color w:val="auto"/>
        </w:rPr>
        <w:t>(viii)  grant Awards as an alternative to, or as the form of payment for grants or rights earned or payable under, other bonus or compensation plans, arrangements or policies of the Company or a Subsidiary or Affiliate;</w:t>
      </w:r>
    </w:p>
    <w:p>
      <w:pPr>
        <w:spacing w:after="0" w:line="154" w:lineRule="exact"/>
        <w:rPr>
          <w:sz w:val="20"/>
          <w:szCs w:val="20"/>
          <w:color w:val="auto"/>
        </w:rPr>
      </w:pPr>
    </w:p>
    <w:p>
      <w:pPr>
        <w:ind w:left="380" w:right="280" w:firstLine="374"/>
        <w:spacing w:after="0" w:line="253" w:lineRule="auto"/>
        <w:rPr>
          <w:sz w:val="20"/>
          <w:szCs w:val="20"/>
          <w:color w:val="auto"/>
        </w:rPr>
      </w:pPr>
      <w:r>
        <w:rPr>
          <w:rFonts w:ascii="Arial" w:cs="Arial" w:eastAsia="Arial" w:hAnsi="Arial"/>
          <w:sz w:val="18"/>
          <w:szCs w:val="18"/>
          <w:color w:val="auto"/>
        </w:rPr>
        <w:t>(ix)  grant Substitute Awards on such terms and conditions as the Committee may prescribe, subject to compliance with the Incentive Stock Option rules under Section 422 of the Code and the nonqualified deferred compensation rules under Section 409A of the Code, where applicable;</w:t>
      </w:r>
    </w:p>
    <w:p>
      <w:pPr>
        <w:spacing w:after="0" w:line="169" w:lineRule="exact"/>
        <w:rPr>
          <w:sz w:val="20"/>
          <w:szCs w:val="20"/>
          <w:color w:val="auto"/>
        </w:rPr>
      </w:pPr>
    </w:p>
    <w:p>
      <w:pPr>
        <w:ind w:left="380" w:right="680" w:firstLine="374"/>
        <w:spacing w:after="0" w:line="253" w:lineRule="auto"/>
        <w:rPr>
          <w:sz w:val="20"/>
          <w:szCs w:val="20"/>
          <w:color w:val="auto"/>
        </w:rPr>
      </w:pPr>
      <w:r>
        <w:rPr>
          <w:rFonts w:ascii="Arial" w:cs="Arial" w:eastAsia="Arial" w:hAnsi="Arial"/>
          <w:sz w:val="18"/>
          <w:szCs w:val="18"/>
          <w:color w:val="auto"/>
        </w:rPr>
        <w:t>(x)  make all determinations under the Plan concerning the termination of any Participant’s employment or service with the Company or a Subsidiary or Affiliate, including whether such termination occurs by reason of Cause, Good Reason, Disability, Retirement, or in connection with a Change in Control and whether a leave constitutes a termination of employment;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(xi)   interpret and administer the Plan and any instrument or agreement relating to, or Award made under, the Plan;</w:t>
      </w:r>
    </w:p>
    <w:p>
      <w:pPr>
        <w:spacing w:after="0" w:line="212" w:lineRule="exact"/>
        <w:rPr>
          <w:sz w:val="20"/>
          <w:szCs w:val="20"/>
          <w:color w:val="auto"/>
        </w:rPr>
      </w:pPr>
    </w:p>
    <w:p>
      <w:pPr>
        <w:ind w:left="380" w:right="220" w:firstLine="374"/>
        <w:spacing w:after="0" w:line="271" w:lineRule="auto"/>
        <w:rPr>
          <w:sz w:val="20"/>
          <w:szCs w:val="20"/>
          <w:color w:val="auto"/>
        </w:rPr>
      </w:pPr>
      <w:r>
        <w:rPr>
          <w:rFonts w:ascii="Arial" w:cs="Arial" w:eastAsia="Arial" w:hAnsi="Arial"/>
          <w:sz w:val="18"/>
          <w:szCs w:val="18"/>
          <w:color w:val="auto"/>
        </w:rPr>
        <w:t xml:space="preserve">(xii)  except to the extent prohibited by </w:t>
      </w:r>
      <w:r>
        <w:rPr>
          <w:rFonts w:ascii="Arial" w:cs="Arial" w:eastAsia="Arial" w:hAnsi="Arial"/>
          <w:sz w:val="18"/>
          <w:szCs w:val="18"/>
          <w:u w:val="single" w:color="auto"/>
          <w:color w:val="auto"/>
        </w:rPr>
        <w:t>Section 6.2</w:t>
      </w:r>
      <w:r>
        <w:rPr>
          <w:rFonts w:ascii="Arial" w:cs="Arial" w:eastAsia="Arial" w:hAnsi="Arial"/>
          <w:sz w:val="18"/>
          <w:szCs w:val="18"/>
          <w:color w:val="auto"/>
        </w:rPr>
        <w:t>, amend or modify the terms of any Award at or after grant with the consent of the holder of the Award;</w:t>
      </w:r>
    </w:p>
    <w:p>
      <w:pPr>
        <w:spacing w:after="0" w:line="154" w:lineRule="exact"/>
        <w:rPr>
          <w:sz w:val="20"/>
          <w:szCs w:val="20"/>
          <w:color w:val="auto"/>
        </w:rPr>
      </w:pPr>
    </w:p>
    <w:p>
      <w:pPr>
        <w:ind w:left="380" w:right="120" w:firstLine="374"/>
        <w:spacing w:after="0" w:line="271" w:lineRule="auto"/>
        <w:rPr>
          <w:sz w:val="20"/>
          <w:szCs w:val="20"/>
          <w:color w:val="auto"/>
        </w:rPr>
      </w:pPr>
      <w:r>
        <w:rPr>
          <w:rFonts w:ascii="Arial" w:cs="Arial" w:eastAsia="Arial" w:hAnsi="Arial"/>
          <w:sz w:val="18"/>
          <w:szCs w:val="18"/>
          <w:color w:val="auto"/>
        </w:rPr>
        <w:t>(xiii)  establish, amend, suspend or waive such rules and regulations and appoint such agents as it shall deem appropriate for the proper administration of the Plan; and</w:t>
      </w:r>
    </w:p>
    <w:p>
      <w:pPr>
        <w:spacing w:after="0" w:line="154" w:lineRule="exact"/>
        <w:rPr>
          <w:sz w:val="20"/>
          <w:szCs w:val="20"/>
          <w:color w:val="auto"/>
        </w:rPr>
      </w:pPr>
    </w:p>
    <w:p>
      <w:pPr>
        <w:ind w:left="380" w:right="220" w:firstLine="374"/>
        <w:spacing w:after="0" w:line="247" w:lineRule="auto"/>
        <w:rPr>
          <w:sz w:val="20"/>
          <w:szCs w:val="20"/>
          <w:color w:val="auto"/>
        </w:rPr>
      </w:pPr>
      <w:r>
        <w:rPr>
          <w:rFonts w:ascii="Arial" w:cs="Arial" w:eastAsia="Arial" w:hAnsi="Arial"/>
          <w:sz w:val="18"/>
          <w:szCs w:val="18"/>
          <w:color w:val="auto"/>
        </w:rPr>
        <w:t xml:space="preserve">(xiv)  make any other determination and take any other action that the Committee deems necessary or desirable for the administration of the Plan, subject to the exclusive authority of the Board under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hereunder to amend or terminate the Plan. The exercise of an Option or receipt of an Award shall be effective only if an Award Agreement shall have been duly executed and delivered on behalf of the Company following the grant of the Award.</w:t>
      </w:r>
    </w:p>
    <w:p>
      <w:pPr>
        <w:spacing w:after="0" w:line="174" w:lineRule="exact"/>
        <w:rPr>
          <w:sz w:val="20"/>
          <w:szCs w:val="20"/>
          <w:color w:val="auto"/>
        </w:rPr>
      </w:pPr>
    </w:p>
    <w:p>
      <w:pPr>
        <w:ind w:right="20" w:firstLine="374"/>
        <w:spacing w:after="0" w:line="24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Committee Discretion Binding.</w:t>
      </w:r>
      <w:r>
        <w:rPr>
          <w:rFonts w:ascii="Arial" w:cs="Arial" w:eastAsia="Arial" w:hAnsi="Arial"/>
          <w:sz w:val="18"/>
          <w:szCs w:val="18"/>
          <w:color w:val="auto"/>
        </w:rPr>
        <w:t xml:space="preserve">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Subsidiary or Affiliate, any Participant and any holder or beneficiary of any Award.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179" w:lineRule="exact"/>
        <w:rPr>
          <w:sz w:val="20"/>
          <w:szCs w:val="20"/>
          <w:color w:val="auto"/>
        </w:rPr>
      </w:pPr>
    </w:p>
    <w:p>
      <w:pPr>
        <w:ind w:firstLine="374"/>
        <w:spacing w:after="0" w:line="25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Delegation.</w:t>
      </w:r>
      <w:r>
        <w:rPr>
          <w:rFonts w:ascii="Arial" w:cs="Arial" w:eastAsia="Arial" w:hAnsi="Arial"/>
          <w:sz w:val="17"/>
          <w:szCs w:val="17"/>
          <w:color w:val="auto"/>
        </w:rPr>
        <w:t xml:space="preserve"> Subject to the terms of the Plan, the Committee’s charter and applicable law, the Committee may delegate to one or more officers or managers of the Company or of any Subsidiary or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Section 16 or who are otherwise not subject to such Section; </w:t>
      </w:r>
      <w:r>
        <w:rPr>
          <w:rFonts w:ascii="Arial" w:cs="Arial" w:eastAsia="Arial" w:hAnsi="Arial"/>
          <w:sz w:val="17"/>
          <w:szCs w:val="17"/>
          <w:i w:val="1"/>
          <w:iCs w:val="1"/>
          <w:color w:val="auto"/>
        </w:rPr>
        <w:t>provided</w:t>
      </w:r>
      <w:r>
        <w:rPr>
          <w:rFonts w:ascii="Arial" w:cs="Arial" w:eastAsia="Arial" w:hAnsi="Arial"/>
          <w:sz w:val="17"/>
          <w:szCs w:val="17"/>
          <w:color w:val="auto"/>
        </w:rPr>
        <w:t>, however, that the resolution authorizing any executive officer to grant Awards to pursuant to the preceding sentence shall specify the total number of Shares subject to Awards that such executive officer may so grant. The Committee delegates the authority for ministerial administration of the Plan and awards made under the Plan to the Company.</w:t>
      </w:r>
    </w:p>
    <w:p>
      <w:pPr>
        <w:spacing w:after="0" w:line="168" w:lineRule="exact"/>
        <w:rPr>
          <w:sz w:val="20"/>
          <w:szCs w:val="20"/>
          <w:color w:val="auto"/>
        </w:rPr>
      </w:pPr>
    </w:p>
    <w:p>
      <w:pPr>
        <w:ind w:right="60" w:firstLine="374"/>
        <w:spacing w:after="0" w:line="24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No Liability</w:t>
      </w:r>
      <w:r>
        <w:rPr>
          <w:rFonts w:ascii="Arial" w:cs="Arial" w:eastAsia="Arial" w:hAnsi="Arial"/>
          <w:sz w:val="18"/>
          <w:szCs w:val="18"/>
          <w:color w:val="auto"/>
        </w:rPr>
        <w:t>. The Board or the Committee may employ counsel, consultants, accountants, appraisers, brokers or other persons. The Board, the Committee, the Company, and the officers and directors of the Company shall be entitled to rely upon the advice, opinions or valuations of any such persons. No member of the Committee or Board, nor any employee or representative of the Company shall be personally liable for any action, determination or interpretation made in good faith with respect to the Plan or the Awards, and all such members of the Committee and the Board, employees and representatives shall be fully protected and indemnified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greatest extent permitted by applicable law by the Company with respect to any such action, determination or interpretation.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Available For Awards.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Shares Available.</w:t>
      </w:r>
    </w:p>
    <w:p>
      <w:pPr>
        <w:spacing w:after="0" w:line="212" w:lineRule="exact"/>
        <w:rPr>
          <w:sz w:val="20"/>
          <w:szCs w:val="20"/>
          <w:color w:val="auto"/>
        </w:rPr>
      </w:pPr>
    </w:p>
    <w:p>
      <w:pPr>
        <w:ind w:right="20" w:firstLine="1018"/>
        <w:spacing w:after="0" w:line="237" w:lineRule="auto"/>
        <w:rPr>
          <w:sz w:val="20"/>
          <w:szCs w:val="20"/>
          <w:color w:val="auto"/>
        </w:rPr>
      </w:pPr>
      <w:r>
        <w:rPr>
          <w:rFonts w:ascii="Arial" w:cs="Arial" w:eastAsia="Arial" w:hAnsi="Arial"/>
          <w:sz w:val="18"/>
          <w:szCs w:val="18"/>
          <w:color w:val="auto"/>
        </w:rPr>
        <w:t xml:space="preserve">(a)  Subject to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below and the share counting provisions in this </w:t>
      </w:r>
      <w:r>
        <w:rPr>
          <w:rFonts w:ascii="Arial" w:cs="Arial" w:eastAsia="Arial" w:hAnsi="Arial"/>
          <w:sz w:val="18"/>
          <w:szCs w:val="18"/>
          <w:u w:val="single" w:color="auto"/>
          <w:color w:val="auto"/>
        </w:rPr>
        <w:t>Section 4.1</w:t>
      </w:r>
      <w:r>
        <w:rPr>
          <w:rFonts w:ascii="Arial" w:cs="Arial" w:eastAsia="Arial" w:hAnsi="Arial"/>
          <w:sz w:val="18"/>
          <w:szCs w:val="18"/>
          <w:color w:val="auto"/>
        </w:rPr>
        <w:t>, as of the Restatement Effective Date, the maximum aggregate number of Shares authorized for Awards granted under the Plan is one million six hundred twenty-three thousand one hundred forty-seven (1,623,147) Shares</w:t>
      </w:r>
      <w:r>
        <w:rPr>
          <w:rFonts w:ascii="Arial" w:cs="Arial" w:eastAsia="Arial" w:hAnsi="Arial"/>
          <w:sz w:val="9"/>
          <w:szCs w:val="9"/>
          <w:color w:val="auto"/>
        </w:rPr>
        <w:t>1</w:t>
      </w:r>
      <w:r>
        <w:rPr>
          <w:rFonts w:ascii="Arial" w:cs="Arial" w:eastAsia="Arial" w:hAnsi="Arial"/>
          <w:sz w:val="18"/>
          <w:szCs w:val="18"/>
          <w:color w:val="auto"/>
        </w:rPr>
        <w:t>, less one (1) Share for every one (1) Share that was subject to an Option, Stock Appreciation Right or Full-Value Award granted after the Restatement Date under the Plan (the “</w:t>
      </w:r>
      <w:r>
        <w:rPr>
          <w:rFonts w:ascii="Arial" w:cs="Arial" w:eastAsia="Arial" w:hAnsi="Arial"/>
          <w:sz w:val="18"/>
          <w:szCs w:val="18"/>
          <w:u w:val="single" w:color="auto"/>
          <w:color w:val="auto"/>
        </w:rPr>
        <w:t>Share Reserve</w:t>
      </w:r>
      <w:r>
        <w:rPr>
          <w:rFonts w:ascii="Arial" w:cs="Arial" w:eastAsia="Arial" w:hAnsi="Arial"/>
          <w:sz w:val="18"/>
          <w:szCs w:val="18"/>
          <w:color w:val="auto"/>
        </w:rPr>
        <w:t>”). Any Shares that are subject to Options or Stock Appreciation Rights shall be counted against this limit as one (1) Share for every one (1) Share granted, and any Shares that are subject to Full-Value Awards shall be counted against this limit at the Full-Value Award Debiting Rate. The “</w:t>
      </w:r>
      <w:r>
        <w:rPr>
          <w:rFonts w:ascii="Arial" w:cs="Arial" w:eastAsia="Arial" w:hAnsi="Arial"/>
          <w:sz w:val="18"/>
          <w:szCs w:val="18"/>
          <w:u w:val="single" w:color="auto"/>
          <w:color w:val="auto"/>
        </w:rPr>
        <w:t>Full-Value Award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Debiting Rate</w:t>
      </w:r>
      <w:r>
        <w:rPr>
          <w:rFonts w:ascii="Arial" w:cs="Arial" w:eastAsia="Arial" w:hAnsi="Arial"/>
          <w:sz w:val="18"/>
          <w:szCs w:val="18"/>
          <w:color w:val="auto"/>
        </w:rPr>
        <w:t>” means (i) with respect to Full-Value Awards granted under the Plan (or after February 1, 2020, Full-Value Awards previously granted under the Prior Plan) prior to or on March 24, 2023, one and seventy-two one hundredths (1.72) Shares for each one Share that is subject to the Full-Value Award; (ii) with respect to Full-Value Awards granted after March 24, 2023 and through and including March 31, 2024, one and fifty-two one hundredths (1.52) Shares for each one Share that is subject to the Full-Value Award; (iii) with respect to Full-Value Awards granted after March 31, 2024 through and including April 15, 2025, one and thirty-five one hundredths (1.35) Shares for each one Share that is subject to the Full-Value Award; (iv) with respect to Full-Value Awards granted after April 15, 2025 through and including the Restatement Effective Date, one and fifty-one one hundredths (1.51) Shares for each one Share that is subject to the Full-Value Award; and (v) with respect to Full-Value Awards granted after the Restatement Effective Date, one (1) Share for each one Share that is subject to the Full-Value Award. The number of Shares with respect to which Incentive Stock Options may be granted shall be no more than 1,623,147. After the Original Effective Date, no awards may be granted under the Prior Plan.</w:t>
      </w:r>
    </w:p>
    <w:p>
      <w:pPr>
        <w:spacing w:after="0" w:line="186" w:lineRule="exact"/>
        <w:rPr>
          <w:sz w:val="20"/>
          <w:szCs w:val="20"/>
          <w:color w:val="auto"/>
        </w:rPr>
      </w:pPr>
    </w:p>
    <w:p>
      <w:pPr>
        <w:ind w:firstLine="1018"/>
        <w:spacing w:after="0" w:line="237" w:lineRule="auto"/>
        <w:rPr>
          <w:sz w:val="20"/>
          <w:szCs w:val="20"/>
          <w:color w:val="auto"/>
        </w:rPr>
      </w:pPr>
      <w:r>
        <w:rPr>
          <w:rFonts w:ascii="Arial" w:cs="Arial" w:eastAsia="Arial" w:hAnsi="Arial"/>
          <w:sz w:val="18"/>
          <w:szCs w:val="18"/>
          <w:color w:val="auto"/>
        </w:rPr>
        <w:t xml:space="preserve">(b)  If any Award granted under this Plan or any award granted under the Prior Plan shall expire, terminate, or otherwise be forfeited or canceled for any reason, in each case after February 1, 2020 and before it has vested or been exercised in full, or shall be settled in cash (in whole or in part) after February 1, 2020, each Share subject to such Award (or award) shall, to the extent of such expiration, cash settlement, forfeiture, or termination, increase the Share Reserve as provided in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In the event that withholding tax liabilities arising from an Award other than an Option or Stock Appreciation Right or an award other than an option or stock appreciation right granted under the Prior Plan, are satisfied after February 1, 2020 by the tendering of Shares (either actually or by attestation) or by the withholding of Shares by the Company, each Share so tendered or withheld shall increase the Share Reserve as provided in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Notwithstanding the foregoing, the following Shares will not again become available for Awards under the Plan: (1) Shares tendered or withheld in payment of the Option Price of an Option (or the option price of an option granted under the Prior Plan), (2) Shares tendered or withheld to satisfy any tax withholding obligation with respect to an Option or Stock Appreciation Right (or an option or stock appreciation granted under the Prior Plan), (3) Shares repurchased by the Company with proceeds received from the exercise of an Option (or the exercise price of an option granted under the Prior Plan), and (4) Shares subject to an SAR (or a stock appreciation right granted under the Prior Plan) that are not issued in connection with the Share settlement of that SAR (or stock appreciation right granted under the Prior Plan) upon its exercise. The Committee may make such other determinations not inconsistent with this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regarding the counting of Shares issued pursuant to this Plan as it deems necessary or advisable, provided that such determinations shall be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168846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22" w:lineRule="exact"/>
        <w:rPr>
          <w:sz w:val="20"/>
          <w:szCs w:val="20"/>
          <w:color w:val="auto"/>
        </w:rPr>
      </w:pPr>
    </w:p>
    <w:p>
      <w:pPr>
        <w:ind w:left="520" w:hanging="512"/>
        <w:spacing w:after="0" w:line="219" w:lineRule="auto"/>
        <w:tabs>
          <w:tab w:leader="none" w:pos="471" w:val="left"/>
        </w:tabs>
        <w:numPr>
          <w:ilvl w:val="0"/>
          <w:numId w:val="85"/>
        </w:numPr>
        <w:rPr>
          <w:rFonts w:ascii="Times New Roman" w:cs="Times New Roman" w:eastAsia="Times New Roman" w:hAnsi="Times New Roman"/>
          <w:sz w:val="24"/>
          <w:szCs w:val="24"/>
          <w:color w:val="auto"/>
          <w:vertAlign w:val="superscript"/>
        </w:rPr>
      </w:pPr>
      <w:r>
        <w:rPr>
          <w:rFonts w:ascii="Arial" w:cs="Arial" w:eastAsia="Arial" w:hAnsi="Arial"/>
          <w:sz w:val="18"/>
          <w:szCs w:val="18"/>
          <w:color w:val="auto"/>
        </w:rPr>
        <w:t>The 1,623,147 Shares is equal to the 423,147 Shares that remained available for grant as of April 30, 2026, plus the 1,200,000 Shares added as of the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1018"/>
        <w:spacing w:after="0" w:line="247" w:lineRule="auto"/>
        <w:rPr>
          <w:sz w:val="20"/>
          <w:szCs w:val="20"/>
          <w:color w:val="auto"/>
        </w:rPr>
      </w:pPr>
      <w:r>
        <w:rPr>
          <w:rFonts w:ascii="Arial" w:cs="Arial" w:eastAsia="Arial" w:hAnsi="Arial"/>
          <w:sz w:val="18"/>
          <w:szCs w:val="18"/>
          <w:color w:val="auto"/>
        </w:rPr>
        <w:t xml:space="preserve">(c)  Any Shares that again become available for grant or otherwise increase the Share Reserve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added back as: (i) one (1) Share if such Shares were subject to an Option or SAR (or after February 1, 2020, an option or stock appreciation right granted under the Prior Plan), and (ii) the Full-Value Award Debiting Rate if such Shares were subject to Full-Value Awards (or after February 1, 2020, Full-Value Awards previously granted under the Prior Plan).</w:t>
      </w:r>
    </w:p>
    <w:p>
      <w:pPr>
        <w:spacing w:after="0" w:line="174" w:lineRule="exact"/>
        <w:rPr>
          <w:sz w:val="20"/>
          <w:szCs w:val="20"/>
          <w:color w:val="auto"/>
        </w:rPr>
      </w:pPr>
    </w:p>
    <w:p>
      <w:pPr>
        <w:ind w:right="100" w:firstLine="382"/>
        <w:spacing w:after="0" w:line="23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Adjustments.</w:t>
      </w:r>
      <w:r>
        <w:rPr>
          <w:rFonts w:ascii="Arial" w:cs="Arial" w:eastAsia="Arial" w:hAnsi="Arial"/>
          <w:sz w:val="18"/>
          <w:szCs w:val="18"/>
          <w:color w:val="auto"/>
        </w:rPr>
        <w:t xml:space="preserve"> In the event that any dividend (other than regular, recurring dividends)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then the Committee shall in an equitable and proportionate manner as determined by the Committee (and, as applicable, in such manner as is consistent with 422 and 409A of the Code and the regulations thereunder) either: (i) adjust any or all of (1) the aggregate number of Shares or other securities of the Company (or number and kind of other securities or property) with respect to which Awards may be granted under the Plan;</w:t>
      </w:r>
    </w:p>
    <w:p>
      <w:pPr>
        <w:spacing w:after="0" w:line="5" w:lineRule="exact"/>
        <w:rPr>
          <w:sz w:val="20"/>
          <w:szCs w:val="20"/>
          <w:color w:val="auto"/>
        </w:rPr>
      </w:pPr>
    </w:p>
    <w:p>
      <w:pPr>
        <w:ind w:right="240" w:firstLine="8"/>
        <w:spacing w:after="0"/>
        <w:tabs>
          <w:tab w:leader="none" w:pos="27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Shares or other securities of the Company (or number and kind of other securities or property) subject to outstanding Awards under the Plan; and (3) the grant or exercise price with respect to any Award under the Plan; (ii) provide for an equivalent award in respect of securities of the surviving entity of any merger, consolidation or other transaction or event having a similar effect; or (iii) make provision for a cash payment to the holder of an outstanding Award in exchange for the cancellation of such Award.</w:t>
      </w:r>
    </w:p>
    <w:p>
      <w:pPr>
        <w:spacing w:after="0" w:line="180"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Substitute Awards.</w:t>
      </w:r>
      <w:r>
        <w:rPr>
          <w:rFonts w:ascii="Arial" w:cs="Arial" w:eastAsia="Arial" w:hAnsi="Arial"/>
          <w:sz w:val="18"/>
          <w:szCs w:val="18"/>
          <w:color w:val="auto"/>
        </w:rPr>
        <w:t xml:space="preserve"> Any Shares issued by the Company as Substitute Awards in connection with the assumption or substitution of outstanding grants from any acquired company shall not reduce the Share Reserve, nor shall Shares subject to a Substitute Award be added to the Shares available for Awards under the Plan as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above. Additionally, in the event that a company acquired by the Company or with which the Company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Employees or Non-Employee Directors of the Company prior to such acquisition or combination.</w:t>
      </w:r>
    </w:p>
    <w:p>
      <w:pPr>
        <w:spacing w:after="0" w:line="183"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Minimum Vesting Period</w:t>
      </w:r>
      <w:r>
        <w:rPr>
          <w:rFonts w:ascii="Arial" w:cs="Arial" w:eastAsia="Arial" w:hAnsi="Arial"/>
          <w:sz w:val="18"/>
          <w:szCs w:val="18"/>
          <w:color w:val="auto"/>
        </w:rPr>
        <w:t xml:space="preserve">. Notwithstanding any other provision of the Plan to the contrary, equity-based Awards granted under the Plan shall vest no earlier than the first anniversary of the date the Award is granted (excluding, for this purpose, any (i) Substitute Awards, (ii) Shares delivered in lieu of fully vested cash Awards and (iii) Awards to Non-Employee Directors that vest on the earlier of the one year anniversary of the date of grant or the next annual meeting of stockholders which is at least 50 weeks after the immediately preceding year’s annual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Committee may grant equity-based Awards without regard to the foregoing minimum vesting requirement with respect to a maximum of five percent (5%) of the Share Reserve (subject to adjustment under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for the avoidance of doubt, that the foregoing restriction does not apply to the Committee’s discretion to provide for accelerated exercisability or vesting of any Award, including in cases of Retirement, death, Disability or a Change in Control (consistent with </w:t>
      </w:r>
      <w:r>
        <w:rPr>
          <w:rFonts w:ascii="Arial" w:cs="Arial" w:eastAsia="Arial" w:hAnsi="Arial"/>
          <w:sz w:val="18"/>
          <w:szCs w:val="18"/>
          <w:u w:val="single" w:color="auto"/>
          <w:color w:val="auto"/>
        </w:rPr>
        <w:t>Section 13</w:t>
      </w:r>
      <w:r>
        <w:rPr>
          <w:rFonts w:ascii="Arial" w:cs="Arial" w:eastAsia="Arial" w:hAnsi="Arial"/>
          <w:sz w:val="18"/>
          <w:szCs w:val="18"/>
          <w:color w:val="auto"/>
        </w:rPr>
        <w:t>), in the terms of the Award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212" w:lineRule="exact"/>
        <w:rPr>
          <w:sz w:val="20"/>
          <w:szCs w:val="20"/>
          <w:color w:val="auto"/>
        </w:rPr>
      </w:pPr>
    </w:p>
    <w:p>
      <w:pPr>
        <w:ind w:right="140" w:firstLine="382"/>
        <w:spacing w:after="0" w:line="271" w:lineRule="auto"/>
        <w:rPr>
          <w:sz w:val="20"/>
          <w:szCs w:val="20"/>
          <w:color w:val="auto"/>
        </w:rPr>
      </w:pPr>
      <w:r>
        <w:rPr>
          <w:rFonts w:ascii="Arial" w:cs="Arial" w:eastAsia="Arial" w:hAnsi="Arial"/>
          <w:sz w:val="18"/>
          <w:szCs w:val="18"/>
          <w:color w:val="auto"/>
        </w:rPr>
        <w:t xml:space="preserve">Any Employee, Director or Consultant shall be eligible to be designated a Participant; provided, however, that Non-Employee Directors shall only be eligible to receive Awards granted consistent with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Options and Stock Appreciation Rights.</w:t>
      </w:r>
    </w:p>
    <w:p>
      <w:pPr>
        <w:spacing w:after="0" w:line="212" w:lineRule="exact"/>
        <w:rPr>
          <w:sz w:val="20"/>
          <w:szCs w:val="20"/>
          <w:color w:val="auto"/>
        </w:rPr>
      </w:pPr>
    </w:p>
    <w:p>
      <w:pPr>
        <w:ind w:right="80" w:firstLine="382"/>
        <w:spacing w:after="0" w:line="24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w:t>
      </w:r>
      <w:r>
        <w:rPr>
          <w:rFonts w:ascii="Arial" w:cs="Arial" w:eastAsia="Arial" w:hAnsi="Arial"/>
          <w:sz w:val="18"/>
          <w:szCs w:val="18"/>
          <w:color w:val="auto"/>
        </w:rPr>
        <w:t xml:space="preserve"> The grant of an Option shall take place when the Committee by resolution, written consent or other appropriate action determines to grant such Option for a particular number of Shares to a particular Participant at a particular Option Price. An Option may be granted with or without a related SAR. A SAR may be granted with or without a related Option. The provisions of Option Awards need not be the same with respect to each Participant. In the case of Incentive Stock Options, the terms and conditions of such grants shall be subject to and comply with Section 422 of the Code, as from time to time amended, and any regulations implementing such statute. To the extent an Option does not qualify as an Incentive Stock Option for any reason, such Option shall be treated as a Non-Qualified Stock Option.</w:t>
      </w:r>
    </w:p>
    <w:p>
      <w:pPr>
        <w:spacing w:after="0" w:line="179"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Price.</w:t>
      </w:r>
      <w:r>
        <w:rPr>
          <w:rFonts w:ascii="Arial" w:cs="Arial" w:eastAsia="Arial" w:hAnsi="Arial"/>
          <w:sz w:val="18"/>
          <w:szCs w:val="18"/>
          <w:color w:val="auto"/>
        </w:rPr>
        <w:t xml:space="preserve"> The Committee in its sole discretion shall establish the Option Price at the time each Option is granted and the Grant Price at the time each SAR is granted. Except in the case of Substitute Awards, the Option Price of an Option may not be less than the Fair Market Value of the Shares with respect to which the Option is granted on the date of grant of such Option. Except with respect to Substitute Awards, SARs may not have a Grant Price less than the Fair Market Value of a Share on the date of grant. In the case of Substitute Awards or Awards granted in connection with an adjustment provided for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the Plan in the form of Options, such grants shall have an Option Price per Share that is intended to maintain the economic value of the Award that was replaced or adjusted, as determined by the Committee. Except as required by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hereof, the Committee shall not have the power to (i) amend the terms of previously granted Options or SARs to reduce the Option Price of outstanding Options or the Grant Price of outstanding SARs, (ii) cancel such Options or SARs when the Option Price or Grant Price exceeds the Fair Market Value of one Share in exchange for cash or a grant of either substitute Options or SARs with a lower Exercise Price or Grant Price than the cancelled Award, or any other Award (other than in connection with a Change in Control), or (iii) take any other action with respect to an Option or SAR that would be treated as a repricing under the rules and regulations of the New York Stock Exchange or such other principal securities exchange on which the Shares are traded, in each case without the approval of the Company’s shareholders.</w:t>
      </w:r>
    </w:p>
    <w:p>
      <w:pPr>
        <w:spacing w:after="0" w:line="180" w:lineRule="exact"/>
        <w:rPr>
          <w:sz w:val="20"/>
          <w:szCs w:val="20"/>
          <w:color w:val="auto"/>
        </w:rPr>
      </w:pPr>
    </w:p>
    <w:p>
      <w:pPr>
        <w:jc w:val="both"/>
        <w:ind w:right="220" w:firstLine="382"/>
        <w:spacing w:after="0" w:line="25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Term.</w:t>
      </w:r>
      <w:r>
        <w:rPr>
          <w:rFonts w:ascii="Arial" w:cs="Arial" w:eastAsia="Arial" w:hAnsi="Arial"/>
          <w:sz w:val="18"/>
          <w:szCs w:val="18"/>
          <w:color w:val="auto"/>
        </w:rPr>
        <w:t xml:space="preserve"> Each Option and SAR and all rights and obligations thereunder shall expire on the date determined by the Committee and specified in the Award Agreement; provided, that no Option or SAR shall be exercisable after the expiration of ten (10) years from the date such Option or SAR was granted.</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Exercise.</w:t>
      </w:r>
    </w:p>
    <w:p>
      <w:pPr>
        <w:spacing w:after="0" w:line="212" w:lineRule="exact"/>
        <w:rPr>
          <w:sz w:val="20"/>
          <w:szCs w:val="20"/>
          <w:color w:val="auto"/>
        </w:rPr>
      </w:pPr>
    </w:p>
    <w:p>
      <w:pPr>
        <w:ind w:right="120" w:firstLine="1018"/>
        <w:spacing w:after="0" w:line="244" w:lineRule="auto"/>
        <w:rPr>
          <w:sz w:val="20"/>
          <w:szCs w:val="20"/>
          <w:color w:val="auto"/>
        </w:rPr>
      </w:pPr>
      <w:r>
        <w:rPr>
          <w:rFonts w:ascii="Arial" w:cs="Arial" w:eastAsia="Arial" w:hAnsi="Arial"/>
          <w:sz w:val="18"/>
          <w:szCs w:val="18"/>
          <w:color w:val="auto"/>
        </w:rPr>
        <w:t xml:space="preserve">(a)  Subject to </w:t>
      </w:r>
      <w:r>
        <w:rPr>
          <w:rFonts w:ascii="Arial" w:cs="Arial" w:eastAsia="Arial" w:hAnsi="Arial"/>
          <w:sz w:val="18"/>
          <w:szCs w:val="18"/>
          <w:u w:val="single" w:color="auto"/>
          <w:color w:val="auto"/>
        </w:rPr>
        <w:t>Section 4.4</w:t>
      </w:r>
      <w:r>
        <w:rPr>
          <w:rFonts w:ascii="Arial" w:cs="Arial" w:eastAsia="Arial" w:hAnsi="Arial"/>
          <w:sz w:val="18"/>
          <w:szCs w:val="18"/>
          <w:color w:val="auto"/>
        </w:rPr>
        <w:t>, each Option and SAR shall be exercisable at such times and subject to such terms and conditions as the Committee may, in its sole discretion, specify in the applicable Award Agreement or thereafter. The Committee may impose such conditions with respect to the exercise of Options, including without limitation, any relating to the application of federal, state or foreign securities laws or the Code, as it may deem necessary or advisable. The exercise of any Option granted hereunder shall be effective only at such time as the sale of Shares pursuant to such exercise will not violate any state or federal securities or other laws.</w:t>
      </w:r>
    </w:p>
    <w:p>
      <w:pPr>
        <w:spacing w:after="0" w:line="176" w:lineRule="exact"/>
        <w:rPr>
          <w:sz w:val="20"/>
          <w:szCs w:val="20"/>
          <w:color w:val="auto"/>
        </w:rPr>
      </w:pPr>
    </w:p>
    <w:p>
      <w:pPr>
        <w:ind w:firstLine="1018"/>
        <w:spacing w:after="0" w:line="247" w:lineRule="auto"/>
        <w:rPr>
          <w:sz w:val="20"/>
          <w:szCs w:val="20"/>
          <w:color w:val="auto"/>
        </w:rPr>
      </w:pPr>
      <w:r>
        <w:rPr>
          <w:rFonts w:ascii="Arial" w:cs="Arial" w:eastAsia="Arial" w:hAnsi="Arial"/>
          <w:sz w:val="18"/>
          <w:szCs w:val="18"/>
          <w:color w:val="auto"/>
        </w:rPr>
        <w:t>(b)  An Option or SAR may be exercised in whole or in part at any time, with respect to whole Shares only, within the period permitted thereunder for the exercise thereof, and shall be exercised by written notice of intent to exercise the Option or SAR, delivered to the Company at its principal office, and payment in full to the Company at the direction of the Committee of the amount of the Option Price for the number of Shares with respect to which the Option is then being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1018"/>
        <w:spacing w:after="0" w:line="239" w:lineRule="auto"/>
        <w:rPr>
          <w:sz w:val="20"/>
          <w:szCs w:val="20"/>
          <w:color w:val="auto"/>
        </w:rPr>
      </w:pPr>
      <w:r>
        <w:rPr>
          <w:rFonts w:ascii="Arial" w:cs="Arial" w:eastAsia="Arial" w:hAnsi="Arial"/>
          <w:sz w:val="18"/>
          <w:szCs w:val="18"/>
          <w:color w:val="auto"/>
        </w:rPr>
        <w:t>(c)  Payment of the Option Price shall be made in (i) cash or cash equivalents, or, (ii) at the discretion of the Committee, by transfer, either actually or by attestation, to the Company of unencumbered Shares previously acquired by the Participant, valued at the Fair Market Value of such Shares on the date of exercise (or next preceding trading date, if the date of exercise is not a trading date), together with any applicable withholding taxes, such transfer to be upon such terms and conditions as determined by the Committee, (iii) by a combination of (i) or (ii), or (iv) by any other method approved or accepted by the Committee in its sole discretion, including, if the Committee so determines, (x) a cashless (broker-assisted) exercise that complies with applicable laws or (y) withholding Shares (net-exercise) otherwise deliverable to the Participant pursuant to the Option having an aggregate Fair Market Value at the time of exercise equal to the total Option Price. Until the optionee has been issued the Shares subject to such exercise, the optionee shall possess no rights as a stockholder with respect to such Shares. Notwithstanding the foregoing, permitted exercise methods may be limited by the terms of the individual Award Agreement or by the Committee at any time.</w:t>
      </w:r>
    </w:p>
    <w:p>
      <w:pPr>
        <w:spacing w:after="0" w:line="180"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(e)  At the Committee’s discretion, the amount payable as a result of the exercise of a SAR may be settled in cash, Shares or a combination of cash and Shares.</w:t>
      </w:r>
    </w:p>
    <w:p>
      <w:pPr>
        <w:spacing w:after="0" w:line="154" w:lineRule="exact"/>
        <w:rPr>
          <w:sz w:val="20"/>
          <w:szCs w:val="20"/>
          <w:color w:val="auto"/>
        </w:rPr>
      </w:pPr>
    </w:p>
    <w:p>
      <w:pPr>
        <w:ind w:right="360" w:firstLine="382"/>
        <w:spacing w:after="0" w:line="24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Termination of Employment or Service.</w:t>
      </w:r>
      <w:r>
        <w:rPr>
          <w:rFonts w:ascii="Arial" w:cs="Arial" w:eastAsia="Arial" w:hAnsi="Arial"/>
          <w:sz w:val="18"/>
          <w:szCs w:val="18"/>
          <w:color w:val="auto"/>
        </w:rPr>
        <w:t xml:space="preserve"> Except as otherwise provided in the applicable Award Agreement at or after grant, an Option may be exercised only to the extent that it is then exercisable, and if at all times during the period beginning with the grant date of such Option and ending on the date of exercise of such Option the Participant is and has been an Employee, Non-Employee Director or Consultant.</w:t>
      </w:r>
    </w:p>
    <w:p>
      <w:pPr>
        <w:spacing w:after="0" w:line="174" w:lineRule="exact"/>
        <w:rPr>
          <w:sz w:val="20"/>
          <w:szCs w:val="20"/>
          <w:color w:val="auto"/>
        </w:rPr>
      </w:pPr>
    </w:p>
    <w:p>
      <w:pPr>
        <w:ind w:right="160" w:firstLine="382"/>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Ten Percent Stock Rule.</w:t>
      </w:r>
      <w:r>
        <w:rPr>
          <w:rFonts w:ascii="Arial" w:cs="Arial" w:eastAsia="Arial" w:hAnsi="Arial"/>
          <w:sz w:val="18"/>
          <w:szCs w:val="18"/>
          <w:color w:val="auto"/>
        </w:rPr>
        <w:t xml:space="preserve"> Notwithstanding any other provisions in the Plan, if on a grant date, the optionee owns directly or indirectly (within the meaning of Section 424(d) of the Code) Shares of the Company possessing more than ten percent (10%) of the total combined voting power of all classes of Stock of the Company or its parent or Subsidiary or Affiliate corporations (within the meaning of Section 422(b)(6) of the Code), then any Incentive Stock Option to be granted to such optionee or rights holder pursuant to the Plan shall satisfy the requirement of Section 422(c)(5) of the Code, and the Option Price shall be not less than one hundred ten percent (110%) of the Fair Market Value of the Shares of the Company, and such Option by its terms shall not be exercisable after the expiration of five (5) years from the date such Option is granted.</w:t>
      </w:r>
    </w:p>
    <w:p>
      <w:pPr>
        <w:spacing w:after="0" w:line="185" w:lineRule="exact"/>
        <w:rPr>
          <w:sz w:val="20"/>
          <w:szCs w:val="20"/>
          <w:color w:val="auto"/>
        </w:rPr>
      </w:pPr>
    </w:p>
    <w:p>
      <w:pPr>
        <w:ind w:right="20" w:firstLine="382"/>
        <w:spacing w:after="0" w:line="23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Transferability of Options.</w:t>
      </w:r>
      <w:r>
        <w:rPr>
          <w:rFonts w:ascii="Arial" w:cs="Arial" w:eastAsia="Arial" w:hAnsi="Arial"/>
          <w:sz w:val="18"/>
          <w:szCs w:val="18"/>
          <w:color w:val="auto"/>
        </w:rPr>
        <w:t xml:space="preserve"> Except as provided in this </w:t>
      </w:r>
      <w:r>
        <w:rPr>
          <w:rFonts w:ascii="Arial" w:cs="Arial" w:eastAsia="Arial" w:hAnsi="Arial"/>
          <w:sz w:val="18"/>
          <w:szCs w:val="18"/>
          <w:u w:val="single" w:color="auto"/>
          <w:color w:val="auto"/>
        </w:rPr>
        <w:t>Section 6.7</w:t>
      </w:r>
      <w:r>
        <w:rPr>
          <w:rFonts w:ascii="Arial" w:cs="Arial" w:eastAsia="Arial" w:hAnsi="Arial"/>
          <w:sz w:val="18"/>
          <w:szCs w:val="18"/>
          <w:color w:val="auto"/>
        </w:rPr>
        <w:t>, no Options or SARs shall be transferable otherwise than by will or the laws of descent and distribution or exercisable during the lifetime of the Participant by anyone other than the Participant. An Award Agreement may provide that a Non-Qualified Stock Option or SAR granted to a Participant may be transferred by such Participant to a Permitted Transferee (as defined below), provided that (i) such Non-Qualified Stock Option or SAR shall be fully vested; (ii) there is no consideration for such transfer (other than receipt by the Participant of interest in an entity that is a Permitted Transferee); (iii) the Participant (or such Participant’s estate or representative) shall remain obligated to satisfy all income or other tax withholding obligations associated with the exercise of such Non-Qualified Stock Option or SAR; (iv) the Participant shall notify the Company in writing prior to such transfer and disclose to the Company the name and address of the Permitted Transferee and the relationship of the Permitted Transferee to the Participant; and (v) such transfer shall be effected pursuant to transfer documents in a form approved by the Company. A Permitted Transferee may not further assign or transfer any Non-Qualified Stock Option or SAR otherwise than by will or the laws of descent and distribution. Following the transfer of a Non-Qualified Stock Option or SAR to a Permitted Transferee, such Non-qualified Stock Option or SAR shall continue to be subject to the same terms and conditions that applied to it prior to the transfer by the Participant (including, without limitation, the Plan and the applicable Award Agreement), except that it shall be exercisable by the Permitted Transferee to whom such transfer was made rather than by the transferring Participant. For the purposes of the Plan, the term “Permitted Transferee” means, with respect to a Participant, (i) any child, stepchild, grandchild, parent, stepparent, grandparent, spouse, sibling, mother-in-law, father-in-law, son-in-law, daughter-in-law, brother-in-law or sister-in-law of the Participant, including adoptive relationships, and (ii) a trust, partnership or other entity in which the Participant or the persons described in clause (i) above have more than fifty percent of the beneficial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Shares And Restricted Share Units.</w:t>
      </w:r>
    </w:p>
    <w:p>
      <w:pPr>
        <w:spacing w:after="0" w:line="212" w:lineRule="exact"/>
        <w:rPr>
          <w:sz w:val="20"/>
          <w:szCs w:val="20"/>
          <w:color w:val="auto"/>
        </w:rPr>
      </w:pPr>
    </w:p>
    <w:p>
      <w:pPr>
        <w:ind w:right="140" w:firstLine="382"/>
        <w:spacing w:after="0" w:line="23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w:t>
      </w:r>
      <w:r>
        <w:rPr>
          <w:rFonts w:ascii="Arial" w:cs="Arial" w:eastAsia="Arial" w:hAnsi="Arial"/>
          <w:sz w:val="18"/>
          <w:szCs w:val="18"/>
          <w:color w:val="auto"/>
        </w:rPr>
        <w:t xml:space="preserve"> Restricted Share and Restricted Share Unit Awards shall be evidenced by Award Agreements in such form as the Committee shall from time to time approve, which agreements shall comply with and be subject to the terms and conditions provided hereunder and any additional terms and conditions established by the Committee that are consistent with the terms of the Plan. Subject to </w:t>
      </w:r>
      <w:r>
        <w:rPr>
          <w:rFonts w:ascii="Arial" w:cs="Arial" w:eastAsia="Arial" w:hAnsi="Arial"/>
          <w:sz w:val="18"/>
          <w:szCs w:val="18"/>
          <w:u w:val="single" w:color="auto"/>
          <w:color w:val="auto"/>
        </w:rPr>
        <w:t>Section 4.4</w:t>
      </w:r>
      <w:r>
        <w:rPr>
          <w:rFonts w:ascii="Arial" w:cs="Arial" w:eastAsia="Arial" w:hAnsi="Arial"/>
          <w:sz w:val="18"/>
          <w:szCs w:val="18"/>
          <w:color w:val="auto"/>
        </w:rPr>
        <w:t>, the provisions of Restricted Share and Restricted Share Unit Awards need not be the same with respect to all Participants. The Award Agreement shall set forth a period of time during which the grantee must remain in the continuous employment of the Company in order for the forfeiture and transfer restrictions to lapse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If the Committee so determines, the restrictions may lapse during such Restricted Period in installments with respect to specified portions of the Shares covered by the Restricted Share or Restricted Share Unit Award. The Award Agreement may also, in the discretion of the Committee, set forth performance or other conditions that will subject the Shares to forfeiture and transfer restrictions. The Committee may, at its discretion, waive all or any part of the restrictions applicable to any or all outstanding Restricted Share and Restricted Share Unit Awards.</w:t>
      </w:r>
    </w:p>
    <w:p>
      <w:pPr>
        <w:spacing w:after="0" w:line="180" w:lineRule="exact"/>
        <w:rPr>
          <w:sz w:val="20"/>
          <w:szCs w:val="20"/>
          <w:color w:val="auto"/>
        </w:rPr>
      </w:pPr>
    </w:p>
    <w:p>
      <w:pPr>
        <w:ind w:right="80" w:firstLine="382"/>
        <w:spacing w:after="0" w:line="23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Restricted Shares.</w:t>
      </w:r>
      <w:r>
        <w:rPr>
          <w:rFonts w:ascii="Arial" w:cs="Arial" w:eastAsia="Arial" w:hAnsi="Arial"/>
          <w:sz w:val="18"/>
          <w:szCs w:val="18"/>
          <w:color w:val="auto"/>
        </w:rPr>
        <w:t xml:space="preserve"> At the time of the grant of a Restricted Share Award, a certificate representing the number of Shares awarded thereunder shall be registered in the name of the grantee. Such certificate shall be held by the Company or any custodian appointed by the Company for the account of the grantee subject to the terms and conditions of the Plan, and shall bear such a legend setting forth the restrictions imposed thereon as the Committee, in its discretion, may determine. The foregoing to the contrary notwithstanding, the Committee may, in its discretion, provide that a Participant’s ownership of Restricted Shares prior to the lapse of any transfer restrictions or any other applicable restrictions shall, in lieu of such certificates, be evidenced by a “book entry” (</w:t>
      </w:r>
      <w:r>
        <w:rPr>
          <w:rFonts w:ascii="Arial" w:cs="Arial" w:eastAsia="Arial" w:hAnsi="Arial"/>
          <w:sz w:val="18"/>
          <w:szCs w:val="18"/>
          <w:i w:val="1"/>
          <w:iCs w:val="1"/>
          <w:color w:val="auto"/>
        </w:rPr>
        <w:t>i.e</w:t>
      </w:r>
      <w:r>
        <w:rPr>
          <w:rFonts w:ascii="Arial" w:cs="Arial" w:eastAsia="Arial" w:hAnsi="Arial"/>
          <w:sz w:val="18"/>
          <w:szCs w:val="18"/>
          <w:color w:val="auto"/>
        </w:rPr>
        <w:t>., a computerized or manual entry) in the records of the Company or its designated agent in the name of the Participant who has received such Award, and confirmation and account statements sent to the Participant with respect to such book-entry Shares may bear the restrictive legend referenced in the preceding sentence. Such records of the Company or such agent shall, absent manifest error, be binding on all Participants who receive Restricted Share Awards evidenced in such manner.</w:t>
      </w:r>
    </w:p>
    <w:p>
      <w:pPr>
        <w:spacing w:after="0" w:line="180" w:lineRule="exact"/>
        <w:rPr>
          <w:sz w:val="20"/>
          <w:szCs w:val="20"/>
          <w:color w:val="auto"/>
        </w:rPr>
      </w:pPr>
    </w:p>
    <w:p>
      <w:pPr>
        <w:ind w:right="160" w:firstLine="1018"/>
        <w:spacing w:after="0" w:line="24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Dividends and Other Distributions.</w:t>
      </w:r>
      <w:r>
        <w:rPr>
          <w:rFonts w:ascii="Arial" w:cs="Arial" w:eastAsia="Arial" w:hAnsi="Arial"/>
          <w:sz w:val="18"/>
          <w:szCs w:val="18"/>
          <w:color w:val="auto"/>
        </w:rPr>
        <w:t xml:space="preserve"> Prior to the lapse of any applicable transfer restrictions, Participants holding Restricted Shares shall have the right to receive any cash dividends paid with respect to such Shares while they are so held, unless determined otherwise by the Committee and set forth in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however, that any Shares, cash or any other property distributed as a dividend or otherwise with respect to any Restricted Shares as to which the restrictions have not yet lapsed shall be accumulated or credited, and shall be subject to the same restrictions and risk of forfeiture as such Restricted Shares with respect to which they relate and shall be paid only if and to the extent the underlying Award vests.</w:t>
      </w:r>
    </w:p>
    <w:p>
      <w:pPr>
        <w:spacing w:after="0" w:line="179" w:lineRule="exact"/>
        <w:rPr>
          <w:sz w:val="20"/>
          <w:szCs w:val="20"/>
          <w:color w:val="auto"/>
        </w:rPr>
      </w:pPr>
    </w:p>
    <w:p>
      <w:pPr>
        <w:ind w:firstLine="1018"/>
        <w:spacing w:after="0" w:line="23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Other Rights.</w:t>
      </w:r>
      <w:r>
        <w:rPr>
          <w:rFonts w:ascii="Arial" w:cs="Arial" w:eastAsia="Arial" w:hAnsi="Arial"/>
          <w:sz w:val="18"/>
          <w:szCs w:val="18"/>
          <w:color w:val="auto"/>
        </w:rPr>
        <w:t xml:space="preserve"> Unless otherwise provided in the applicable Award Agreement, the grantee shall have all other rights of a stockholder with respect to the Restricted Shares, including the right to vote such Shares, subject to the following restrictions: (i) the grantee shall not be entitled to delivery of the stock certificate (or other book entry) until the expiration of the Restricted Period and the fulfillment of any other restrictive conditions set forth in the Award Agreement with respect to such Shares; (ii) none of the Shares may be sold, assigned, transferred, pledged, hypothecated or otherwise encumbered or disposed of during such Restricted Period or until after the fulfillment of any such other restrictive conditions; and (iii) except as otherwise determined by the Committee at or after grant, all of the Shares shall be forfeited and all rights of the grantee to such Shares shall terminate, without further obligation on the part of the Company, unless the grantee remains in the continuous employment or service with the Company, a Subsidiary or Affiliate for the entire Restricted Period in relation to which such Shares were granted and unless any other restrictive conditions relating to the Restricted Share Award are met.</w:t>
      </w:r>
    </w:p>
    <w:p>
      <w:pPr>
        <w:spacing w:after="0" w:line="183" w:lineRule="exact"/>
        <w:rPr>
          <w:sz w:val="20"/>
          <w:szCs w:val="20"/>
          <w:color w:val="auto"/>
        </w:rPr>
      </w:pPr>
    </w:p>
    <w:p>
      <w:pPr>
        <w:jc w:val="both"/>
        <w:ind w:right="420" w:firstLine="1018"/>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Termination of Restrictions.</w:t>
      </w:r>
      <w:r>
        <w:rPr>
          <w:rFonts w:ascii="Arial" w:cs="Arial" w:eastAsia="Arial" w:hAnsi="Arial"/>
          <w:sz w:val="18"/>
          <w:szCs w:val="18"/>
          <w:color w:val="auto"/>
        </w:rPr>
        <w:t xml:space="preserve"> At the end of the Restricted Period and provided that any other restrictive conditions of the Restricted Share Award are met, or at such earlier time as otherwise determined by the Committee, all restrictions set forth in the Award Agreement relating to the Restricted Share Award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Plan shall lapse as to the Restricted Shares subject thereto, and a stock certificate for the appropriate number of Shares, free of the restrictions and restricted stock legend, shall be delivered to the Participant or the Participant’s beneficiary or estate, as the case may be (or, in the case of book-entry Shares, such restrictions and restricted stock legend shall be removed from the confirmation and account statements delivered to the Participant or the Participant’s beneficiary or estate, as the case may be, in book-entry form).</w:t>
      </w:r>
    </w:p>
    <w:p>
      <w:pPr>
        <w:spacing w:after="0" w:line="174"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Restricted Share Units.</w:t>
      </w:r>
      <w:r>
        <w:rPr>
          <w:rFonts w:ascii="Arial" w:cs="Arial" w:eastAsia="Arial" w:hAnsi="Arial"/>
          <w:sz w:val="18"/>
          <w:szCs w:val="18"/>
          <w:color w:val="auto"/>
        </w:rPr>
        <w:t xml:space="preserve"> Each Restricted Share Unit shall have a value equal to the Fair Market Value of a Share. Restricted Share Units shall be paid in cash, Shares, other securities or other property, as determined in the sole discretion of the Committee, and subject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upon the lapse of the restrictions applicable thereto, or otherwise in accordance with the applicable Award Agreement. Unless otherwise provided in a Restricted Share Unit Award Agreement, a Participant will not be entitled to receive dividend equivalent rights in respect of Restricted Share Units at the time of any payment of dividends to stockholders on Shares; </w:t>
      </w:r>
      <w:r>
        <w:rPr>
          <w:rFonts w:ascii="Arial" w:cs="Arial" w:eastAsia="Arial" w:hAnsi="Arial"/>
          <w:sz w:val="18"/>
          <w:szCs w:val="18"/>
          <w:i w:val="1"/>
          <w:iCs w:val="1"/>
          <w:color w:val="auto"/>
        </w:rPr>
        <w:t>provided</w:t>
      </w:r>
      <w:r>
        <w:rPr>
          <w:rFonts w:ascii="Arial" w:cs="Arial" w:eastAsia="Arial" w:hAnsi="Arial"/>
          <w:sz w:val="18"/>
          <w:szCs w:val="18"/>
          <w:color w:val="auto"/>
        </w:rPr>
        <w:t>, that in no event shall a Participant receive dividends on unvested Restricted Share Units until such Awards have vested, though such dividends may be accumulated, in cash or as Shares, in each case subject to the same risk of forfeiture and paid concurrently with the vesting or settlement of the underlying Restricted Share Units. Except as otherwise determined by the Committee at or after grant, (i) Restricted Share Units may not be sold, assigned, transferred, pledged, hypothecated or otherwise encumbered or disposed of, and (ii) all Restricted Share Units and all rights of the grantee to such Restricted Share Units and the underlying Shares shall terminate, without further obligation on the part of the Company, unless the grantee remains in continuous service or employment of the Company, a Subsidiary or an Affiliate for the entire Restricted Period in relation to which such Restricted Share Units were granted and unless any other restrictive conditions relating to the Restricted Share Unit Award are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Performance Awards.</w:t>
      </w:r>
    </w:p>
    <w:p>
      <w:pPr>
        <w:spacing w:after="0" w:line="212" w:lineRule="exact"/>
        <w:rPr>
          <w:sz w:val="20"/>
          <w:szCs w:val="20"/>
          <w:color w:val="auto"/>
        </w:rPr>
      </w:pPr>
    </w:p>
    <w:p>
      <w:pPr>
        <w:ind w:right="100" w:firstLine="382"/>
        <w:spacing w:after="0" w:line="24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w:t>
      </w:r>
      <w:r>
        <w:rPr>
          <w:rFonts w:ascii="Arial" w:cs="Arial" w:eastAsia="Arial" w:hAnsi="Arial"/>
          <w:sz w:val="18"/>
          <w:szCs w:val="18"/>
          <w:color w:val="auto"/>
        </w:rPr>
        <w:t xml:space="preserve"> The provisions of Performance Awards need not be the same with respect to all Participants. A Performance Award may consist of a right that is (i) denominated in cash or Shares (including but not limited to Restricted Shares or Restricted Share Units), (ii) valued, as determined by the Committee, in accordance with the achievement of such performance goals during such Performance Periods as the Committee shall establish, and (iii) payable at such time and in such form (including in cash, Shares, other securities, other property, or any combination thereof, as determined in the sole discretion of the Committee) as the Committee shall determine.</w:t>
      </w:r>
    </w:p>
    <w:p>
      <w:pPr>
        <w:spacing w:after="0" w:line="176"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Terms and Conditions.</w:t>
      </w:r>
      <w:r>
        <w:rPr>
          <w:rFonts w:ascii="Arial" w:cs="Arial" w:eastAsia="Arial" w:hAnsi="Arial"/>
          <w:sz w:val="18"/>
          <w:szCs w:val="18"/>
          <w:color w:val="auto"/>
        </w:rPr>
        <w:t xml:space="preserve"> Subject to the terms of the Plan (including </w:t>
      </w:r>
      <w:r>
        <w:rPr>
          <w:rFonts w:ascii="Arial" w:cs="Arial" w:eastAsia="Arial" w:hAnsi="Arial"/>
          <w:sz w:val="18"/>
          <w:szCs w:val="18"/>
          <w:u w:val="single" w:color="auto"/>
          <w:color w:val="auto"/>
        </w:rPr>
        <w:t>Section 4.4</w:t>
      </w:r>
      <w:r>
        <w:rPr>
          <w:rFonts w:ascii="Arial" w:cs="Arial" w:eastAsia="Arial" w:hAnsi="Arial"/>
          <w:sz w:val="18"/>
          <w:szCs w:val="18"/>
          <w:color w:val="auto"/>
        </w:rPr>
        <w:t>)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The Committee may amend specific provisions of the Performance Award consistent with the terms of the Plan. In the event the Committee provides for dividends or dividend equivalents to be payable with respect to any Performance Awards denominated in Shares, any Shares, cash or any other property distributable as a dividend or otherwise with respect to such Performance Awards as to which the restrictions have not yet lapsed (and/or performance goals have not been satisfied) shall be accumulated or credited, and shall be subject to the same restrictions and risk of forfeiture as such Performance Awards and shall not be paid until and unless the underlying Performance Awards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firstLine="382"/>
        <w:spacing w:after="0" w:line="24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Payment of Performance Awards.</w:t>
      </w:r>
      <w:r>
        <w:rPr>
          <w:rFonts w:ascii="Arial" w:cs="Arial" w:eastAsia="Arial" w:hAnsi="Arial"/>
          <w:sz w:val="18"/>
          <w:szCs w:val="18"/>
          <w:color w:val="auto"/>
        </w:rPr>
        <w:t xml:space="preserve"> Performance Awards may be settled in cash, Shares, other securities, other property, or any combination thereof, as determined by the Committee in its sole discretion, and may be paid in a lump sum or in installments following the close of the Performance Period or, in accordance with the procedures established by the Committee, on a deferred basis. A Participant’s rights to any Performance Award may not be sold, assigned, transferred, pledged, hypothecated or otherwise encumbered or disposed of in any manner, except by will or the laws of descent and distribution, and/or except as the Committee may determine at or after grant.</w:t>
      </w:r>
    </w:p>
    <w:p>
      <w:pPr>
        <w:spacing w:after="0" w:line="176" w:lineRule="exact"/>
        <w:rPr>
          <w:sz w:val="20"/>
          <w:szCs w:val="20"/>
          <w:color w:val="auto"/>
        </w:rPr>
      </w:pPr>
    </w:p>
    <w:p>
      <w:pPr>
        <w:ind w:right="40" w:firstLine="382"/>
        <w:spacing w:after="0" w:line="24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Termination of Employment or Service.</w:t>
      </w:r>
      <w:r>
        <w:rPr>
          <w:rFonts w:ascii="Arial" w:cs="Arial" w:eastAsia="Arial" w:hAnsi="Arial"/>
          <w:sz w:val="18"/>
          <w:szCs w:val="18"/>
          <w:color w:val="auto"/>
        </w:rPr>
        <w:t xml:space="preserve"> Except as otherwise provided in the applicable Award Agreement at or after grant, if during a Performance Period a Participant’s employment or service with the Company, a Subsidiary, or an Affiliate terminates, then such Participant shall not be entitled to any payment with respect to the Performance Awards relating to such Performance Period. Such provisions shall be determined in the sole discretion of the Committee, not need be uniform among all such Awards issued pursuant to the Plan, and may reflect distinctions based on the reasons for the termination of employment.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Other Stock-Based Awards.</w:t>
      </w:r>
    </w:p>
    <w:p>
      <w:pPr>
        <w:spacing w:after="0" w:line="212"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 xml:space="preserve">The Committee shall have the authority to determine the Participants who shall receive an Other Stock-Based Award, which may consist of any right that is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(including </w:t>
      </w:r>
      <w:r>
        <w:rPr>
          <w:rFonts w:ascii="Arial" w:cs="Arial" w:eastAsia="Arial" w:hAnsi="Arial"/>
          <w:sz w:val="18"/>
          <w:szCs w:val="18"/>
          <w:u w:val="single" w:color="auto"/>
          <w:color w:val="auto"/>
        </w:rPr>
        <w:t>Section 4.4</w:t>
      </w:r>
      <w:r>
        <w:rPr>
          <w:rFonts w:ascii="Arial" w:cs="Arial" w:eastAsia="Arial" w:hAnsi="Arial"/>
          <w:sz w:val="18"/>
          <w:szCs w:val="18"/>
          <w:color w:val="auto"/>
        </w:rPr>
        <w:t>) and any applicable Award Agreement, the Committee shall determine the terms and conditions of any such Other Stock-Based Award; provided that in the event the Committee provides for dividends or dividend equivalents to be payable with respect to any Other Stock-Based Awards denominated in Shares, any Shares, cash or any other property distributed as a dividend or otherwise with respect to such Other Stock-Based Awards as to which the restrictions have not yet lapsed (and/or performance goals have not been satisfied) shall be accumulated or credited, and shall be subject to the same restrictions and risk of forfeiture as such Other Stock-Based Awards and shall not be paid until and unless the underlying Other Stock-Based Awards vest.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Non-Employee Director Awards.</w:t>
      </w:r>
    </w:p>
    <w:p>
      <w:pPr>
        <w:spacing w:after="0" w:line="212" w:lineRule="exact"/>
        <w:rPr>
          <w:sz w:val="20"/>
          <w:szCs w:val="20"/>
          <w:color w:val="auto"/>
        </w:rPr>
      </w:pPr>
    </w:p>
    <w:p>
      <w:pPr>
        <w:ind w:right="120" w:firstLine="382"/>
        <w:spacing w:after="0" w:line="24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Awards.</w:t>
      </w:r>
      <w:r>
        <w:rPr>
          <w:rFonts w:ascii="Arial" w:cs="Arial" w:eastAsia="Arial" w:hAnsi="Arial"/>
          <w:sz w:val="18"/>
          <w:szCs w:val="18"/>
          <w:color w:val="auto"/>
        </w:rPr>
        <w:t xml:space="preserve"> The Board may provide that all or a portion of a Non-Employee Director’s annual retainer, meeting fees and/or other awards or compensation as determined by the Board, be payable (either automatically or at the election of a Non-Employee Director) in the form of Non-Qualified Stock Options, Restricted Shares, Restricted Share Units and/or Other Stock-Based Awards, including unrestricted Shares (subject to </w:t>
      </w:r>
      <w:r>
        <w:rPr>
          <w:rFonts w:ascii="Arial" w:cs="Arial" w:eastAsia="Arial" w:hAnsi="Arial"/>
          <w:sz w:val="18"/>
          <w:szCs w:val="18"/>
          <w:u w:val="single" w:color="auto"/>
          <w:color w:val="auto"/>
        </w:rPr>
        <w:t>Section 4.4</w:t>
      </w:r>
      <w:r>
        <w:rPr>
          <w:rFonts w:ascii="Arial" w:cs="Arial" w:eastAsia="Arial" w:hAnsi="Arial"/>
          <w:sz w:val="18"/>
          <w:szCs w:val="18"/>
          <w:color w:val="auto"/>
        </w:rPr>
        <w:t>). The Board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 the Plan and applicable law.</w:t>
      </w:r>
    </w:p>
    <w:p>
      <w:pPr>
        <w:spacing w:after="0" w:line="179" w:lineRule="exact"/>
        <w:rPr>
          <w:sz w:val="20"/>
          <w:szCs w:val="20"/>
          <w:color w:val="auto"/>
        </w:rPr>
      </w:pPr>
    </w:p>
    <w:p>
      <w:pPr>
        <w:ind w:right="120" w:firstLine="382"/>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Applicable Limits</w:t>
      </w:r>
      <w:r>
        <w:rPr>
          <w:rFonts w:ascii="Arial" w:cs="Arial" w:eastAsia="Arial" w:hAnsi="Arial"/>
          <w:sz w:val="18"/>
          <w:szCs w:val="18"/>
          <w:color w:val="auto"/>
        </w:rPr>
        <w:t xml:space="preserve">. Notwithstanding anything herein to the contrary, the aggregate value of all compensation paid or granted, as applicable, to any individual for service as a Non-Employee Director with respect to any calendar year, including equity Awards granted and cash fees paid by the Company to such Non-Employee Director, shall not exceed five hundred thousand dollars ($ 500,000) in value, calculating the value of any equity Awards granted during such calendar year based on the grant date fair value of such Awards for financial reporting purposes. The Board may make exceptions to the applicable limit in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Provisions Applicable Performance Awards.</w:t>
      </w:r>
    </w:p>
    <w:p>
      <w:pPr>
        <w:spacing w:after="0" w:line="212"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The Committee may grant Performance Awards based upon the attainment of performance targets related to one or more performance goals selected by the Committee from among the goals specified below, or related to any other performance goals as the Committee shall select, in its sole discretion. Performance goals may include one or more of the following Company, Subsidiary, operating unit, business segment or division financial performance measures: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earnings before interest, taxes, depreciation and/or amortization;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operating income or profit;</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   operating efficiencies;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   return on equity, assets, capital, capital employed or investment;</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   net income;</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   earnings per share;</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   utilization;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   gross profit;</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   stock price or total stockholder return;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   customer growth;</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   debt reduction;</w:t>
      </w:r>
    </w:p>
    <w:p>
      <w:pPr>
        <w:spacing w:after="0" w:line="212" w:lineRule="exact"/>
        <w:rPr>
          <w:sz w:val="20"/>
          <w:szCs w:val="20"/>
          <w:color w:val="auto"/>
        </w:rPr>
      </w:pPr>
    </w:p>
    <w:p>
      <w:pPr>
        <w:ind w:right="340" w:firstLine="374"/>
        <w:spacing w:after="0" w:line="271" w:lineRule="auto"/>
        <w:rPr>
          <w:sz w:val="20"/>
          <w:szCs w:val="20"/>
          <w:color w:val="auto"/>
        </w:rPr>
      </w:pPr>
      <w:r>
        <w:rPr>
          <w:rFonts w:ascii="Arial" w:cs="Arial" w:eastAsia="Arial" w:hAnsi="Arial"/>
          <w:sz w:val="18"/>
          <w:szCs w:val="18"/>
          <w:color w:val="auto"/>
        </w:rPr>
        <w:t>(l)  strategic business objectives, consisting of one or more objectives based on meeting specified cost targets, business expansion goals and goals relating to acquisitions or divestitures; or</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   any combination thereof.</w:t>
      </w:r>
    </w:p>
    <w:p>
      <w:pPr>
        <w:spacing w:after="0" w:line="212" w:lineRule="exact"/>
        <w:rPr>
          <w:sz w:val="20"/>
          <w:szCs w:val="20"/>
          <w:color w:val="auto"/>
        </w:rPr>
      </w:pPr>
    </w:p>
    <w:p>
      <w:pPr>
        <w:ind w:right="100" w:firstLine="374"/>
        <w:spacing w:after="0" w:line="237" w:lineRule="auto"/>
        <w:rPr>
          <w:sz w:val="20"/>
          <w:szCs w:val="20"/>
          <w:color w:val="auto"/>
        </w:rPr>
      </w:pPr>
      <w:r>
        <w:rPr>
          <w:rFonts w:ascii="Arial" w:cs="Arial" w:eastAsia="Arial" w:hAnsi="Arial"/>
          <w:sz w:val="18"/>
          <w:szCs w:val="18"/>
          <w:color w:val="auto"/>
        </w:rPr>
        <w:t xml:space="preserve">Each goal may be expressed on an absolute and/or relative basis, may be expressed to take into account the Company’s or business segment’s cost of capital,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stockholders’ equity and/or Shares outstanding, or to assets or net assets. The Committee may provide for the adjustment of any evaluation of performance, including making adjustments to the performance targets, under criteria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to exclude events that occur during a Performance Period, including but not limited to: (i) asset write-downs, (ii) litigation or claim judgments or settlements, (iii) the effect of changes in tax law, accounting principles or other such laws or provisions affecting reported results, (iv) accruals for reorganization and restructuring programs,</w:t>
      </w:r>
    </w:p>
    <w:p>
      <w:pPr>
        <w:spacing w:after="0" w:line="3" w:lineRule="exact"/>
        <w:rPr>
          <w:sz w:val="20"/>
          <w:szCs w:val="20"/>
          <w:color w:val="auto"/>
        </w:rPr>
      </w:pPr>
    </w:p>
    <w:p>
      <w:pPr>
        <w:ind w:firstLine="8"/>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items that are unusual in nature or infrequently occurring within the meaning of generally accepted account principles or other extraordinary items that are included in in management’s discussion and analysis of financial condition and results of operations appearing in the Company’s annual report to stockholders for the applicable year, or (vi) any event either not directly related to the operations of the Company or not within the reasonable control of the Company’s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Termination Of Employment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firstLine="382"/>
        <w:spacing w:after="0" w:line="239" w:lineRule="auto"/>
        <w:rPr>
          <w:sz w:val="20"/>
          <w:szCs w:val="20"/>
          <w:color w:val="auto"/>
        </w:rPr>
      </w:pPr>
      <w:r>
        <w:rPr>
          <w:rFonts w:ascii="Arial" w:cs="Arial" w:eastAsia="Arial" w:hAnsi="Arial"/>
          <w:sz w:val="18"/>
          <w:szCs w:val="18"/>
          <w:color w:val="auto"/>
        </w:rPr>
        <w:t>The Committee shall have the full power and authority to determine the terms and conditions that shall apply to any Award upon a termination of employment or service with the Company, its Subsidiaries and Affiliates, including a termination by the Company with or without Cause, by a Participant voluntarily, or by reason of death, Disability or Retirement, and may provide such terms and conditions in the Award Agreement or in such rules and regulations as it may prescribe. For purposes of the Plan, unless the Committee determines otherwise, a transfer of a Participant’s employment or other service-providing capacity (including to service on the Board) without an intervening period of separation of service from the Company and any Affiliate or Subsidiary shall not be deemed a termination of employment or service. The Committee has discretion to determine that vesting of an Award will continue while a Participant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Such terms and conditions need not be the same with respect to all Awards or all Participants.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Change In Control.</w:t>
      </w:r>
    </w:p>
    <w:p>
      <w:pPr>
        <w:spacing w:after="0" w:line="212"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Assumed Awards.</w:t>
      </w:r>
      <w:r>
        <w:rPr>
          <w:rFonts w:ascii="Arial" w:cs="Arial" w:eastAsia="Arial" w:hAnsi="Arial"/>
          <w:sz w:val="18"/>
          <w:szCs w:val="18"/>
          <w:color w:val="auto"/>
        </w:rPr>
        <w:t xml:space="preserve"> Except as otherwise provided by the Committee at or after grant, no cancellation, acceleration of exercisability, vesting, cash settlement or other payment shall occur with respect to any Option, SAR, Restricted Share, Restricted Share Unit, Performance Award and/or Other Stock-Based Award if the Committee reasonably determines prior to the occurrence of a Change in Control that such Option, SAR, Restricted Share, Restricted Share Unit, Performance Award and/or Other Stock-Based Award shall be honored or assumed, or new rights substituted therefor (such honored, assumed or substituted award hereinafter called an “</w:t>
      </w:r>
      <w:r>
        <w:rPr>
          <w:rFonts w:ascii="Arial" w:cs="Arial" w:eastAsia="Arial" w:hAnsi="Arial"/>
          <w:sz w:val="18"/>
          <w:szCs w:val="18"/>
          <w:u w:val="single" w:color="auto"/>
          <w:color w:val="auto"/>
        </w:rPr>
        <w:t>Assumed Award</w:t>
      </w:r>
      <w:r>
        <w:rPr>
          <w:rFonts w:ascii="Arial" w:cs="Arial" w:eastAsia="Arial" w:hAnsi="Arial"/>
          <w:sz w:val="18"/>
          <w:szCs w:val="18"/>
          <w:color w:val="auto"/>
        </w:rPr>
        <w:t>”), by a Participant’s employer (or the parent or an affiliate of such employer) immediately following the Change in Control; provided that any such Assumed Award must: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be based on stock that is traded on an established securities market;</w:t>
      </w:r>
    </w:p>
    <w:p>
      <w:pPr>
        <w:spacing w:after="0" w:line="212" w:lineRule="exact"/>
        <w:rPr>
          <w:sz w:val="20"/>
          <w:szCs w:val="20"/>
          <w:color w:val="auto"/>
        </w:rPr>
      </w:pPr>
    </w:p>
    <w:p>
      <w:pPr>
        <w:ind w:right="340" w:firstLine="1018"/>
        <w:spacing w:after="0" w:line="253" w:lineRule="auto"/>
        <w:rPr>
          <w:sz w:val="20"/>
          <w:szCs w:val="20"/>
          <w:color w:val="auto"/>
        </w:rPr>
      </w:pPr>
      <w:r>
        <w:rPr>
          <w:rFonts w:ascii="Arial" w:cs="Arial" w:eastAsia="Arial" w:hAnsi="Arial"/>
          <w:sz w:val="18"/>
          <w:szCs w:val="18"/>
          <w:color w:val="auto"/>
        </w:rPr>
        <w:t xml:space="preserve">(b)  provide such Participant with rights and entitlements substantially equivalent to or better than the rights, terms and conditions applicable under such Option, SAR, Restricted Share, Restricted Share Unit, Performance Award (after applying </w:t>
      </w:r>
      <w:r>
        <w:rPr>
          <w:rFonts w:ascii="Arial" w:cs="Arial" w:eastAsia="Arial" w:hAnsi="Arial"/>
          <w:sz w:val="18"/>
          <w:szCs w:val="18"/>
          <w:u w:val="single" w:color="auto"/>
          <w:color w:val="auto"/>
        </w:rPr>
        <w:t>Section 13.3</w:t>
      </w:r>
      <w:r>
        <w:rPr>
          <w:rFonts w:ascii="Arial" w:cs="Arial" w:eastAsia="Arial" w:hAnsi="Arial"/>
          <w:sz w:val="18"/>
          <w:szCs w:val="18"/>
          <w:color w:val="auto"/>
        </w:rPr>
        <w:t>) and/or Other Stock-Based Award, including, but not limited to, an identical or better exercise or vesting schedule;</w:t>
      </w:r>
    </w:p>
    <w:p>
      <w:pPr>
        <w:spacing w:after="0" w:line="169" w:lineRule="exact"/>
        <w:rPr>
          <w:sz w:val="20"/>
          <w:szCs w:val="20"/>
          <w:color w:val="auto"/>
        </w:rPr>
      </w:pPr>
    </w:p>
    <w:p>
      <w:pPr>
        <w:ind w:right="420" w:firstLine="1018"/>
        <w:spacing w:after="0" w:line="271" w:lineRule="auto"/>
        <w:rPr>
          <w:sz w:val="20"/>
          <w:szCs w:val="20"/>
          <w:color w:val="auto"/>
        </w:rPr>
      </w:pPr>
      <w:r>
        <w:rPr>
          <w:rFonts w:ascii="Arial" w:cs="Arial" w:eastAsia="Arial" w:hAnsi="Arial"/>
          <w:sz w:val="18"/>
          <w:szCs w:val="18"/>
          <w:color w:val="auto"/>
        </w:rPr>
        <w:t>(c)  have substantially equivalent value to such Option, SAR, Restricted Share, Restricted Share Unit, Performance Award and/or Other Stock-Based Award (determined at the time of the Change in Control); and</w:t>
      </w:r>
    </w:p>
    <w:p>
      <w:pPr>
        <w:spacing w:after="0" w:line="154" w:lineRule="exact"/>
        <w:rPr>
          <w:sz w:val="20"/>
          <w:szCs w:val="20"/>
          <w:color w:val="auto"/>
        </w:rPr>
      </w:pPr>
    </w:p>
    <w:p>
      <w:pPr>
        <w:ind w:right="20" w:firstLine="1018"/>
        <w:spacing w:after="0" w:line="239" w:lineRule="auto"/>
        <w:rPr>
          <w:sz w:val="20"/>
          <w:szCs w:val="20"/>
          <w:color w:val="auto"/>
        </w:rPr>
      </w:pPr>
      <w:r>
        <w:rPr>
          <w:rFonts w:ascii="Arial" w:cs="Arial" w:eastAsia="Arial" w:hAnsi="Arial"/>
          <w:sz w:val="18"/>
          <w:szCs w:val="18"/>
          <w:color w:val="auto"/>
        </w:rPr>
        <w:t>(d)  have terms and conditions which provide that in the event that within twenty-four months following the Change in Control, the Participant’s employment is involuntarily terminated for any reason other than for Cause, or if the Participant terminates his or her employment for Good Reason, all of such Participant’s Options, SARs, Restricted Shares, Restricted Share Units, Performance Awards and/or Other Stock-Based Award shall be deemed immediately and fully exercisable and/or all restrictions shall lapse, and shall be settled for a payment per each share of stock subject to the Assumed Award in cash, in immediately transferable, publicly traded securities, or in a combination thereof, in an amount equal to (i) the Fair Market Value of such stock on the date of the Participant’s termination (with respect to any Restricted Shares, Restricted Share Units, earned Performance Awards and/or Other Stock-Based Awards (if applicable)), or (ii) the excess of the Fair Market Value of such stock on the date of the Participant’s termination over the corresponding exercise or base price per share, if any (with respect to any Option, SARs and/or Other Stock-Based Award (if applicable)).</w:t>
      </w:r>
    </w:p>
    <w:p>
      <w:pPr>
        <w:spacing w:after="0" w:line="183" w:lineRule="exact"/>
        <w:rPr>
          <w:sz w:val="20"/>
          <w:szCs w:val="20"/>
          <w:color w:val="auto"/>
        </w:rPr>
      </w:pPr>
    </w:p>
    <w:p>
      <w:pPr>
        <w:ind w:right="100" w:firstLine="374"/>
        <w:spacing w:after="0" w:line="24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Awards not Assumed.</w:t>
      </w:r>
      <w:r>
        <w:rPr>
          <w:rFonts w:ascii="Arial" w:cs="Arial" w:eastAsia="Arial" w:hAnsi="Arial"/>
          <w:sz w:val="18"/>
          <w:szCs w:val="18"/>
          <w:color w:val="auto"/>
        </w:rPr>
        <w:t xml:space="preserve"> In the event an Award does not constitute an Assumed Award in connection with a Change in Control as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 in the event of a Change in Control, each Option and SAR then outstanding shall be fully exercisable regardless of the exercise schedule otherwise applicable to such Option and/or SAR, and the Restricted Period shall lapse as to each Restricted Share, Restricted Share Unit and Other Stock-Based Award then outstanding. In connection with such a Change in Control, the Committee may,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discretion, either by the terms of the Award Agreement applicable to any Award or by resolution adopted prior to the occurrence of the Change in Control, provide that each Option, SAR, Restricted Share, Restricted Share Unit and/or Other Stock-Based Award shall, upon the occurrence of such Change in Control, be cancelled in exchange for a payment per share/unit in an amount based on Fair Market Value of the Award with reference to the Change in Control, which amount may be zero (0) if applicable.</w:t>
      </w:r>
    </w:p>
    <w:p>
      <w:pPr>
        <w:spacing w:after="0" w:line="174"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Performance Awards.</w:t>
      </w:r>
      <w:r>
        <w:rPr>
          <w:rFonts w:ascii="Arial" w:cs="Arial" w:eastAsia="Arial" w:hAnsi="Arial"/>
          <w:sz w:val="18"/>
          <w:szCs w:val="18"/>
          <w:color w:val="auto"/>
        </w:rPr>
        <w:t xml:space="preserve"> Unless otherwise provided in an Award Agreement or other documents governing a Performance Award, in the event of a Change in Control, (a) any outstanding Performance Awards relating to Performance Periods ending prior to the Change in Control which have been earned but not paid shall become immediately payable, (b) all then-in-progress Performance Periods for Performance Awards that are outstanding shall end, and all Participants shall be deemed to have earned an award based on actual performance during the shortened performance period or a pro rata amount of the target award opportunity based on the number of months that have elapsed during the Performance Period in question, and (c) such Performance Award shall convert into a time-based vesting Award for such earned portion that shall be subject to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13.2</w:t>
      </w:r>
      <w:r>
        <w:rPr>
          <w:rFonts w:ascii="Arial" w:cs="Arial" w:eastAsia="Arial" w:hAnsi="Arial"/>
          <w:sz w:val="18"/>
          <w:szCs w:val="18"/>
          <w:color w:val="auto"/>
        </w:rPr>
        <w:t xml:space="preserve"> as applicable.</w:t>
      </w:r>
    </w:p>
    <w:p>
      <w:pPr>
        <w:spacing w:after="0" w:line="185" w:lineRule="exact"/>
        <w:rPr>
          <w:sz w:val="20"/>
          <w:szCs w:val="20"/>
          <w:color w:val="auto"/>
        </w:rPr>
      </w:pPr>
    </w:p>
    <w:p>
      <w:pPr>
        <w:ind w:right="60" w:firstLine="374"/>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i w:val="1"/>
          <w:iCs w:val="1"/>
          <w:color w:val="auto"/>
        </w:rPr>
        <w:t>No Implied Rights; Other Limitations</w:t>
      </w:r>
      <w:r>
        <w:rPr>
          <w:rFonts w:ascii="Arial" w:cs="Arial" w:eastAsia="Arial" w:hAnsi="Arial"/>
          <w:sz w:val="18"/>
          <w:szCs w:val="18"/>
          <w:color w:val="auto"/>
        </w:rPr>
        <w:t xml:space="preserve">. No Participant shall have any right to prevent the consummation of any of the acts described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affecting the number of Shares available to, or other entitlement of, such Participant under the Plan or such Participant’s Award. Any actions or determinations of the Committee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need not be uniform as to all outstanding Awards, nor treat all Participants identically. Notwithstanding the adjustments described in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any changes to Incentive Stock Options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unless the Committee determines otherwise, only be effective to the extent such adjustments or changes do not cause a “modification” (within the meaning of Section 424(h)(3) of the Code) of such Incentive Stock Options or otherwise adversely affect the tax status of such Incentive Stock Options.</w:t>
      </w:r>
    </w:p>
    <w:p>
      <w:pPr>
        <w:spacing w:after="0" w:line="185" w:lineRule="exact"/>
        <w:rPr>
          <w:sz w:val="20"/>
          <w:szCs w:val="20"/>
          <w:color w:val="auto"/>
        </w:rPr>
      </w:pPr>
    </w:p>
    <w:p>
      <w:pPr>
        <w:ind w:right="60" w:firstLine="374"/>
        <w:spacing w:after="0" w:line="247"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i w:val="1"/>
          <w:iCs w:val="1"/>
          <w:color w:val="auto"/>
        </w:rPr>
        <w:t>Termination, Amendment, and Modifications of Change in Control Provisions</w:t>
      </w:r>
      <w:r>
        <w:rPr>
          <w:rFonts w:ascii="Arial" w:cs="Arial" w:eastAsia="Arial" w:hAnsi="Arial"/>
          <w:sz w:val="18"/>
          <w:szCs w:val="18"/>
          <w:color w:val="auto"/>
        </w:rPr>
        <w:t xml:space="preserve">. Notwithstanding any other provision of the Plan or any Award Agreement provision, 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may not be terminated, amended, or modified on or after the date of a Change in Control to materially impair any Participant’s Award theretofore granted and then outstanding under the Plan without the prior written consent of such Participant.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Amendment And Termination.</w:t>
      </w:r>
    </w:p>
    <w:p>
      <w:pPr>
        <w:spacing w:after="0" w:line="212" w:lineRule="exact"/>
        <w:rPr>
          <w:sz w:val="20"/>
          <w:szCs w:val="20"/>
          <w:color w:val="auto"/>
        </w:rPr>
      </w:pPr>
    </w:p>
    <w:p>
      <w:pPr>
        <w:ind w:right="80" w:firstLine="382"/>
        <w:spacing w:after="0" w:line="24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Amendments to the Plan.</w:t>
      </w:r>
      <w:r>
        <w:rPr>
          <w:rFonts w:ascii="Arial" w:cs="Arial" w:eastAsia="Arial" w:hAnsi="Arial"/>
          <w:sz w:val="18"/>
          <w:szCs w:val="18"/>
          <w:color w:val="auto"/>
        </w:rPr>
        <w:t xml:space="preserve"> The Board may amend, alter, suspend, discontinue or terminate the Plan or any portion thereof at any time; provided that no such amendment, alteration, suspension, discontinuation or termination shall be made without stockholder approval if such approval is necessary to comply with any tax or regulatory requirement for which or with which the Board deems it necessary or desirable to comply.</w:t>
      </w:r>
    </w:p>
    <w:p>
      <w:pPr>
        <w:spacing w:after="0" w:line="174" w:lineRule="exact"/>
        <w:rPr>
          <w:sz w:val="20"/>
          <w:szCs w:val="20"/>
          <w:color w:val="auto"/>
        </w:rPr>
      </w:pPr>
    </w:p>
    <w:p>
      <w:pPr>
        <w:ind w:right="180" w:firstLine="382"/>
        <w:spacing w:after="0" w:line="24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Amendments to Awards.</w:t>
      </w:r>
      <w:r>
        <w:rPr>
          <w:rFonts w:ascii="Arial" w:cs="Arial" w:eastAsia="Arial" w:hAnsi="Arial"/>
          <w:sz w:val="18"/>
          <w:szCs w:val="18"/>
          <w:color w:val="auto"/>
        </w:rPr>
        <w:t xml:space="preserve"> Subject to the restrictions and shareholder approval requirements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the Committee may waive any conditions or rights under, amend any terms of or alter, suspend, discontinue, cancel or terminate, any Award theretofore granted, prospectively or retroactively; provided that any such waiver, amendment, alteration, suspension, discontinuance, cancellation or termination that would materially and adversely affect the rights of any Participant or any holder or beneficiary of any Award theretofore granted shall require the consent of the affected Participant, holder or beneficiary.</w:t>
      </w:r>
    </w:p>
    <w:p>
      <w:pPr>
        <w:spacing w:after="0" w:line="176"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Cancellation and Rescission of Awards.</w:t>
      </w:r>
      <w:r>
        <w:rPr>
          <w:rFonts w:ascii="Arial" w:cs="Arial" w:eastAsia="Arial" w:hAnsi="Arial"/>
          <w:sz w:val="18"/>
          <w:szCs w:val="18"/>
          <w:color w:val="auto"/>
        </w:rPr>
        <w:t xml:space="preserve"> The Board or the Committee may cancel, rescind, suspend, withhold or otherwise limit or restrict any unexpired, unpaid, or deferred Awards of an officer at any time if (a) the Board, or an appropriate committee thereof has determined that any fraud, negligence, or intentional misconduct was a significant contributing factor to the Company having to restate all or a portion of its financial statement(s), (b) the Participant engaged in any fraud or misconduct that caused or contributed to the need for the restatement, and (c) the amount of compensation that would have been paid or payable to the Participant pursuant to the Award had the financial results been properly reported would have been lower than the amount actually 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 xml:space="preserve">payable. A Participant shall be liable to the Company for the reimbursement of any bonus or incentive compensation paid to the Participant, and for gains realized on the exercise of stock options or SARs, under the circumstances described in (a) to (c) of this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154" w:lineRule="exact"/>
        <w:rPr>
          <w:sz w:val="20"/>
          <w:szCs w:val="20"/>
          <w:color w:val="auto"/>
        </w:rPr>
      </w:pPr>
    </w:p>
    <w:p>
      <w:pPr>
        <w:ind w:right="20" w:firstLine="382"/>
        <w:spacing w:after="0" w:line="242" w:lineRule="auto"/>
        <w:rPr>
          <w:sz w:val="20"/>
          <w:szCs w:val="20"/>
          <w:color w:val="auto"/>
        </w:rPr>
      </w:pPr>
      <w:r>
        <w:rPr>
          <w:rFonts w:ascii="Arial" w:cs="Arial" w:eastAsia="Arial" w:hAnsi="Arial"/>
          <w:sz w:val="18"/>
          <w:szCs w:val="18"/>
          <w:color w:val="auto"/>
        </w:rPr>
        <w:t>In addition, any Award granted pursuant to this Plan shall be subject to mandatory repayment by the Participant to the Company (i) to the extent set forth in any Award Agreement, (ii) to the extent that such Participant is, or in the future becomes, subject to (a)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General Provisions.</w:t>
      </w:r>
    </w:p>
    <w:p>
      <w:pPr>
        <w:spacing w:after="0" w:line="212"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Limited Transferability of Awards.</w:t>
      </w:r>
      <w:r>
        <w:rPr>
          <w:rFonts w:ascii="Arial" w:cs="Arial" w:eastAsia="Arial" w:hAnsi="Arial"/>
          <w:sz w:val="18"/>
          <w:szCs w:val="18"/>
          <w:color w:val="auto"/>
        </w:rPr>
        <w:t xml:space="preserve"> Except as otherwise provided in the Plan or in an Award Agreement at or after grant, no Award shall be assigned, alienated, pledged, attached, sold or otherwise transferred or encumbered by a Participant, except by will or the laws of descent and distribution; provided, that in no event shall any transfer for value be permitted. No transfer of an Award by will or by laws of descent and distribution shall be effective to bind the Company unless the Company shall have been furnished with written notice thereof and an authenticated copy of the will and/or such other evidence as the Committee may deem necessary or appropriate to establish the validity of the transfer.</w:t>
      </w:r>
    </w:p>
    <w:p>
      <w:pPr>
        <w:spacing w:after="0" w:line="179"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Dividend Equivalents.</w:t>
      </w:r>
      <w:r>
        <w:rPr>
          <w:rFonts w:ascii="Arial" w:cs="Arial" w:eastAsia="Arial" w:hAnsi="Arial"/>
          <w:sz w:val="18"/>
          <w:szCs w:val="18"/>
          <w:color w:val="auto"/>
        </w:rPr>
        <w:t xml:space="preserve"> Except as otherwise provided in the Plan, an Award may provide the Participant with dividends or dividend equivalents, payable in cash, Shares, other securities or other property. In the event the Committee provides for dividends or dividend equivalents to be payable with respect to any Awards denominated in Shares, any Shares, cash or any other property distributable as a dividend or otherwise with respect to such Awards as to which the restrictions have not yet lapsed (and/or performance goals have not been satisfied) shall be accumulated or credited, and shall be subject to the same restrictions and risk of forfeiture as such Awards with respect to which they relate and shall not be paid unless and only to the extent the underlying Awards vest. The total number of Shares available for grant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not be reduced to reflect any dividends or dividend equivalents that are reinvested into additional Shares or credited as Performance-Based Awards. Notwithstanding the foregoing (but subject to </w:t>
      </w:r>
      <w:r>
        <w:rPr>
          <w:rFonts w:ascii="Arial" w:cs="Arial" w:eastAsia="Arial" w:hAnsi="Arial"/>
          <w:sz w:val="18"/>
          <w:szCs w:val="18"/>
          <w:u w:val="single" w:color="auto"/>
          <w:color w:val="auto"/>
        </w:rPr>
        <w:t>Section 4.2</w:t>
      </w:r>
      <w:r>
        <w:rPr>
          <w:rFonts w:ascii="Arial" w:cs="Arial" w:eastAsia="Arial" w:hAnsi="Arial"/>
          <w:sz w:val="18"/>
          <w:szCs w:val="18"/>
          <w:color w:val="auto"/>
        </w:rPr>
        <w:t>), neither dividends nor dividend equivalents may be payable with respect to Options or SARs.</w:t>
      </w:r>
    </w:p>
    <w:p>
      <w:pPr>
        <w:spacing w:after="0" w:line="183" w:lineRule="exact"/>
        <w:rPr>
          <w:sz w:val="20"/>
          <w:szCs w:val="20"/>
          <w:color w:val="auto"/>
        </w:rPr>
      </w:pPr>
    </w:p>
    <w:p>
      <w:pPr>
        <w:ind w:right="260" w:firstLine="382"/>
        <w:spacing w:after="0" w:line="253"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No Rights to Awards.</w:t>
      </w:r>
      <w:r>
        <w:rPr>
          <w:rFonts w:ascii="Arial" w:cs="Arial" w:eastAsia="Arial" w:hAnsi="Arial"/>
          <w:sz w:val="18"/>
          <w:szCs w:val="18"/>
          <w:color w:val="auto"/>
        </w:rPr>
        <w:t xml:space="preserve"> No Person shall have any claim to be granted any Award, and there is no obligation for uniformity of treatment of Participants or holders or beneficiaries of Awards. The terms and conditions of Awards need not be the same with respect to each Participant.</w:t>
      </w:r>
    </w:p>
    <w:p>
      <w:pPr>
        <w:spacing w:after="0" w:line="169" w:lineRule="exact"/>
        <w:rPr>
          <w:sz w:val="20"/>
          <w:szCs w:val="20"/>
          <w:color w:val="auto"/>
        </w:rPr>
      </w:pPr>
    </w:p>
    <w:p>
      <w:pPr>
        <w:ind w:right="20" w:firstLine="382"/>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i w:val="1"/>
          <w:iCs w:val="1"/>
          <w:color w:val="auto"/>
        </w:rPr>
        <w:t>Share Certificates.</w:t>
      </w:r>
      <w:r>
        <w:rPr>
          <w:rFonts w:ascii="Arial" w:cs="Arial" w:eastAsia="Arial" w:hAnsi="Arial"/>
          <w:sz w:val="18"/>
          <w:szCs w:val="18"/>
          <w:color w:val="auto"/>
        </w:rPr>
        <w:t xml:space="preserve"> All certificates for Shares or other securities of the Company or any Subsidiary or Affiliate (or, if any such Shares or securities are in book-entry form, such book-entry balances and confirmation and account statements with respect thereto) delivered under the Plan pursuant to any Award or the exercise thereof shall be subject to such stop transfer orders and other restrictions as the Committee may deem advisable under the Plan or the rules, regulations and other requirements of the SEC or any state securities commission or regulatory authority, any stock exchange or other market upon which such Shares or other securities are then listed, and any applicable Federal or state laws, and the Committee may cause a legend or legends to be put on any such certificates (or confirmation and account statements for book-entry Shares) to make appropriate reference to such restrictions.</w:t>
      </w:r>
    </w:p>
    <w:p>
      <w:pPr>
        <w:spacing w:after="0" w:line="185" w:lineRule="exact"/>
        <w:rPr>
          <w:sz w:val="20"/>
          <w:szCs w:val="20"/>
          <w:color w:val="auto"/>
        </w:rPr>
      </w:pPr>
    </w:p>
    <w:p>
      <w:pPr>
        <w:ind w:right="40" w:firstLine="382"/>
        <w:spacing w:after="0" w:line="247"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i w:val="1"/>
          <w:iCs w:val="1"/>
          <w:color w:val="auto"/>
        </w:rPr>
        <w:t>Withholding Taxes</w:t>
      </w:r>
      <w:r>
        <w:rPr>
          <w:rFonts w:ascii="Arial" w:cs="Arial" w:eastAsia="Arial" w:hAnsi="Arial"/>
          <w:sz w:val="18"/>
          <w:szCs w:val="18"/>
          <w:color w:val="auto"/>
        </w:rPr>
        <w:t>.  The Company, a Subsidiary or an Affiliate shall be entitled to: (a) withhold and deduct from future wages or other compensation of a Participant (or from other amounts that may be due and owing to a Participant from the Company, Subsidiary or Affiliate), including all payments under this Plan, or make other arrangements for the collection of (including through the sale of Shares otherwise issuable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applicable Award), all legally required amounts necessary to satisfy any and all federal, state, local and foreign withholding and employment-related tax requirements attributable to an Award, including, without limitation, the grant, exercise or vesting of, or payment of dividends with respect to, an Award or a disqualifying disposition of Common Stock received upon exercise of an Incentive Stock Option; or (b) require a Participant promptly to remit the amount of such withholding to the Company before taking any action with respect to an Award. To the extent specified by the Committee, withholding may be satisfied by withholding Shares to be received upon exercise or vesting of an Award or by delivery to the Company of previously owned Shares, in each case (x) as may be required to avoid the Company’s or the Affiliates’ or Subsidiaries’ incurring an adverse accounting charge, and (y) based on the Fair Market Value of the Shares on the wage payment date as determined by the Committee. All such elections shall be irrevocable, made in writing, signed by the Participant, and shall be subject to any restrictions or limitations that the Committee, in its sole discretion, deems appropriate. In addition, the Company may reasonably delay the issuance or delivery of Shares pursuant to an Award as it determines appropriate to address tax withholding and other administrative matters.</w:t>
      </w:r>
    </w:p>
    <w:p>
      <w:pPr>
        <w:spacing w:after="0" w:line="186" w:lineRule="exact"/>
        <w:rPr>
          <w:sz w:val="20"/>
          <w:szCs w:val="20"/>
          <w:color w:val="auto"/>
        </w:rPr>
      </w:pPr>
    </w:p>
    <w:p>
      <w:pPr>
        <w:ind w:right="20" w:firstLine="374"/>
        <w:spacing w:after="0" w:line="250"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i w:val="1"/>
          <w:iCs w:val="1"/>
          <w:color w:val="auto"/>
        </w:rPr>
        <w:t>Compliance with Section 409A of the Code.</w:t>
      </w:r>
      <w:r>
        <w:rPr>
          <w:rFonts w:ascii="Arial" w:cs="Arial" w:eastAsia="Arial" w:hAnsi="Arial"/>
          <w:sz w:val="17"/>
          <w:szCs w:val="17"/>
          <w:color w:val="auto"/>
        </w:rPr>
        <w:t xml:space="preserve"> No Award (or modification thereof) shall provide for deferral of compensation that does not comply with Section 409A of the Code and the Regulations promulgated thereunder (“</w:t>
      </w:r>
      <w:r>
        <w:rPr>
          <w:rFonts w:ascii="Arial" w:cs="Arial" w:eastAsia="Arial" w:hAnsi="Arial"/>
          <w:sz w:val="17"/>
          <w:szCs w:val="17"/>
          <w:u w:val="single" w:color="auto"/>
          <w:color w:val="auto"/>
        </w:rPr>
        <w:t>Section 409A</w:t>
      </w:r>
      <w:r>
        <w:rPr>
          <w:rFonts w:ascii="Arial" w:cs="Arial" w:eastAsia="Arial" w:hAnsi="Arial"/>
          <w:sz w:val="17"/>
          <w:szCs w:val="17"/>
          <w:color w:val="auto"/>
        </w:rPr>
        <w:t>”) unless the Committee, at the time of grant, specifically provides that the Award is not intended to comply with Section 409A. Notwithstanding any provision of this Plan to the contrary, if one or more of the payments or benefits received or to be received by a Participant pursuant to an Award would cause the Participant to incur any additional tax or interest under Section 409A, the Committee may reform such provision to maintain to the maximum extent practicable the original intent of the applicable provision without violating the provisions of Section 409A. With respect to the payment of any Award that constitutes a deferral of compensation within the meaning of Section 409A, references to the Participant’s “termination of employment” shall be deemed to refer to the date upon which the Participant has experienced a “separation from service” within the meaning of Section 409A. In the event that it is reasonably determined by the Board or the Committee that, as a result of Section 409A, payments in respect of any Award under the Plan may not be made at the time contemplated by the terms of the Plan or the relevant Award Agreement, as the case may be, without causing the Participant holding such Award to be subject to taxation under Section 409A, the Company will make such payment on the first day that would not result in the Participant incurring any tax liability under Section 409A; which, if the Participant is a “specified employee” within the meaning of the Section 409A, shall be the first day following the six-month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1.409A-1(b)(4)(i) of the U.S. Treasury Regulations shall be made between the first day following the close of the applicable Performance Period and the last day of the “applicable 2 </w:t>
      </w:r>
      <w:r>
        <w:rPr>
          <w:rFonts w:ascii="Arial" w:cs="Arial" w:eastAsia="Arial" w:hAnsi="Arial"/>
          <w:sz w:val="23"/>
          <w:szCs w:val="23"/>
          <w:color w:val="auto"/>
          <w:vertAlign w:val="superscript"/>
        </w:rPr>
        <w:t>1</w:t>
      </w:r>
      <w:r>
        <w:rPr>
          <w:rFonts w:ascii="Arial" w:cs="Arial" w:eastAsia="Arial" w:hAnsi="Arial"/>
          <w:sz w:val="17"/>
          <w:szCs w:val="17"/>
          <w:color w:val="auto"/>
        </w:rPr>
        <w:t>⁄</w:t>
      </w:r>
      <w:r>
        <w:rPr>
          <w:rFonts w:ascii="Arial" w:cs="Arial" w:eastAsia="Arial" w:hAnsi="Arial"/>
          <w:sz w:val="23"/>
          <w:szCs w:val="23"/>
          <w:color w:val="auto"/>
          <w:vertAlign w:val="subscript"/>
        </w:rPr>
        <w:t>2</w:t>
      </w:r>
      <w:r>
        <w:rPr>
          <w:rFonts w:ascii="Arial" w:cs="Arial" w:eastAsia="Arial" w:hAnsi="Arial"/>
          <w:sz w:val="17"/>
          <w:szCs w:val="17"/>
          <w:color w:val="auto"/>
        </w:rPr>
        <w:t xml:space="preserve"> month period” as defined therein. Although the Company intends to administer the Plan so that</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Awards will be exempt from, or will comply with, the requirements of Section 409A, the Company does not warrant that any Award under the Plan will qualify for favorable tax treatment under Section 409A or any other provision of federal, state, local or foreign law. The Company shall not be liable to any Participant for any tax, interest, or penalties that Participant might owe as a result of the grant, holding, vesting, exercise, or payment of any Award under the Plan.</w:t>
      </w:r>
    </w:p>
    <w:p>
      <w:pPr>
        <w:spacing w:after="0" w:line="180" w:lineRule="exact"/>
        <w:rPr>
          <w:sz w:val="20"/>
          <w:szCs w:val="20"/>
          <w:color w:val="auto"/>
        </w:rPr>
      </w:pPr>
    </w:p>
    <w:p>
      <w:pPr>
        <w:ind w:right="60" w:firstLine="374"/>
        <w:spacing w:after="0" w:line="239"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i w:val="1"/>
          <w:iCs w:val="1"/>
          <w:color w:val="auto"/>
        </w:rPr>
        <w:t>Award Agreements.</w:t>
      </w:r>
      <w:r>
        <w:rPr>
          <w:rFonts w:ascii="Arial" w:cs="Arial" w:eastAsia="Arial" w:hAnsi="Arial"/>
          <w:sz w:val="18"/>
          <w:szCs w:val="18"/>
          <w:color w:val="auto"/>
        </w:rPr>
        <w:t xml:space="preserve"> Each Award hereunder shall be evidenced by an Award Agreement that shall be delivered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agrees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0" w:firstLine="382"/>
        <w:spacing w:after="0" w:line="253"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i w:val="1"/>
          <w:iCs w:val="1"/>
          <w:color w:val="auto"/>
        </w:rPr>
        <w:t>No Limit on Other Compensation Arrangements.</w:t>
      </w:r>
      <w:r>
        <w:rPr>
          <w:rFonts w:ascii="Arial" w:cs="Arial" w:eastAsia="Arial" w:hAnsi="Arial"/>
          <w:sz w:val="18"/>
          <w:szCs w:val="18"/>
          <w:color w:val="auto"/>
        </w:rPr>
        <w:t xml:space="preserve"> Nothing contained in the Plan shall prevent the Company or any Subsidiary or Affiliate from adopting or continuing in effect other compensation arrangements, which may, but need not, provide for the grant of Options, Restricted Shares, Restricted Share Units, Other Stock-Based Awards or other types of Awards provided for hereunder.</w:t>
      </w:r>
    </w:p>
    <w:p>
      <w:pPr>
        <w:spacing w:after="0" w:line="169" w:lineRule="exact"/>
        <w:rPr>
          <w:sz w:val="20"/>
          <w:szCs w:val="20"/>
          <w:color w:val="auto"/>
        </w:rPr>
      </w:pPr>
    </w:p>
    <w:p>
      <w:pPr>
        <w:ind w:right="60" w:firstLine="382"/>
        <w:spacing w:after="0" w:line="275" w:lineRule="auto"/>
        <w:rPr>
          <w:sz w:val="20"/>
          <w:szCs w:val="20"/>
          <w:color w:val="auto"/>
        </w:rPr>
      </w:pPr>
      <w:r>
        <w:rPr>
          <w:rFonts w:ascii="Arial" w:cs="Arial" w:eastAsia="Arial" w:hAnsi="Arial"/>
          <w:sz w:val="17"/>
          <w:szCs w:val="17"/>
          <w:color w:val="auto"/>
        </w:rPr>
        <w:t xml:space="preserve">15.9  </w:t>
      </w:r>
      <w:r>
        <w:rPr>
          <w:rFonts w:ascii="Arial" w:cs="Arial" w:eastAsia="Arial" w:hAnsi="Arial"/>
          <w:sz w:val="17"/>
          <w:szCs w:val="17"/>
          <w:i w:val="1"/>
          <w:iCs w:val="1"/>
          <w:color w:val="auto"/>
        </w:rPr>
        <w:t>No Right to Employment.</w:t>
      </w:r>
      <w:r>
        <w:rPr>
          <w:rFonts w:ascii="Arial" w:cs="Arial" w:eastAsia="Arial" w:hAnsi="Arial"/>
          <w:sz w:val="17"/>
          <w:szCs w:val="17"/>
          <w:color w:val="auto"/>
        </w:rPr>
        <w:t xml:space="preserve"> 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w:t>
      </w:r>
    </w:p>
    <w:p>
      <w:pPr>
        <w:spacing w:after="0" w:line="152" w:lineRule="exact"/>
        <w:rPr>
          <w:sz w:val="20"/>
          <w:szCs w:val="20"/>
          <w:color w:val="auto"/>
        </w:rPr>
      </w:pPr>
    </w:p>
    <w:p>
      <w:pPr>
        <w:ind w:right="20" w:firstLine="382"/>
        <w:spacing w:after="0" w:line="244"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i w:val="1"/>
          <w:iCs w:val="1"/>
          <w:color w:val="auto"/>
        </w:rPr>
        <w:t>No Rights as Stockholder.</w:t>
      </w:r>
      <w:r>
        <w:rPr>
          <w:rFonts w:ascii="Arial" w:cs="Arial" w:eastAsia="Arial" w:hAnsi="Arial"/>
          <w:sz w:val="18"/>
          <w:szCs w:val="18"/>
          <w:color w:val="auto"/>
        </w:rPr>
        <w:t xml:space="preserve"> Subject to the provisions of the Plan and the applicable Award Agreement, no Participant or holder or beneficiary of any Award shall have any rights as a stockholder with respect to any Shares to be distributed under the Plan until such person has become a holder of such Shares. Notwithstanding the foregoing, in connection with each grant of Restricted Shares hereunder, the applicable Award Agreement shall specify if and to what extent the Participant shall not be entitled to the rights of a stockholder in respect of such Restricted Shares.</w:t>
      </w:r>
    </w:p>
    <w:p>
      <w:pPr>
        <w:spacing w:after="0" w:line="176" w:lineRule="exact"/>
        <w:rPr>
          <w:sz w:val="20"/>
          <w:szCs w:val="20"/>
          <w:color w:val="auto"/>
        </w:rPr>
      </w:pPr>
    </w:p>
    <w:p>
      <w:pPr>
        <w:ind w:firstLine="382"/>
        <w:spacing w:after="0" w:line="236"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i w:val="1"/>
          <w:iCs w:val="1"/>
          <w:color w:val="auto"/>
        </w:rPr>
        <w:t>Data Privacy</w:t>
      </w:r>
      <w:r>
        <w:rPr>
          <w:rFonts w:ascii="Arial" w:cs="Arial" w:eastAsia="Arial" w:hAnsi="Arial"/>
          <w:sz w:val="18"/>
          <w:szCs w:val="18"/>
          <w:color w:val="auto"/>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Arial" w:cs="Arial" w:eastAsia="Arial" w:hAnsi="Arial"/>
          <w:sz w:val="18"/>
          <w:szCs w:val="18"/>
          <w:u w:val="single" w:color="auto"/>
          <w:color w:val="auto"/>
        </w:rPr>
        <w:t>Data</w:t>
      </w:r>
      <w:r>
        <w:rPr>
          <w:rFonts w:ascii="Arial" w:cs="Arial" w:eastAsia="Arial" w:hAnsi="Arial"/>
          <w:sz w:val="18"/>
          <w:szCs w:val="18"/>
          <w:color w:val="auto"/>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Committee’s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i w:val="1"/>
          <w:iCs w:val="1"/>
          <w:color w:val="auto"/>
        </w:rPr>
        <w:t>Governing Law; International Participants</w:t>
      </w:r>
    </w:p>
    <w:p>
      <w:pPr>
        <w:spacing w:after="0" w:line="212" w:lineRule="exact"/>
        <w:rPr>
          <w:sz w:val="20"/>
          <w:szCs w:val="20"/>
          <w:color w:val="auto"/>
        </w:rPr>
      </w:pPr>
    </w:p>
    <w:p>
      <w:pPr>
        <w:ind w:right="60" w:firstLine="1026"/>
        <w:spacing w:after="0" w:line="271" w:lineRule="auto"/>
        <w:tabs>
          <w:tab w:leader="none" w:pos="128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validity, construction and effect of the Plan and any rules and regulations relating to the Plan and any Award Agreement shall be determined in accordance with the laws of the State of Tennessee without giving effect to conflicts of laws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1026"/>
        <w:spacing w:after="0" w:line="239" w:lineRule="auto"/>
        <w:tabs>
          <w:tab w:leader="none" w:pos="12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order to facilitate the making of any grant or combination of grants under this Plan, the Committee may provide for such special terms for awards to Participants who are foreign nationals or who are employed by the Company or any Subsidiary or Affiliate outside of the United States of America or who provide services to the Company or any Subsidiary or Affiliate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without limitation,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180" w:lineRule="exact"/>
        <w:rPr>
          <w:sz w:val="20"/>
          <w:szCs w:val="20"/>
          <w:color w:val="auto"/>
        </w:rPr>
      </w:pPr>
    </w:p>
    <w:p>
      <w:pPr>
        <w:ind w:right="100" w:firstLine="382"/>
        <w:spacing w:after="0" w:line="244"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76" w:lineRule="exact"/>
        <w:rPr>
          <w:sz w:val="20"/>
          <w:szCs w:val="20"/>
          <w:color w:val="auto"/>
        </w:rPr>
      </w:pPr>
    </w:p>
    <w:p>
      <w:pPr>
        <w:ind w:right="60" w:firstLine="382"/>
        <w:spacing w:after="0" w:line="244"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i w:val="1"/>
          <w:iCs w:val="1"/>
          <w:color w:val="auto"/>
        </w:rPr>
        <w:t>Other Laws.</w:t>
      </w:r>
      <w:r>
        <w:rPr>
          <w:rFonts w:ascii="Arial" w:cs="Arial" w:eastAsia="Arial" w:hAnsi="Arial"/>
          <w:sz w:val="18"/>
          <w:szCs w:val="18"/>
          <w:color w:val="auto"/>
        </w:rPr>
        <w:t xml:space="preserve"> The Committee may refuse to issue or transfer any Shares or other consideration under an Award if, acting in its sole discretion, it determines that the issuance or transfer of such Shares or such other consideration might violate any applicable law or regulation (including applicable non-U.S. laws or regulations) or entitle the Company to recover the same under Exchange Act Section 16(b), and any payment tendered to the Company by a Participant, other holder or beneficiary in connection with the exercise of such Award shall be promptly refunded to the relevant Participant, holder or beneficiary.</w:t>
      </w:r>
    </w:p>
    <w:p>
      <w:pPr>
        <w:spacing w:after="0" w:line="176"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i w:val="1"/>
          <w:iCs w:val="1"/>
          <w:color w:val="auto"/>
        </w:rPr>
        <w:t>No Trust or Fund Created.</w:t>
      </w:r>
      <w:r>
        <w:rPr>
          <w:rFonts w:ascii="Arial" w:cs="Arial" w:eastAsia="Arial" w:hAnsi="Arial"/>
          <w:sz w:val="18"/>
          <w:szCs w:val="18"/>
          <w:color w:val="auto"/>
        </w:rPr>
        <w:t xml:space="preserve"> 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w:t>
      </w:r>
    </w:p>
    <w:p>
      <w:pPr>
        <w:spacing w:after="0" w:line="174" w:lineRule="exact"/>
        <w:rPr>
          <w:sz w:val="20"/>
          <w:szCs w:val="20"/>
          <w:color w:val="auto"/>
        </w:rPr>
      </w:pPr>
    </w:p>
    <w:p>
      <w:pPr>
        <w:ind w:right="140" w:firstLine="382"/>
        <w:spacing w:after="0" w:line="271"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Term Of The Plan.</w:t>
      </w:r>
    </w:p>
    <w:p>
      <w:pPr>
        <w:spacing w:after="0" w:line="212" w:lineRule="exact"/>
        <w:rPr>
          <w:sz w:val="20"/>
          <w:szCs w:val="20"/>
          <w:color w:val="auto"/>
        </w:rPr>
      </w:pPr>
    </w:p>
    <w:p>
      <w:pPr>
        <w:ind w:right="480" w:firstLine="382"/>
        <w:spacing w:after="0" w:line="271"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Effective Date</w:t>
      </w:r>
      <w:r>
        <w:rPr>
          <w:rFonts w:ascii="Arial" w:cs="Arial" w:eastAsia="Arial" w:hAnsi="Arial"/>
          <w:sz w:val="18"/>
          <w:szCs w:val="18"/>
          <w:color w:val="auto"/>
        </w:rPr>
        <w:t>. The Plan was originally effective on June 25, 2020 (the "</w:t>
      </w:r>
      <w:r>
        <w:rPr>
          <w:rFonts w:ascii="Arial" w:cs="Arial" w:eastAsia="Arial" w:hAnsi="Arial"/>
          <w:sz w:val="18"/>
          <w:szCs w:val="18"/>
          <w:u w:val="single" w:color="auto"/>
          <w:color w:val="auto"/>
        </w:rPr>
        <w:t>Original Effective Date</w:t>
      </w:r>
      <w:r>
        <w:rPr>
          <w:rFonts w:ascii="Arial" w:cs="Arial" w:eastAsia="Arial" w:hAnsi="Arial"/>
          <w:sz w:val="18"/>
          <w:szCs w:val="18"/>
          <w:color w:val="auto"/>
        </w:rPr>
        <w:t>"). The Plan, as most recently amended and restated, shall be effective upon the approval of the Board (the “</w:t>
      </w:r>
      <w:r>
        <w:rPr>
          <w:rFonts w:ascii="Arial" w:cs="Arial" w:eastAsia="Arial" w:hAnsi="Arial"/>
          <w:sz w:val="18"/>
          <w:szCs w:val="18"/>
          <w:u w:val="single" w:color="auto"/>
          <w:color w:val="auto"/>
        </w:rPr>
        <w:t>Restatement Effective Date</w:t>
      </w:r>
      <w:r>
        <w:rPr>
          <w:rFonts w:ascii="Arial" w:cs="Arial" w:eastAsia="Arial" w:hAnsi="Arial"/>
          <w:sz w:val="18"/>
          <w:szCs w:val="18"/>
          <w:color w:val="auto"/>
        </w:rPr>
        <w:t>”).</w:t>
      </w:r>
    </w:p>
    <w:p>
      <w:pPr>
        <w:spacing w:after="0" w:line="154" w:lineRule="exact"/>
        <w:rPr>
          <w:sz w:val="20"/>
          <w:szCs w:val="20"/>
          <w:color w:val="auto"/>
        </w:rPr>
      </w:pPr>
    </w:p>
    <w:p>
      <w:pPr>
        <w:ind w:right="40" w:firstLine="382"/>
        <w:spacing w:after="0" w:line="24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Expiration Date.</w:t>
      </w:r>
      <w:r>
        <w:rPr>
          <w:rFonts w:ascii="Arial" w:cs="Arial" w:eastAsia="Arial" w:hAnsi="Arial"/>
          <w:sz w:val="18"/>
          <w:szCs w:val="18"/>
          <w:color w:val="auto"/>
        </w:rPr>
        <w:t xml:space="preserve"> No new Awards shall be granted under the Plan after the tenth anniversary of the Original Effective Date. Unless otherwise expressly provided 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tenth anniversary of the Original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200"/>
        <w:spacing w:after="0"/>
        <w:rPr>
          <w:sz w:val="20"/>
          <w:szCs w:val="20"/>
          <w:color w:val="auto"/>
        </w:rPr>
      </w:pPr>
      <w:r>
        <w:rPr>
          <w:rFonts w:ascii="Arial" w:cs="Arial" w:eastAsia="Arial" w:hAnsi="Arial"/>
          <w:sz w:val="17"/>
          <w:szCs w:val="17"/>
          <w:b w:val="1"/>
          <w:bCs w:val="1"/>
          <w:u w:val="single" w:color="auto"/>
          <w:color w:val="auto"/>
        </w:rPr>
        <w:t>Appendix B</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INFORMATION REGARDING PARTICIPANTS</w:t>
      </w:r>
    </w:p>
    <w:p>
      <w:pPr>
        <w:jc w:val="center"/>
        <w:ind w:right="-39"/>
        <w:spacing w:after="0"/>
        <w:rPr>
          <w:sz w:val="20"/>
          <w:szCs w:val="20"/>
          <w:color w:val="auto"/>
        </w:rPr>
      </w:pPr>
      <w:r>
        <w:rPr>
          <w:rFonts w:ascii="Arial" w:cs="Arial" w:eastAsia="Arial" w:hAnsi="Arial"/>
          <w:sz w:val="18"/>
          <w:szCs w:val="18"/>
          <w:b w:val="1"/>
          <w:bCs w:val="1"/>
          <w:color w:val="auto"/>
        </w:rPr>
        <w:t>IN THE SOLICITATION</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applicable SEC rules and regulations, the Company’s directors, Board nominees, and certain executive officers and employees of the Company may be deemed to be “participants” with respect to the Company’s solicitation of proxies in connection with the Company's 2026 annual meeting of shareholders. The following sets forth certain information about such persons (collectively, the “Participants”).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names, ages and principal occupations of the Company’s directors and director nominees, please see “Proposal</w:t>
      </w:r>
    </w:p>
    <w:p>
      <w:pPr>
        <w:spacing w:after="0" w:line="14" w:lineRule="exact"/>
        <w:rPr>
          <w:sz w:val="20"/>
          <w:szCs w:val="20"/>
          <w:color w:val="auto"/>
        </w:rPr>
      </w:pPr>
    </w:p>
    <w:p>
      <w:pPr>
        <w:ind w:right="40" w:firstLine="8"/>
        <w:spacing w:after="0" w:line="250" w:lineRule="auto"/>
        <w:tabs>
          <w:tab w:leader="none" w:pos="2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Election of Directors,” starting on page 16 of this proxy statement. The business address for all of our directors and Board nominees is c/o Genesco Inc., 535 Marriott Drive, Nashville, Tennessee 37214.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and Employees</w:t>
      </w:r>
    </w:p>
    <w:p>
      <w:pPr>
        <w:spacing w:after="0" w:line="212"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principal occupations of our executive officers and employees who are Participants in our solicitation are set forth below. The principal occupation refers to such person’s position with the Company, and the business address for each person is c/o Genesco Inc., 535 Marriott Drive, Nashville, Tennessee 37214.</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3520" w:type="dxa"/>
            <w:vAlign w:val="bottom"/>
          </w:tcPr>
          <w:p>
            <w:pPr>
              <w:spacing w:after="0"/>
              <w:rPr>
                <w:sz w:val="17"/>
                <w:szCs w:val="17"/>
                <w:color w:val="auto"/>
              </w:rPr>
            </w:pPr>
          </w:p>
        </w:tc>
        <w:tc>
          <w:tcPr>
            <w:tcW w:w="6100" w:type="dxa"/>
            <w:vAlign w:val="bottom"/>
          </w:tcPr>
          <w:p>
            <w:pPr>
              <w:ind w:left="100"/>
              <w:spacing w:after="0"/>
              <w:rPr>
                <w:sz w:val="20"/>
                <w:szCs w:val="20"/>
                <w:color w:val="auto"/>
              </w:rPr>
            </w:pPr>
            <w:r>
              <w:rPr>
                <w:rFonts w:ascii="Arial" w:cs="Arial" w:eastAsia="Arial" w:hAnsi="Arial"/>
                <w:sz w:val="18"/>
                <w:szCs w:val="18"/>
                <w:b w:val="1"/>
                <w:bCs w:val="1"/>
                <w:color w:val="auto"/>
              </w:rPr>
              <w:t>Principal Occupation</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line="204" w:lineRule="exact"/>
              <w:rPr>
                <w:sz w:val="20"/>
                <w:szCs w:val="20"/>
                <w:color w:val="auto"/>
              </w:rPr>
            </w:pPr>
            <w:r>
              <w:rPr>
                <w:rFonts w:ascii="Arial" w:cs="Arial" w:eastAsia="Arial" w:hAnsi="Arial"/>
                <w:sz w:val="18"/>
                <w:szCs w:val="18"/>
                <w:color w:val="auto"/>
              </w:rPr>
              <w:t>Mimi E. Vaughn</w:t>
            </w:r>
          </w:p>
        </w:tc>
        <w:tc>
          <w:tcPr>
            <w:tcW w:w="6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20" w:type="dxa"/>
            <w:vAlign w:val="bottom"/>
            <w:gridSpan w:val="2"/>
            <w:vMerge w:val="continue"/>
          </w:tcPr>
          <w:p>
            <w:pPr>
              <w:spacing w:after="0"/>
              <w:rPr>
                <w:sz w:val="14"/>
                <w:szCs w:val="14"/>
                <w:color w:val="auto"/>
              </w:rPr>
            </w:pPr>
          </w:p>
        </w:tc>
        <w:tc>
          <w:tcPr>
            <w:tcW w:w="6100" w:type="dxa"/>
            <w:vAlign w:val="bottom"/>
          </w:tcPr>
          <w:p>
            <w:pPr>
              <w:ind w:left="100"/>
              <w:spacing w:after="0" w:line="164" w:lineRule="exact"/>
              <w:rPr>
                <w:sz w:val="20"/>
                <w:szCs w:val="20"/>
                <w:color w:val="auto"/>
              </w:rPr>
            </w:pPr>
            <w:r>
              <w:rPr>
                <w:rFonts w:ascii="Arial" w:cs="Arial" w:eastAsia="Arial" w:hAnsi="Arial"/>
                <w:sz w:val="18"/>
                <w:szCs w:val="18"/>
                <w:color w:val="auto"/>
              </w:rPr>
              <w:t>Chair, President, Chief Executive Officer and Interim Chief Financial</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00" w:type="dxa"/>
            <w:vAlign w:val="bottom"/>
          </w:tcPr>
          <w:p>
            <w:pPr>
              <w:ind w:left="100"/>
              <w:spacing w:after="0" w:line="202" w:lineRule="exact"/>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39"/>
        </w:trPr>
        <w:tc>
          <w:tcPr>
            <w:tcW w:w="4020" w:type="dxa"/>
            <w:vAlign w:val="bottom"/>
            <w:gridSpan w:val="2"/>
          </w:tcPr>
          <w:p>
            <w:pPr>
              <w:spacing w:after="0"/>
              <w:rPr>
                <w:sz w:val="20"/>
                <w:szCs w:val="20"/>
                <w:color w:val="auto"/>
              </w:rPr>
            </w:pPr>
            <w:r>
              <w:rPr>
                <w:rFonts w:ascii="Arial" w:cs="Arial" w:eastAsia="Arial" w:hAnsi="Arial"/>
                <w:sz w:val="18"/>
                <w:szCs w:val="18"/>
                <w:color w:val="auto"/>
              </w:rPr>
              <w:t>Scott E. Becker</w:t>
            </w:r>
          </w:p>
        </w:tc>
        <w:tc>
          <w:tcPr>
            <w:tcW w:w="6100" w:type="dxa"/>
            <w:vAlign w:val="bottom"/>
          </w:tcPr>
          <w:p>
            <w:pPr>
              <w:ind w:left="100"/>
              <w:spacing w:after="0"/>
              <w:rPr>
                <w:sz w:val="20"/>
                <w:szCs w:val="20"/>
                <w:color w:val="auto"/>
              </w:rPr>
            </w:pPr>
            <w:r>
              <w:rPr>
                <w:rFonts w:ascii="Arial" w:cs="Arial" w:eastAsia="Arial" w:hAnsi="Arial"/>
                <w:sz w:val="18"/>
                <w:szCs w:val="18"/>
                <w:color w:val="auto"/>
              </w:rPr>
              <w:t>Senior Vice President, Corporate Secretary and General Counsel</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Ownership of Company Securities by Participants</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The number of shares of the Company’s common stock beneficially held as of June 2, 2026 by each of the Participants listed above is set forth under the heading “Security Ownership of Officers, Directors and Principal Shareholders—Ownership of Directors and Management” of this proxy statement. Except as described in this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or otherwise in this proxy statement, none of the persons listed above in “Directors and Nominees” and “Officers and Employees” owns any debt or equity security issued by us of record that he or she does not also own beneficially.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in the Company’s Securities by Participants – Last Two Years</w:t>
      </w:r>
    </w:p>
    <w:p>
      <w:pPr>
        <w:spacing w:after="0" w:line="21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following table sets forth information regarding purchases and sales of the Company’s securities by each Participant between June 2, 2024 and June 2, 2026. Unless otherwise indicated, all transactions were in the public market or pursuant to the Company’s equity compensation plans, and no part of the purchase price or market value of those shares is represented by funds borrowed or otherwise obtained for the purpose of acquiring or holding such securities.</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2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7"/>
              </w:rPr>
              <w:t>Date</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 of Shares</w:t>
            </w:r>
          </w:p>
        </w:tc>
        <w:tc>
          <w:tcPr>
            <w:tcW w:w="220" w:type="dxa"/>
            <w:vAlign w:val="bottom"/>
          </w:tcPr>
          <w:p>
            <w:pPr>
              <w:spacing w:after="0"/>
              <w:rPr>
                <w:sz w:val="18"/>
                <w:szCs w:val="18"/>
                <w:color w:val="auto"/>
              </w:rPr>
            </w:pPr>
          </w:p>
        </w:tc>
        <w:tc>
          <w:tcPr>
            <w:tcW w:w="4320" w:type="dxa"/>
            <w:vAlign w:val="bottom"/>
          </w:tcPr>
          <w:p>
            <w:pPr>
              <w:ind w:left="1120"/>
              <w:spacing w:after="0"/>
              <w:rPr>
                <w:sz w:val="20"/>
                <w:szCs w:val="20"/>
                <w:color w:val="auto"/>
              </w:rPr>
            </w:pPr>
            <w:r>
              <w:rPr>
                <w:rFonts w:ascii="Arial" w:cs="Arial" w:eastAsia="Arial" w:hAnsi="Arial"/>
                <w:sz w:val="18"/>
                <w:szCs w:val="18"/>
                <w:b w:val="1"/>
                <w:bCs w:val="1"/>
                <w:color w:val="auto"/>
              </w:rPr>
              <w:t>Transaction Description</w:t>
            </w: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line="204" w:lineRule="exact"/>
              <w:rPr>
                <w:sz w:val="20"/>
                <w:szCs w:val="20"/>
                <w:color w:val="auto"/>
              </w:rPr>
            </w:pPr>
            <w:r>
              <w:rPr>
                <w:rFonts w:ascii="Arial" w:cs="Arial" w:eastAsia="Arial" w:hAnsi="Arial"/>
                <w:sz w:val="18"/>
                <w:szCs w:val="18"/>
                <w:color w:val="auto"/>
              </w:rPr>
              <w:t>Joanna Barsh</w:t>
            </w: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00" w:type="dxa"/>
            <w:vAlign w:val="bottom"/>
            <w:gridSpan w:val="2"/>
            <w:vMerge w:val="continue"/>
          </w:tcPr>
          <w:p>
            <w:pPr>
              <w:spacing w:after="0"/>
              <w:rPr>
                <w:sz w:val="14"/>
                <w:szCs w:val="14"/>
                <w:color w:val="auto"/>
              </w:rPr>
            </w:pPr>
          </w:p>
        </w:tc>
        <w:tc>
          <w:tcPr>
            <w:tcW w:w="1620" w:type="dxa"/>
            <w:vAlign w:val="bottom"/>
          </w:tcPr>
          <w:p>
            <w:pPr>
              <w:jc w:val="center"/>
              <w:spacing w:after="0" w:line="164" w:lineRule="exact"/>
              <w:rPr>
                <w:sz w:val="20"/>
                <w:szCs w:val="20"/>
                <w:color w:val="auto"/>
              </w:rPr>
            </w:pPr>
            <w:r>
              <w:rPr>
                <w:rFonts w:ascii="Arial" w:cs="Arial" w:eastAsia="Arial" w:hAnsi="Arial"/>
                <w:sz w:val="18"/>
                <w:szCs w:val="18"/>
                <w:color w:val="auto"/>
                <w:w w:val="99"/>
              </w:rPr>
              <w:t>06/27/2024</w:t>
            </w:r>
          </w:p>
        </w:tc>
        <w:tc>
          <w:tcPr>
            <w:tcW w:w="200" w:type="dxa"/>
            <w:vAlign w:val="bottom"/>
            <w:vMerge w:val="continue"/>
          </w:tcPr>
          <w:p>
            <w:pPr>
              <w:spacing w:after="0"/>
              <w:rPr>
                <w:sz w:val="14"/>
                <w:szCs w:val="14"/>
                <w:color w:val="auto"/>
              </w:rPr>
            </w:pPr>
          </w:p>
        </w:tc>
        <w:tc>
          <w:tcPr>
            <w:tcW w:w="1400" w:type="dxa"/>
            <w:vAlign w:val="bottom"/>
          </w:tcPr>
          <w:p>
            <w:pPr>
              <w:jc w:val="center"/>
              <w:spacing w:after="0" w:line="164" w:lineRule="exact"/>
              <w:rPr>
                <w:sz w:val="20"/>
                <w:szCs w:val="20"/>
                <w:color w:val="auto"/>
              </w:rPr>
            </w:pPr>
            <w:r>
              <w:rPr>
                <w:rFonts w:ascii="Arial" w:cs="Arial" w:eastAsia="Arial" w:hAnsi="Arial"/>
                <w:sz w:val="18"/>
                <w:szCs w:val="18"/>
                <w:color w:val="auto"/>
              </w:rPr>
              <w:t>4,540</w:t>
            </w:r>
          </w:p>
        </w:tc>
        <w:tc>
          <w:tcPr>
            <w:tcW w:w="220" w:type="dxa"/>
            <w:vAlign w:val="bottom"/>
            <w:vMerge w:val="continue"/>
          </w:tcPr>
          <w:p>
            <w:pPr>
              <w:spacing w:after="0"/>
              <w:rPr>
                <w:sz w:val="14"/>
                <w:szCs w:val="14"/>
                <w:color w:val="auto"/>
              </w:rPr>
            </w:pPr>
          </w:p>
        </w:tc>
        <w:tc>
          <w:tcPr>
            <w:tcW w:w="4320" w:type="dxa"/>
            <w:vAlign w:val="bottom"/>
          </w:tcPr>
          <w:p>
            <w:pPr>
              <w:spacing w:after="0" w:line="164" w:lineRule="exact"/>
              <w:rPr>
                <w:sz w:val="20"/>
                <w:szCs w:val="20"/>
                <w:color w:val="auto"/>
              </w:rPr>
            </w:pPr>
            <w:r>
              <w:rPr>
                <w:rFonts w:ascii="Arial" w:cs="Arial" w:eastAsia="Arial" w:hAnsi="Arial"/>
                <w:sz w:val="18"/>
                <w:szCs w:val="18"/>
                <w:color w:val="auto"/>
              </w:rPr>
              <w:t>Acquisition – Award of Restricted Stock</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06/26/2025</w:t>
            </w:r>
          </w:p>
        </w:tc>
        <w:tc>
          <w:tcPr>
            <w:tcW w:w="160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5,393</w:t>
            </w:r>
          </w:p>
        </w:tc>
        <w:tc>
          <w:tcPr>
            <w:tcW w:w="22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Acquisition – Award of Restricted Stock</w:t>
            </w: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Scott E. Becker</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06/28/2024</w:t>
            </w:r>
          </w:p>
        </w:tc>
        <w:tc>
          <w:tcPr>
            <w:tcW w:w="160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2,410</w:t>
            </w:r>
          </w:p>
        </w:tc>
        <w:tc>
          <w:tcPr>
            <w:tcW w:w="22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Disposition – Surrender for Tax Withholding</w:t>
            </w:r>
          </w:p>
        </w:tc>
        <w:tc>
          <w:tcPr>
            <w:tcW w:w="0" w:type="dxa"/>
            <w:vAlign w:val="bottom"/>
          </w:tcPr>
          <w:p>
            <w:pPr>
              <w:spacing w:after="0"/>
              <w:rPr>
                <w:sz w:val="1"/>
                <w:szCs w:val="1"/>
                <w:color w:val="auto"/>
              </w:rPr>
            </w:pPr>
          </w:p>
        </w:tc>
      </w:tr>
      <w:tr>
        <w:trPr>
          <w:trHeight w:val="239"/>
        </w:trPr>
        <w:tc>
          <w:tcPr>
            <w:tcW w:w="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04/04/2025</w:t>
            </w: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rPr>
              <w:t>8,594</w:t>
            </w:r>
          </w:p>
        </w:tc>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Acquisition – Award of Restricted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04/04/2025</w:t>
            </w:r>
          </w:p>
        </w:tc>
        <w:tc>
          <w:tcPr>
            <w:tcW w:w="1360" w:type="dxa"/>
            <w:vAlign w:val="bottom"/>
          </w:tcPr>
          <w:p>
            <w:pPr>
              <w:jc w:val="center"/>
              <w:ind w:left="90"/>
              <w:spacing w:after="0"/>
              <w:rPr>
                <w:sz w:val="20"/>
                <w:szCs w:val="20"/>
                <w:color w:val="auto"/>
              </w:rPr>
            </w:pPr>
            <w:r>
              <w:rPr>
                <w:rFonts w:ascii="Arial" w:cs="Arial" w:eastAsia="Arial" w:hAnsi="Arial"/>
                <w:sz w:val="18"/>
                <w:szCs w:val="18"/>
                <w:color w:val="auto"/>
              </w:rPr>
              <w:t>1,248</w:t>
            </w:r>
          </w:p>
        </w:tc>
        <w:tc>
          <w:tcPr>
            <w:tcW w:w="3800" w:type="dxa"/>
            <w:vAlign w:val="bottom"/>
          </w:tcPr>
          <w:p>
            <w:pPr>
              <w:ind w:left="320"/>
              <w:spacing w:after="0"/>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1,091</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02/01/2026</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1,062</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04/02/2026</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1,946</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04/02/2026</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9,903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Matthew M. Bilunas</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Carolyn Bojanowski</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John F. Lambros</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Thurgood Marshall, Jr.</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Angel R. Martinez</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Mary E. Meixelsperger</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Gregory A. Sandfort</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03/20/2025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8"/>
              </w:rPr>
              <w:t>10,974</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Purchase of Common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2"/>
        </w:trPr>
        <w:tc>
          <w:tcPr>
            <w:tcW w:w="2380" w:type="dxa"/>
            <w:vAlign w:val="bottom"/>
          </w:tcPr>
          <w:p>
            <w:pPr>
              <w:spacing w:after="0" w:line="202" w:lineRule="exact"/>
              <w:rPr>
                <w:sz w:val="20"/>
                <w:szCs w:val="20"/>
                <w:color w:val="auto"/>
              </w:rPr>
            </w:pPr>
            <w:r>
              <w:rPr>
                <w:rFonts w:ascii="Arial" w:cs="Arial" w:eastAsia="Arial" w:hAnsi="Arial"/>
                <w:sz w:val="18"/>
                <w:szCs w:val="18"/>
                <w:color w:val="auto"/>
              </w:rPr>
              <w:t>Mimi E. Vaughn</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06/28/2024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8"/>
              </w:rPr>
              <w:t>15,142</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04/04/2025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8"/>
              </w:rPr>
              <w:t>64,824</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04/04/2025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8"/>
              </w:rPr>
              <w:t>11,127</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8,619</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02/01/2026</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6,179</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04/02/2026</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8"/>
              </w:rPr>
              <w:t>22,583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39"/>
        </w:trPr>
        <w:tc>
          <w:tcPr>
            <w:tcW w:w="2380" w:type="dxa"/>
            <w:vAlign w:val="bottom"/>
          </w:tcPr>
          <w:p>
            <w:pPr>
              <w:spacing w:after="0"/>
              <w:rPr>
                <w:sz w:val="20"/>
                <w:szCs w:val="20"/>
                <w:color w:val="auto"/>
              </w:rPr>
            </w:pP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04/02/2026</w:t>
            </w:r>
          </w:p>
        </w:tc>
        <w:tc>
          <w:tcPr>
            <w:tcW w:w="1360" w:type="dxa"/>
            <w:vAlign w:val="bottom"/>
          </w:tcPr>
          <w:p>
            <w:pPr>
              <w:jc w:val="center"/>
              <w:ind w:left="90"/>
              <w:spacing w:after="0"/>
              <w:rPr>
                <w:sz w:val="20"/>
                <w:szCs w:val="20"/>
                <w:color w:val="auto"/>
              </w:rPr>
            </w:pPr>
            <w:r>
              <w:rPr>
                <w:rFonts w:ascii="Arial" w:cs="Arial" w:eastAsia="Arial" w:hAnsi="Arial"/>
                <w:sz w:val="18"/>
                <w:szCs w:val="18"/>
                <w:color w:val="auto"/>
                <w:w w:val="98"/>
              </w:rPr>
              <w:t>74,832</w:t>
            </w:r>
          </w:p>
        </w:tc>
        <w:tc>
          <w:tcPr>
            <w:tcW w:w="3800" w:type="dxa"/>
            <w:vAlign w:val="bottom"/>
          </w:tcPr>
          <w:p>
            <w:pPr>
              <w:ind w:left="320"/>
              <w:spacing w:after="0"/>
              <w:rPr>
                <w:sz w:val="20"/>
                <w:szCs w:val="20"/>
                <w:color w:val="auto"/>
              </w:rPr>
            </w:pPr>
            <w:r>
              <w:rPr>
                <w:rFonts w:ascii="Arial" w:cs="Arial" w:eastAsia="Arial" w:hAnsi="Arial"/>
                <w:sz w:val="18"/>
                <w:szCs w:val="18"/>
                <w:color w:val="auto"/>
              </w:rPr>
              <w:t>Acquisition – Award of Restricted Stock</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Information Concerning Participants</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Each of the Company’s directors and officers is entitled to indemnification under our Bylaws. In addition, the Company has entered into indemnification agreements with each of its current directors and executive officers, which require the Company to indemnify such directors and executive officers, subject to certain limitations, to the fullest extent permitted by law for certain expenses and liabilities incurred in a proceeding by reason of (or arising in part out of) such directors’ or executive officers’ service to the Company. Other than as set forth in this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or elsewhere in this proxy statement:</w:t>
      </w:r>
    </w:p>
    <w:p>
      <w:pPr>
        <w:spacing w:after="0" w:line="176" w:lineRule="exact"/>
        <w:rPr>
          <w:sz w:val="20"/>
          <w:szCs w:val="20"/>
          <w:color w:val="auto"/>
        </w:rPr>
      </w:pPr>
    </w:p>
    <w:p>
      <w:pPr>
        <w:ind w:left="760" w:right="420" w:hanging="378"/>
        <w:spacing w:after="0" w:line="252" w:lineRule="auto"/>
        <w:tabs>
          <w:tab w:leader="none" w:pos="76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None of the Participants or their respective associates or affiliates (collectively, the “Participant Affiliates”) (i) beneficially owns, directly or indirectly, any shares or other securities of the Company, (ii) owns any securities of our Company of record but not beneficially, or (iii) owns beneficially, directly or indirectly, any securities of any parent or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60" w:right="80" w:hanging="378"/>
        <w:spacing w:after="0" w:line="252" w:lineRule="auto"/>
        <w:tabs>
          <w:tab w:leader="none" w:pos="76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None of the Participants nor the Participant Affiliates has any substantial interest, direct or indirect, by security holdings or otherwise, in any matter to be acted upon at the Annual Meeting other than an interest, if any, as a shareholder of the Company or, with respect to a director nominee, as a nominee for director;</w:t>
      </w:r>
    </w:p>
    <w:p>
      <w:pPr>
        <w:spacing w:after="0" w:line="170" w:lineRule="exact"/>
        <w:rPr>
          <w:rFonts w:ascii="Times New Roman" w:cs="Times New Roman" w:eastAsia="Times New Roman" w:hAnsi="Times New Roman"/>
          <w:sz w:val="18"/>
          <w:szCs w:val="18"/>
          <w:color w:val="auto"/>
        </w:rPr>
      </w:pPr>
    </w:p>
    <w:p>
      <w:pPr>
        <w:ind w:left="760" w:right="100" w:hanging="378"/>
        <w:spacing w:after="0" w:line="274" w:lineRule="auto"/>
        <w:tabs>
          <w:tab w:leader="none" w:pos="760" w:val="left"/>
        </w:tabs>
        <w:numPr>
          <w:ilvl w:val="0"/>
          <w:numId w:val="92"/>
        </w:numPr>
        <w:rPr>
          <w:rFonts w:ascii="Times New Roman" w:cs="Times New Roman" w:eastAsia="Times New Roman" w:hAnsi="Times New Roman"/>
          <w:sz w:val="17"/>
          <w:szCs w:val="17"/>
          <w:color w:val="auto"/>
        </w:rPr>
      </w:pPr>
      <w:r>
        <w:rPr>
          <w:rFonts w:ascii="Arial" w:cs="Arial" w:eastAsia="Arial" w:hAnsi="Arial"/>
          <w:sz w:val="17"/>
          <w:szCs w:val="17"/>
          <w:color w:val="auto"/>
        </w:rPr>
        <w:t>There are no contracts, arrangements or understandings between any Participant or Participant Affiliate within the past year and any person with respect to any securities of our Company, including, but not limited to, joint ventures, loan or option arrangements, puts or calls, guarantees against loss or guarantees of profit, division of losses or profits, or the giving or withholding of proxies;</w:t>
      </w:r>
    </w:p>
    <w:p>
      <w:pPr>
        <w:spacing w:after="0" w:line="153" w:lineRule="exact"/>
        <w:rPr>
          <w:rFonts w:ascii="Times New Roman" w:cs="Times New Roman" w:eastAsia="Times New Roman" w:hAnsi="Times New Roman"/>
          <w:sz w:val="17"/>
          <w:szCs w:val="17"/>
          <w:color w:val="auto"/>
        </w:rPr>
      </w:pPr>
    </w:p>
    <w:p>
      <w:pPr>
        <w:ind w:left="760" w:right="60" w:hanging="378"/>
        <w:spacing w:after="0" w:line="252" w:lineRule="auto"/>
        <w:tabs>
          <w:tab w:leader="none" w:pos="76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None of the Participants nor the Participant Affiliates have any arrangement or understandings with any person with respect to any future employment by the Company or our affiliates or with respect to any future transactions to which we or any of our affiliates will or may be a party;</w:t>
      </w:r>
    </w:p>
    <w:p>
      <w:pPr>
        <w:spacing w:after="0" w:line="170" w:lineRule="exact"/>
        <w:rPr>
          <w:rFonts w:ascii="Times New Roman" w:cs="Times New Roman" w:eastAsia="Times New Roman" w:hAnsi="Times New Roman"/>
          <w:sz w:val="18"/>
          <w:szCs w:val="18"/>
          <w:color w:val="auto"/>
        </w:rPr>
      </w:pPr>
    </w:p>
    <w:p>
      <w:pPr>
        <w:ind w:left="760" w:hanging="378"/>
        <w:spacing w:after="0" w:line="246" w:lineRule="auto"/>
        <w:tabs>
          <w:tab w:leader="none" w:pos="76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No Participant or Participant Affiliate is either a party to any transaction or series of transactions, since the beginning of Company’s last fiscal year, or has knowledge of any currently proposed transaction, in which (i) the Company or any of its subsidiaries was or is to be a participant, (ii) the amount involved exceeds $120,000 and (iii) in which any Participant, Participant Affiliate or any related person thereof had, or will have, a direct or indirect material interest; and</w:t>
      </w:r>
    </w:p>
    <w:p>
      <w:pPr>
        <w:spacing w:after="0" w:line="176" w:lineRule="exact"/>
        <w:rPr>
          <w:rFonts w:ascii="Times New Roman" w:cs="Times New Roman" w:eastAsia="Times New Roman" w:hAnsi="Times New Roman"/>
          <w:sz w:val="18"/>
          <w:szCs w:val="18"/>
          <w:color w:val="auto"/>
        </w:rPr>
      </w:pPr>
    </w:p>
    <w:p>
      <w:pPr>
        <w:ind w:left="760" w:right="40" w:hanging="378"/>
        <w:spacing w:after="0" w:line="270" w:lineRule="auto"/>
        <w:tabs>
          <w:tab w:leader="none" w:pos="76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No Participant has been convicted in a criminal proceeding (excluding traffic violations or similar misdemeanors) during the past ten years.</w:t>
      </w:r>
    </w:p>
    <w:p>
      <w:pPr>
        <w:spacing w:after="0" w:line="154" w:lineRule="exact"/>
        <w:rPr>
          <w:sz w:val="20"/>
          <w:szCs w:val="20"/>
          <w:color w:val="auto"/>
        </w:rPr>
      </w:pPr>
    </w:p>
    <w:p>
      <w:pPr>
        <w:ind w:right="140" w:firstLine="382"/>
        <w:spacing w:after="0" w:line="253" w:lineRule="auto"/>
        <w:rPr>
          <w:sz w:val="20"/>
          <w:szCs w:val="20"/>
          <w:color w:val="auto"/>
        </w:rPr>
      </w:pPr>
      <w:r>
        <w:rPr>
          <w:rFonts w:ascii="Arial" w:cs="Arial" w:eastAsia="Arial" w:hAnsi="Arial"/>
          <w:sz w:val="18"/>
          <w:szCs w:val="18"/>
          <w:color w:val="auto"/>
        </w:rPr>
        <w:t>Other than the persons described in this Proxy Statement, no regular employees of the Company have been or are to be employed to solicit shareholders in connection with this proxy solicitation. However, in the course of their regular duties, certain administrative personnel may be asked to perform clerical or ministerial tasks in furtherance of this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1185545</wp:posOffset>
            </wp:positionV>
            <wp:extent cx="71323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1245870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1648460</wp:posOffset>
            </wp:positionV>
            <wp:extent cx="2914650" cy="7797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14650" cy="77978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NOTICE OF</w:t>
      </w:r>
    </w:p>
    <w:p>
      <w:pPr>
        <w:spacing w:after="0" w:line="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ANNUAL MEETING</w:t>
      </w:r>
    </w:p>
    <w:p>
      <w:pPr>
        <w:jc w:val="center"/>
        <w:ind w:right="-1120"/>
        <w:spacing w:after="0" w:line="230" w:lineRule="auto"/>
        <w:rPr>
          <w:sz w:val="20"/>
          <w:szCs w:val="20"/>
          <w:color w:val="auto"/>
        </w:rPr>
      </w:pPr>
      <w:r>
        <w:rPr>
          <w:rFonts w:ascii="Arial" w:cs="Arial" w:eastAsia="Arial" w:hAnsi="Arial"/>
          <w:sz w:val="22"/>
          <w:szCs w:val="22"/>
          <w:b w:val="1"/>
          <w:bCs w:val="1"/>
          <w:color w:val="auto"/>
        </w:rPr>
        <w:t>AND</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Annual Meeting</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1445260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1039"/>
        <w:spacing w:after="0"/>
        <w:rPr>
          <w:sz w:val="20"/>
          <w:szCs w:val="20"/>
          <w:color w:val="auto"/>
        </w:rPr>
      </w:pPr>
      <w:r>
        <w:rPr>
          <w:rFonts w:ascii="Arial" w:cs="Arial" w:eastAsia="Arial" w:hAnsi="Arial"/>
          <w:sz w:val="20"/>
          <w:szCs w:val="20"/>
          <w:color w:val="FF0000"/>
        </w:rPr>
        <w:t>PRELIMINARY COPY - SUBJECT TO COMPLETION - DATED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8761730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613410</wp:posOffset>
            </wp:positionV>
            <wp:extent cx="5332095" cy="68408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32095" cy="68408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9051290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1040130</wp:posOffset>
            </wp:positionV>
            <wp:extent cx="5332095" cy="68408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32095" cy="68408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27" w:name="page128"/>
    <w:bookmarkEnd w:id="1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1)"/>
      <w:numFmt w:val="decimal"/>
      <w:start w:val="877"/>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1)"/>
      <w:numFmt w:val="decimal"/>
      <w:start w:val="1"/>
    </w:lvl>
  </w:abstractNum>
  <w:abstractNum w:abstractNumId="22">
    <w:nsid w:val="180115BE"/>
    <w:multiLevelType w:val="hybridMultilevel"/>
    <w:lvl w:ilvl="0">
      <w:lvlJc w:val="left"/>
      <w:lvlText w:val="•"/>
      <w:numFmt w:val="bullet"/>
      <w:start w:val="1"/>
    </w:lvl>
    <w:lvl w:ilvl="1">
      <w:lvlJc w:val="left"/>
      <w:lvlText w:val="•"/>
      <w:numFmt w:val="bullet"/>
      <w:start w:val="1"/>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1."/>
      <w:numFmt w:val="decimal"/>
      <w:start w:val="2"/>
    </w:lvl>
  </w:abstractNum>
  <w:abstractNum w:abstractNumId="28">
    <w:nsid w:val="D34B6A8"/>
    <w:multiLevelType w:val="hybridMultilevel"/>
    <w:lvl w:ilvl="0">
      <w:lvlJc w:val="left"/>
      <w:lvlText w:val="%1."/>
      <w:numFmt w:val="decimal"/>
      <w:start w:val="3"/>
    </w:lvl>
  </w:abstractNum>
  <w:abstractNum w:abstractNumId="29">
    <w:nsid w:val="10233C99"/>
    <w:multiLevelType w:val="hybridMultilevel"/>
    <w:lvl w:ilvl="0">
      <w:lvlJc w:val="left"/>
      <w:lvlText w:val="(%1)"/>
      <w:numFmt w:val="lowerRoman"/>
      <w:start w:val="2"/>
    </w:lvl>
  </w:abstractNum>
  <w:abstractNum w:abstractNumId="30">
    <w:nsid w:val="3F6AB60F"/>
    <w:multiLevelType w:val="hybridMultilevel"/>
    <w:lvl w:ilvl="0">
      <w:lvlJc w:val="left"/>
      <w:lvlText w:val="(%1)"/>
      <w:numFmt w:val="decimal"/>
      <w:start w:val="1"/>
    </w:lvl>
    <w:lvl w:ilvl="1">
      <w:lvlJc w:val="left"/>
      <w:lvlText w:val="(%2)"/>
      <w:numFmt w:val="lowerRoman"/>
      <w:start w:val="3"/>
    </w:lvl>
  </w:abstractNum>
  <w:abstractNum w:abstractNumId="31">
    <w:nsid w:val="61574095"/>
    <w:multiLevelType w:val="hybridMultilevel"/>
    <w:lvl w:ilvl="0">
      <w:lvlJc w:val="left"/>
      <w:lvlText w:val="(%1)"/>
      <w:numFmt w:val="lowerRoman"/>
      <w:start w:val="4"/>
    </w:lvl>
  </w:abstractNum>
  <w:abstractNum w:abstractNumId="32">
    <w:nsid w:val="7E0C57B1"/>
    <w:multiLevelType w:val="hybridMultilevel"/>
    <w:lvl w:ilvl="0">
      <w:lvlJc w:val="left"/>
      <w:lvlText w:val="(%1)"/>
      <w:numFmt w:val="lowerLetter"/>
      <w:start w:val="1"/>
    </w:lvl>
    <w:lvl w:ilvl="1">
      <w:lvlJc w:val="left"/>
      <w:lvlText w:val="•"/>
      <w:numFmt w:val="bullet"/>
      <w:start w:val="1"/>
    </w:lvl>
  </w:abstractNum>
  <w:abstractNum w:abstractNumId="33">
    <w:nsid w:val="77AE35EB"/>
    <w:multiLevelType w:val="hybridMultilevel"/>
    <w:lvl w:ilvl="0">
      <w:lvlJc w:val="left"/>
      <w:lvlText w:val="%1"/>
      <w:numFmt w:val="lowerLetter"/>
      <w:start w:val="1"/>
    </w:lvl>
    <w:lvl w:ilvl="1">
      <w:lvlJc w:val="left"/>
      <w:lvlText w:val="(%2)"/>
      <w:numFmt w:val="lowerLetter"/>
      <w:start w:val="22"/>
    </w:lvl>
  </w:abstractNum>
  <w:abstractNum w:abstractNumId="34">
    <w:nsid w:val="579BE4F1"/>
    <w:multiLevelType w:val="hybridMultilevel"/>
    <w:lvl w:ilvl="0">
      <w:lvlJc w:val="left"/>
      <w:lvlText w:val="(%1)"/>
      <w:numFmt w:val="lowerLetter"/>
      <w:start w:val="5"/>
    </w:lvl>
    <w:lvl w:ilvl="1">
      <w:lvlJc w:val="left"/>
      <w:lvlText w:val="%2"/>
      <w:numFmt w:val="lowerLetter"/>
      <w:start w:val="1"/>
    </w:lvl>
  </w:abstractNum>
  <w:abstractNum w:abstractNumId="35">
    <w:nsid w:val="310C50B3"/>
    <w:multiLevelType w:val="hybridMultilevel"/>
    <w:lvl w:ilvl="0">
      <w:lvlJc w:val="left"/>
      <w:lvlText w:val="(%1)"/>
      <w:numFmt w:val="lowerRoman"/>
      <w:start w:val="6"/>
    </w:lvl>
  </w:abstractNum>
  <w:abstractNum w:abstractNumId="36">
    <w:nsid w:val="5FF87E05"/>
    <w:multiLevelType w:val="hybridMultilevel"/>
    <w:lvl w:ilvl="0">
      <w:lvlJc w:val="left"/>
      <w:lvlText w:val="(%1)"/>
      <w:numFmt w:val="lowerRoman"/>
      <w:start w:val="7"/>
    </w:lvl>
  </w:abstractNum>
  <w:abstractNum w:abstractNumId="37">
    <w:nsid w:val="2F305DEF"/>
    <w:multiLevelType w:val="hybridMultilevel"/>
    <w:lvl w:ilvl="0">
      <w:lvlJc w:val="left"/>
      <w:lvlText w:val="(%1)"/>
      <w:numFmt w:val="lowerRoman"/>
      <w:start w:val="8"/>
    </w:lvl>
  </w:abstractNum>
  <w:abstractNum w:abstractNumId="38">
    <w:nsid w:val="25A70BF7"/>
    <w:multiLevelType w:val="hybridMultilevel"/>
    <w:lvl w:ilvl="0">
      <w:lvlJc w:val="left"/>
      <w:lvlText w:val="(%1)"/>
      <w:numFmt w:val="lowerRoman"/>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lowerRoman"/>
      <w:start w:val="2"/>
    </w:lvl>
  </w:abstractNum>
  <w:abstractNum w:abstractNumId="41">
    <w:nsid w:val="1F48EAA1"/>
    <w:multiLevelType w:val="hybridMultilevel"/>
    <w:lvl w:ilvl="0">
      <w:lvlJc w:val="left"/>
      <w:lvlText w:val="(%1)"/>
      <w:numFmt w:val="lowerRoman"/>
      <w:start w:val="3"/>
    </w:lvl>
  </w:abstractNum>
  <w:abstractNum w:abstractNumId="42">
    <w:nsid w:val="1381823A"/>
    <w:multiLevelType w:val="hybridMultilevel"/>
    <w:lvl w:ilvl="0">
      <w:lvlJc w:val="left"/>
      <w:lvlText w:val="(%1)"/>
      <w:numFmt w:val="lowerRoman"/>
      <w:start w:val="4"/>
    </w:lvl>
  </w:abstractNum>
  <w:abstractNum w:abstractNumId="43">
    <w:nsid w:val="5DB70AE5"/>
    <w:multiLevelType w:val="hybridMultilevel"/>
    <w:lvl w:ilvl="0">
      <w:lvlJc w:val="left"/>
      <w:lvlText w:val="%1."/>
      <w:numFmt w:val="decimal"/>
      <w:start w:val="4"/>
    </w:lvl>
  </w:abstractNum>
  <w:abstractNum w:abstractNumId="44">
    <w:nsid w:val="100F8FCA"/>
    <w:multiLevelType w:val="hybridMultilevel"/>
    <w:lvl w:ilvl="0">
      <w:lvlJc w:val="left"/>
      <w:lvlText w:val="(%1)"/>
      <w:numFmt w:val="lowerRoman"/>
      <w:start w:val="1"/>
    </w:lvl>
  </w:abstractNum>
  <w:abstractNum w:abstractNumId="45">
    <w:nsid w:val="6590700B"/>
    <w:multiLevelType w:val="hybridMultilevel"/>
    <w:lvl w:ilvl="0">
      <w:lvlJc w:val="left"/>
      <w:lvlText w:val="(%1)"/>
      <w:numFmt w:val="lowerRoman"/>
      <w:start w:val="2"/>
    </w:lvl>
  </w:abstractNum>
  <w:abstractNum w:abstractNumId="46">
    <w:nsid w:val="15014ACB"/>
    <w:multiLevelType w:val="hybridMultilevel"/>
    <w:lvl w:ilvl="0">
      <w:lvlJc w:val="left"/>
      <w:lvlText w:val="%1"/>
      <w:numFmt w:val="upperLetter"/>
      <w:start w:val="1"/>
    </w:lvl>
    <w:lvl w:ilvl="1">
      <w:lvlJc w:val="left"/>
      <w:lvlText w:val="(%2)"/>
      <w:numFmt w:val="lowerRoman"/>
      <w:start w:val="3"/>
    </w:lvl>
  </w:abstractNum>
  <w:abstractNum w:abstractNumId="47">
    <w:nsid w:val="5F5E7FD0"/>
    <w:multiLevelType w:val="hybridMultilevel"/>
    <w:lvl w:ilvl="0">
      <w:lvlJc w:val="left"/>
      <w:lvlText w:val="%1."/>
      <w:numFmt w:val="upperLetter"/>
      <w:start w:val="2"/>
    </w:lvl>
    <w:lvl w:ilvl="1">
      <w:lvlJc w:val="left"/>
      <w:lvlText w:val="(%2)"/>
      <w:numFmt w:val="lowerRoman"/>
      <w:start w:val="2"/>
    </w:lvl>
  </w:abstractNum>
  <w:abstractNum w:abstractNumId="48">
    <w:nsid w:val="98A3148"/>
    <w:multiLevelType w:val="hybridMultilevel"/>
    <w:lvl w:ilvl="0">
      <w:lvlJc w:val="left"/>
      <w:lvlText w:val="%1."/>
      <w:numFmt w:val="decimal"/>
      <w:start w:val="5"/>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2"/>
    </w:lvl>
  </w:abstractNum>
  <w:abstractNum w:abstractNumId="51">
    <w:nsid w:val="42C296BD"/>
    <w:multiLevelType w:val="hybridMultilevel"/>
    <w:lvl w:ilvl="0">
      <w:lvlJc w:val="left"/>
      <w:lvlText w:val="(%1)"/>
      <w:numFmt w:val="decimal"/>
      <w:start w:val="3"/>
    </w:lvl>
  </w:abstractNum>
  <w:abstractNum w:abstractNumId="52">
    <w:nsid w:val="168E121F"/>
    <w:multiLevelType w:val="hybridMultilevel"/>
    <w:lvl w:ilvl="0">
      <w:lvlJc w:val="left"/>
      <w:lvlText w:val="(%1)"/>
      <w:numFmt w:val="decimal"/>
      <w:start w:val="4"/>
    </w:lvl>
  </w:abstractNum>
  <w:abstractNum w:abstractNumId="53">
    <w:nsid w:val="1EBA5D23"/>
    <w:multiLevelType w:val="hybridMultilevel"/>
    <w:lvl w:ilvl="0">
      <w:lvlJc w:val="left"/>
      <w:lvlText w:val="(%1)"/>
      <w:numFmt w:val="decimal"/>
      <w:start w:val="5"/>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2"/>
    </w:lvl>
  </w:abstractNum>
  <w:abstractNum w:abstractNumId="57">
    <w:nsid w:val="7BD3EE7B"/>
    <w:multiLevelType w:val="hybridMultilevel"/>
    <w:lvl w:ilvl="0">
      <w:lvlJc w:val="left"/>
      <w:lvlText w:val="(%1)"/>
      <w:numFmt w:val="decimal"/>
      <w:start w:val="3"/>
    </w:lvl>
  </w:abstractNum>
  <w:abstractNum w:abstractNumId="58">
    <w:nsid w:val="51D9C564"/>
    <w:multiLevelType w:val="hybridMultilevel"/>
    <w:lvl w:ilvl="0">
      <w:lvlJc w:val="left"/>
      <w:lvlText w:val="(%1)"/>
      <w:numFmt w:val="decimal"/>
      <w:start w:val="4"/>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1)"/>
      <w:numFmt w:val="lowerRoman"/>
      <w:start w:val="3"/>
    </w:lvl>
  </w:abstractNum>
  <w:abstractNum w:abstractNumId="62">
    <w:nsid w:val="42963E5A"/>
    <w:multiLevelType w:val="hybridMultilevel"/>
    <w:lvl w:ilvl="0">
      <w:lvlJc w:val="left"/>
      <w:lvlText w:val="(%1)"/>
      <w:numFmt w:val="lowerRoman"/>
      <w:start w:val="4"/>
    </w:lvl>
  </w:abstractNum>
  <w:abstractNum w:abstractNumId="63">
    <w:nsid w:val="A0382C5"/>
    <w:multiLevelType w:val="hybridMultilevel"/>
    <w:lvl w:ilvl="0">
      <w:lvlJc w:val="left"/>
      <w:lvlText w:val="•"/>
      <w:numFmt w:val="bullet"/>
      <w:start w:val="1"/>
    </w:lvl>
    <w:lvl w:ilvl="1">
      <w:lvlJc w:val="left"/>
      <w:lvlText w:val="•"/>
      <w:numFmt w:val="bullet"/>
      <w:start w:val="1"/>
    </w:lvl>
  </w:abstractNum>
  <w:abstractNum w:abstractNumId="64">
    <w:nsid w:val="8F2B15E"/>
    <w:multiLevelType w:val="hybridMultilevel"/>
    <w:lvl w:ilvl="0">
      <w:lvlJc w:val="left"/>
      <w:lvlText w:val="•"/>
      <w:numFmt w:val="bullet"/>
      <w:start w:val="1"/>
    </w:lvl>
    <w:lvl w:ilvl="1">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decimal"/>
      <w:start w:val="5"/>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decimal"/>
      <w:start w:val="1"/>
    </w:lvl>
  </w:abstractNum>
  <w:abstractNum w:abstractNumId="74">
    <w:nsid w:val="71EA1109"/>
    <w:multiLevelType w:val="hybridMultilevel"/>
    <w:lvl w:ilvl="0">
      <w:lvlJc w:val="left"/>
      <w:lvlText w:val="(%1)"/>
      <w:numFmt w:val="decimal"/>
      <w:start w:val="3"/>
    </w:lvl>
  </w:abstractNum>
  <w:abstractNum w:abstractNumId="75">
    <w:nsid w:val="100F59DC"/>
    <w:multiLevelType w:val="hybridMultilevel"/>
    <w:lvl w:ilvl="0">
      <w:lvlJc w:val="left"/>
      <w:lvlText w:val="(%1)"/>
      <w:numFmt w:val="decimal"/>
      <w:start w:val="5"/>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decimal"/>
      <w:start w:val="1"/>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1)"/>
      <w:numFmt w:val="decimal"/>
      <w:start w:val="1"/>
    </w:lvl>
  </w:abstractNum>
  <w:abstractNum w:abstractNumId="80">
    <w:nsid w:val="885E1B"/>
    <w:multiLevelType w:val="hybridMultilevel"/>
    <w:lvl w:ilvl="0">
      <w:lvlJc w:val="left"/>
      <w:lvlText w:val="(%1)"/>
      <w:numFmt w:val="lowerRoman"/>
      <w:start w:val="2"/>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1"/>
      <w:numFmt w:val="bullet"/>
      <w:start w:val="1"/>
    </w:lvl>
  </w:abstractNum>
  <w:abstractNum w:abstractNumId="85">
    <w:nsid w:val="3222E7CD"/>
    <w:multiLevelType w:val="hybridMultilevel"/>
    <w:lvl w:ilvl="0">
      <w:lvlJc w:val="left"/>
      <w:lvlText w:val="(%1)"/>
      <w:numFmt w:val="decimal"/>
      <w:start w:val="2"/>
    </w:lvl>
  </w:abstractNum>
  <w:abstractNum w:abstractNumId="86">
    <w:nsid w:val="74DE0EE3"/>
    <w:multiLevelType w:val="hybridMultilevel"/>
    <w:lvl w:ilvl="0">
      <w:lvlJc w:val="left"/>
      <w:lvlText w:val="(%1)"/>
      <w:numFmt w:val="lowerRoman"/>
      <w:start w:val="5"/>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lowerLetter"/>
      <w:start w:val="2"/>
    </w:lvl>
  </w:abstractNum>
  <w:abstractNum w:abstractNumId="89">
    <w:nsid w:val="46B7D447"/>
    <w:multiLevelType w:val="hybridMultilevel"/>
    <w:lvl w:ilvl="0">
      <w:lvlJc w:val="left"/>
      <w:lvlText w:val="%1:"/>
      <w:numFmt w:val="decimal"/>
      <w:start w:val="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2026-06-11T16:02:07Z</dcterms:created>
  <dcterms:modified xsi:type="dcterms:W3CDTF">2026-06-11T16:02:07Z</dcterms:modified>
</cp:coreProperties>
</file>