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2927ddefa14a.htm"/>
      <w:bookmarkStart w:id="1" w:name="ksd14292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____)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240" w:after="0"/>
        <w:jc w:val="left"/>
        <w:rPr/>
      </w:pPr>
      <w:r>
        <w:rPr/>
        <w:t>☐  </w:t>
      </w:r>
      <w:r>
        <w:rPr>
          <w:rFonts w:ascii="Times New Roman" w:hAnsi="Times New Roman"/>
          <w:sz w:val="20"/>
        </w:rPr>
        <w:t xml:space="preserve">Preliminary Proxy Statement </w:t>
      </w:r>
    </w:p>
    <w:p>
      <w:pPr>
        <w:pStyle w:val="TextBody"/>
        <w:bidi w:val="0"/>
        <w:spacing w:before="240" w:after="0"/>
        <w:jc w:val="left"/>
        <w:rPr/>
      </w:pPr>
      <w:r>
        <w:rPr/>
        <w:t>☐  </w:t>
      </w:r>
      <w:r>
        <w:rPr>
          <w:rFonts w:ascii="Times New Roman" w:hAnsi="Times New Roman"/>
          <w:sz w:val="20"/>
        </w:rPr>
        <w:t xml:space="preserve">Confidential, for Use of the Commission Only (as permitted by Rule 14a-6(e)(2)) </w:t>
      </w:r>
    </w:p>
    <w:p>
      <w:pPr>
        <w:pStyle w:val="TextBody"/>
        <w:bidi w:val="0"/>
        <w:spacing w:before="240" w:after="0"/>
        <w:jc w:val="left"/>
        <w:rPr/>
      </w:pPr>
      <w:r>
        <w:rPr/>
        <w:t>☐  </w:t>
      </w:r>
      <w:r>
        <w:rPr>
          <w:rFonts w:ascii="Times New Roman" w:hAnsi="Times New Roman"/>
          <w:sz w:val="20"/>
        </w:rPr>
        <w:t xml:space="preserve">Definitive Proxy Statement </w:t>
      </w:r>
    </w:p>
    <w:p>
      <w:pPr>
        <w:pStyle w:val="TextBody"/>
        <w:bidi w:val="0"/>
        <w:spacing w:before="240" w:after="0"/>
        <w:jc w:val="left"/>
        <w:rPr/>
      </w:pPr>
      <w:r>
        <w:rPr/>
        <w:t>☒  </w:t>
      </w:r>
      <w:r>
        <w:rPr>
          <w:rFonts w:ascii="Times New Roman" w:hAnsi="Times New Roman"/>
          <w:sz w:val="20"/>
        </w:rPr>
        <w:t xml:space="preserve">Definitive Additional Materials </w:t>
      </w:r>
    </w:p>
    <w:p>
      <w:pPr>
        <w:pStyle w:val="TextBody"/>
        <w:bidi w:val="0"/>
        <w:spacing w:before="240" w:after="0"/>
        <w:jc w:val="left"/>
        <w:rPr/>
      </w:pPr>
      <w:r>
        <w:rPr/>
        <w:t>☐  </w:t>
      </w:r>
      <w:r>
        <w:rPr>
          <w:rFonts w:ascii="Times New Roman" w:hAnsi="Times New Roman"/>
          <w:sz w:val="20"/>
        </w:rPr>
        <w:t xml:space="preserve">Soliciting Material under §240.14a-12 </w:t>
      </w:r>
    </w:p>
    <w:p>
      <w:pPr>
        <w:pStyle w:val="TextBody"/>
        <w:bidi w:val="0"/>
        <w:spacing w:before="240" w:after="0"/>
        <w:jc w:val="center"/>
        <w:rPr>
          <w:rFonts w:ascii="Times New Roman" w:hAnsi="Times New Roman"/>
          <w:b/>
          <w:sz w:val="36"/>
        </w:rPr>
      </w:pPr>
      <w:r>
        <w:rPr>
          <w:rFonts w:ascii="Times New Roman" w:hAnsi="Times New Roman"/>
          <w:b/>
          <w:sz w:val="36"/>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240" w:after="0"/>
        <w:jc w:val="left"/>
        <w:rPr/>
      </w:pPr>
      <w:r>
        <w:rPr/>
        <w:t>☒  </w:t>
      </w:r>
      <w:r>
        <w:rPr>
          <w:rFonts w:ascii="Times New Roman" w:hAnsi="Times New Roman"/>
          <w:sz w:val="20"/>
        </w:rPr>
        <w:t xml:space="preserve">No fee required. </w:t>
      </w:r>
    </w:p>
    <w:p>
      <w:pPr>
        <w:pStyle w:val="TextBody"/>
        <w:bidi w:val="0"/>
        <w:spacing w:before="240" w:after="0"/>
        <w:jc w:val="left"/>
        <w:rPr/>
      </w:pPr>
      <w:r>
        <w:rPr/>
        <w:t>☐  </w:t>
      </w:r>
      <w:r>
        <w:rPr>
          <w:rFonts w:ascii="Times New Roman" w:hAnsi="Times New Roman"/>
          <w:sz w:val="20"/>
        </w:rPr>
        <w:t xml:space="preserve">Fee paid previously with preliminary materials. </w:t>
      </w:r>
    </w:p>
    <w:p>
      <w:pPr>
        <w:pStyle w:val="TextBody"/>
        <w:bidi w:val="0"/>
        <w:spacing w:before="240" w:after="0"/>
        <w:jc w:val="left"/>
        <w:rPr/>
      </w:pPr>
      <w:r>
        <w:rPr/>
        <w:t>☐  </w:t>
      </w:r>
      <w:r>
        <w:rPr>
          <w:rFonts w:ascii="Times New Roman" w:hAnsi="Times New Roman"/>
          <w:sz w:val="20"/>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On July 13, the Company issued the following press release. The press release was also posted by the Company to VoteGenesco.com.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4954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466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All Three Independent Proxy Advisory Firms Recommend Genesco Shareholders Vote “FOR” All Nine of Genesco’s Directors </w:t>
      </w:r>
    </w:p>
    <w:p>
      <w:pPr>
        <w:pStyle w:val="TextBody"/>
        <w:bidi w:val="0"/>
        <w:spacing w:before="240" w:after="0"/>
        <w:jc w:val="center"/>
        <w:rPr/>
      </w:pPr>
      <w:r>
        <w:rPr/>
        <w:t>—</w:t>
      </w:r>
      <w:r>
        <w:rPr>
          <w:rFonts w:ascii="Times New Roman" w:hAnsi="Times New Roman"/>
          <w:i/>
          <w:sz w:val="20"/>
        </w:rPr>
        <w:t>Genesco Urges Shareholders to Vote “FOR” ONLY the Company’s Nine Nominees on the WHITE Proxy Card—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NASHVILLE, Tenn., July 13, 2026 — Genesco Inc. (NYSE: GCO) today announced that independent proxy advisory firms Glass Lewis &amp; Co. (“Glass Lewis”) and Egan-Jones Proxy Services (“Egan-Jones”), in addition to Institutional Shareholder Services (“ISS”), have recommended that shareholders vote “FOR” ONLY Genesco’s nine highly-qualified directors on the WHITE proxy card in connection with the Company’s upcoming 2026 Annual Meeting of Shareholders scheduled for July 21, 2026. </w:t>
      </w:r>
    </w:p>
    <w:p>
      <w:pPr>
        <w:pStyle w:val="TextBody"/>
        <w:bidi w:val="0"/>
        <w:spacing w:before="240" w:after="0"/>
        <w:jc w:val="left"/>
        <w:rPr>
          <w:rFonts w:ascii="Times New Roman" w:hAnsi="Times New Roman"/>
          <w:sz w:val="20"/>
        </w:rPr>
      </w:pPr>
      <w:r>
        <w:rPr>
          <w:rFonts w:ascii="Times New Roman" w:hAnsi="Times New Roman"/>
          <w:sz w:val="20"/>
        </w:rPr>
        <w:t xml:space="preserve">Genesco issued the following statement: </w:t>
      </w:r>
    </w:p>
    <w:p>
      <w:pPr>
        <w:pStyle w:val="TextBody"/>
        <w:bidi w:val="0"/>
        <w:spacing w:before="120" w:after="0"/>
        <w:jc w:val="left"/>
        <w:rPr>
          <w:rFonts w:ascii="Times New Roman" w:hAnsi="Times New Roman"/>
          <w:sz w:val="20"/>
        </w:rPr>
      </w:pPr>
      <w:r>
        <w:rPr>
          <w:rFonts w:ascii="Times New Roman" w:hAnsi="Times New Roman"/>
          <w:sz w:val="20"/>
        </w:rPr>
        <w:t xml:space="preserve">The support of all three independent proxy advisory firms for Genesco’s director candidates reinforces the qualifications and experience of our Board, and its active oversight of the clear momentum underway as we execute our winning strategy. In their recommendations, each of the proxy advisory firms emphasizes that Bradley Radoff has not made a compelling case for change in his unnecessary proxy fight at Genesco. </w:t>
      </w:r>
    </w:p>
    <w:p>
      <w:pPr>
        <w:pStyle w:val="TextBody"/>
        <w:bidi w:val="0"/>
        <w:spacing w:before="120" w:after="0"/>
        <w:jc w:val="left"/>
        <w:rPr>
          <w:rFonts w:ascii="Times New Roman" w:hAnsi="Times New Roman"/>
          <w:sz w:val="20"/>
        </w:rPr>
      </w:pPr>
      <w:r>
        <w:rPr>
          <w:rFonts w:ascii="Times New Roman" w:hAnsi="Times New Roman"/>
          <w:sz w:val="20"/>
        </w:rPr>
        <w:t xml:space="preserve">We strongly urge shareholders to follow the recommendation of the Board and all three independent proxy advisory firms to vote “FOR” ONLY Genesco’s nine directors. </w:t>
      </w:r>
    </w:p>
    <w:p>
      <w:pPr>
        <w:pStyle w:val="TextBody"/>
        <w:bidi w:val="0"/>
        <w:spacing w:before="240" w:after="0"/>
        <w:jc w:val="left"/>
        <w:rPr>
          <w:rFonts w:ascii="Times New Roman" w:hAnsi="Times New Roman"/>
          <w:sz w:val="20"/>
        </w:rPr>
      </w:pPr>
      <w:r>
        <w:rPr>
          <w:rFonts w:ascii="Times New Roman" w:hAnsi="Times New Roman"/>
          <w:sz w:val="20"/>
        </w:rPr>
        <w:t xml:space="preserve">Glass Lewis stated in its July 9, 2026 report1: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the Dissident has not presented a comprehensive and compelling case for change or a novel, well-defined path tailored to credibly reasoned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available materials indicate Genesco has more recently charted a reasonably favorable course under the stewardship of Ms. Vaughn and the board, underpinned, in particular, by an iterative strategic initiative that appears to be driving stronger operational performance, improved investor returns and buoyed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By contrast, the accelerated push launched by the Radoff-Jumana Group – hampered both by its brevity and indeterminate objectives – does not firmly establish a sound case to usurp the status quo in favor of alternate candidates at this juncture.”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July 9, 2026 report, Egan-Jones concluded1: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Accordingly, we believe shareholders should vote FOR ALL of the management’s nominees on the WHITE proxy card. The recent trajectory of Genesco’s fundamentals and operating execution supports maintaining the current board composition while the Footwear First strategy continues to gain traction, particularly given recovering cash flow, modestly improving profitability, and early evidence of successful Journeys repositioning and store remodel performance. The strong TSR of the Company over the past year demonstrates market optimism around the new strategy as well.”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Permission to use quotations was neither sought nor obtained.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Your vote is extremely important no matter how many shares you own.</w:t>
      </w:r>
      <w:r>
        <w:rPr>
          <w:rFonts w:ascii="Times New Roman" w:hAnsi="Times New Roman"/>
          <w:sz w:val="20"/>
        </w:rPr>
        <w:t xml:space="preserve"> We urge you to protect the value of your investment and vote “</w:t>
      </w:r>
      <w:r>
        <w:rPr>
          <w:rFonts w:ascii="Times New Roman" w:hAnsi="Times New Roman"/>
          <w:b/>
          <w:sz w:val="20"/>
        </w:rPr>
        <w:t xml:space="preserve">FOR” </w:t>
      </w:r>
      <w:r>
        <w:rPr>
          <w:rFonts w:ascii="Times New Roman" w:hAnsi="Times New Roman"/>
          <w:b/>
          <w:i/>
          <w:sz w:val="20"/>
        </w:rPr>
        <w:t>ONLY</w:t>
      </w:r>
      <w:r>
        <w:rPr>
          <w:rFonts w:ascii="Times New Roman" w:hAnsi="Times New Roman"/>
          <w:sz w:val="20"/>
        </w:rPr>
        <w:t xml:space="preserve"> Genesco’s nine nominees on the </w:t>
      </w:r>
      <w:r>
        <w:rPr>
          <w:rFonts w:ascii="Times New Roman" w:hAnsi="Times New Roman"/>
          <w:b/>
          <w:sz w:val="20"/>
        </w:rPr>
        <w:t>WHITE</w:t>
      </w:r>
      <w:r>
        <w:rPr>
          <w:rFonts w:ascii="Times New Roman" w:hAnsi="Times New Roman"/>
          <w:sz w:val="20"/>
        </w:rPr>
        <w:t xml:space="preserve"> proxy card today.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help voting your shares, please call the Company’s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(877) 750-2689 (toll-free from the U.S. and Canada) </w:t>
      </w:r>
    </w:p>
    <w:p>
      <w:pPr>
        <w:pStyle w:val="TextBody"/>
        <w:bidi w:val="0"/>
        <w:spacing w:before="0" w:after="0"/>
        <w:jc w:val="center"/>
        <w:rPr>
          <w:rFonts w:ascii="Times New Roman" w:hAnsi="Times New Roman"/>
          <w:b/>
          <w:sz w:val="20"/>
        </w:rPr>
      </w:pPr>
      <w:r>
        <w:rPr>
          <w:rFonts w:ascii="Times New Roman" w:hAnsi="Times New Roman"/>
          <w:b/>
          <w:sz w:val="20"/>
        </w:rPr>
        <w:t xml:space="preserve">+1 (412) 232-3651 (from other countries) </w:t>
      </w:r>
    </w:p>
    <w:p>
      <w:pPr>
        <w:pStyle w:val="TextBody"/>
        <w:bidi w:val="0"/>
        <w:spacing w:before="0" w:after="0"/>
        <w:jc w:val="center"/>
        <w:rPr>
          <w:rFonts w:ascii="Times New Roman" w:hAnsi="Times New Roman"/>
          <w:b/>
          <w:sz w:val="20"/>
        </w:rPr>
      </w:pPr>
      <w:r>
        <w:rPr>
          <w:rFonts w:ascii="Times New Roman" w:hAnsi="Times New Roman"/>
          <w:b/>
          <w:sz w:val="20"/>
        </w:rPr>
        <w:t xml:space="preserve">Banks and Brokers May Call Collect: (212) 750-5833 </w:t>
      </w:r>
    </w:p>
    <w:p>
      <w:pPr>
        <w:pStyle w:val="TextBody"/>
        <w:bidi w:val="0"/>
        <w:spacing w:before="240" w:after="0"/>
        <w:jc w:val="left"/>
        <w:rPr>
          <w:rFonts w:ascii="Times New Roman" w:hAnsi="Times New Roman"/>
          <w:b/>
          <w:sz w:val="20"/>
        </w:rPr>
      </w:pPr>
      <w:r>
        <w:rPr>
          <w:rFonts w:ascii="Times New Roman" w:hAnsi="Times New Roman"/>
          <w:b/>
          <w:sz w:val="20"/>
        </w:rPr>
        <w:t xml:space="preserve">About Genesco Inc. </w:t>
      </w:r>
    </w:p>
    <w:p>
      <w:pPr>
        <w:pStyle w:val="TextBody"/>
        <w:bidi w:val="0"/>
        <w:spacing w:before="120" w:after="0"/>
        <w:jc w:val="left"/>
        <w:rPr>
          <w:rFonts w:ascii="Times New Roman" w:hAnsi="Times New Roman"/>
          <w:sz w:val="20"/>
        </w:rPr>
      </w:pPr>
      <w:r>
        <w:rPr>
          <w:rFonts w:ascii="Times New Roman" w:hAnsi="Times New Roman"/>
          <w:sz w:val="20"/>
        </w:rPr>
        <w:t>Genesco Inc. (NYSE: GCO) is a footwear first company with distinctively positioned retail and lifestyle brands and proven omnichannel capabilities offering customers the footwear they desire in engaging shopping environments, including more than 1,200 retail stores and branded e-commerce websites. Its Journeys, Little Burgundy and 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t>
      </w:r>
      <w:r>
        <w:rPr>
          <w:rFonts w:ascii="Times New Roman" w:hAnsi="Times New Roman"/>
          <w:sz w:val="20"/>
          <w:u w:val="single"/>
        </w:rPr>
        <w:t>www.genesco.com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document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the amount and timing of any tariff refunds;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disruptions in our business or information technology systems either by security breaches and incidents or by potential problems associated with the implementation of new or upgraded systems or as the result of the restructuring of our information technology functions; risks that our efforts to integrate AI into our business operations may not be successful and could result in reputational harm and /or liability; changes in tax laws and tax rates and our ability to realize any anticipated tax benefits in both the amount and timeframe anticipated; the cost and outcome of litigation, investigations, environmental matters and other disputes that involve us; and other risk factors as set forth in our filings with the Securities and Exchange Commission. The Company disclaims any obligation to update or alter such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On June 15, 2026, Genesco filed a definitive proxy statement on Schedule 14A (the “Proxy Statement”) and accompanying WHITE proxy card with the Securities and Exchange Commission (“SEC”) in connection with the 2026 annual meeting of Genesco shareholders (the “2026 Annual Meeting”) and its solicitation of proxies for Genesco’s director nominees and for other matters to be voted on. This document is not a substitute for the Proxy Statement or any other document that Genesco has filed or may file with the SEC in connection with any solicitation by Genesco. </w:t>
      </w:r>
      <w:r>
        <w:rPr>
          <w:rFonts w:ascii="Times New Roman" w:hAnsi="Times New Roman"/>
          <w:b/>
          <w:sz w:val="20"/>
        </w:rPr>
        <w:t>INVESTORS AND SHAREHOLDERS ARE STRONGLY ENCOURAGED TO READ THE PROXY STATEMENT AND ACCOMPANYING PROXY CARD AND OTHER DOCUMENTS FILED WITH THE SEC CAREFULLY AND IN THEIR ENTIRETY WHEN THEY BECOME AVAILABLE AS THEY WILL CONTAIN IMPORTANT INFORMATION.</w:t>
      </w:r>
      <w:r>
        <w:rPr>
          <w:rFonts w:ascii="Times New Roman" w:hAnsi="Times New Roman"/>
          <w:sz w:val="20"/>
        </w:rPr>
        <w:t xml:space="preserve"> Shareholders may obtain the Proxy Statement, any amendments or supplements to the Proxy Statement and other documents (including the WHITE proxy card) filed by Genesco with the SEC for no charge at the SEC’s website at </w:t>
      </w:r>
      <w:r>
        <w:rPr>
          <w:rFonts w:ascii="Times New Roman" w:hAnsi="Times New Roman"/>
          <w:sz w:val="20"/>
          <w:u w:val="single"/>
        </w:rPr>
        <w:t>www.sec.gov</w:t>
      </w:r>
      <w:r>
        <w:rPr>
          <w:rFonts w:ascii="Times New Roman" w:hAnsi="Times New Roman"/>
          <w:sz w:val="20"/>
        </w:rPr>
        <w:t xml:space="preserve">. Copies will also be available at no charge at VoteGenesco.com. </w:t>
      </w:r>
    </w:p>
    <w:p>
      <w:pPr>
        <w:pStyle w:val="TextBody"/>
        <w:bidi w:val="0"/>
        <w:spacing w:before="360" w:after="0"/>
        <w:jc w:val="left"/>
        <w:rPr>
          <w:rFonts w:ascii="Times New Roman" w:hAnsi="Times New Roman"/>
          <w:b/>
          <w:sz w:val="20"/>
        </w:rPr>
      </w:pPr>
      <w:r>
        <w:rPr>
          <w:rFonts w:ascii="Times New Roman" w:hAnsi="Times New Roman"/>
          <w:b/>
          <w:sz w:val="20"/>
        </w:rPr>
        <w:t xml:space="preserve">Genesco Media Contact </w:t>
      </w:r>
    </w:p>
    <w:p>
      <w:pPr>
        <w:pStyle w:val="TextBody"/>
        <w:bidi w:val="0"/>
        <w:spacing w:before="0" w:after="0"/>
        <w:jc w:val="left"/>
        <w:rPr>
          <w:rFonts w:ascii="Times New Roman" w:hAnsi="Times New Roman"/>
          <w:sz w:val="20"/>
        </w:rPr>
      </w:pPr>
      <w:r>
        <w:rPr>
          <w:rFonts w:ascii="Times New Roman" w:hAnsi="Times New Roman"/>
          <w:sz w:val="20"/>
        </w:rPr>
        <w:t xml:space="preserve">Claire S. McCall, Director, Corporate Relations </w:t>
      </w:r>
    </w:p>
    <w:p>
      <w:pPr>
        <w:pStyle w:val="TextBody"/>
        <w:bidi w:val="0"/>
        <w:spacing w:before="0" w:after="0"/>
        <w:jc w:val="left"/>
        <w:rPr>
          <w:rFonts w:ascii="Times New Roman" w:hAnsi="Times New Roman"/>
          <w:sz w:val="20"/>
        </w:rPr>
      </w:pPr>
      <w:r>
        <w:rPr>
          <w:rFonts w:ascii="Times New Roman" w:hAnsi="Times New Roman"/>
          <w:sz w:val="20"/>
        </w:rPr>
        <w:t xml:space="preserve">(615) 308-2483 / </w:t>
      </w:r>
      <w:r>
        <w:rPr>
          <w:rFonts w:ascii="Times New Roman" w:hAnsi="Times New Roman"/>
          <w:sz w:val="20"/>
          <w:u w:val="single"/>
        </w:rPr>
        <w:t>cmccall@genesco.com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Leigh Parrish / Viveca Tress </w:t>
      </w:r>
    </w:p>
    <w:p>
      <w:pPr>
        <w:pStyle w:val="TextBody"/>
        <w:bidi w:val="0"/>
        <w:spacing w:before="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360" w:after="0"/>
        <w:jc w:val="left"/>
        <w:rPr>
          <w:rFonts w:ascii="Times New Roman" w:hAnsi="Times New Roman"/>
          <w:b/>
          <w:sz w:val="20"/>
        </w:rPr>
      </w:pPr>
      <w:r>
        <w:rPr>
          <w:rFonts w:ascii="Times New Roman" w:hAnsi="Times New Roman"/>
          <w:b/>
          <w:sz w:val="20"/>
        </w:rPr>
        <w:t xml:space="preserve">Genesco Financial Contact </w:t>
      </w:r>
    </w:p>
    <w:p>
      <w:pPr>
        <w:pStyle w:val="TextBody"/>
        <w:bidi w:val="0"/>
        <w:spacing w:before="0" w:after="0"/>
        <w:jc w:val="left"/>
        <w:rPr>
          <w:rFonts w:ascii="Times New Roman" w:hAnsi="Times New Roman"/>
          <w:sz w:val="20"/>
        </w:rPr>
      </w:pPr>
      <w:r>
        <w:rPr>
          <w:rFonts w:ascii="Times New Roman" w:hAnsi="Times New Roman"/>
          <w:sz w:val="20"/>
        </w:rPr>
        <w:t xml:space="preserve">Darryl MacQuarrie, Senior Director, FP&amp;A &amp;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(615) 308-5629 / </w:t>
      </w:r>
      <w:r>
        <w:rPr>
          <w:rFonts w:ascii="Times New Roman" w:hAnsi="Times New Roman"/>
          <w:sz w:val="20"/>
          <w:u w:val="single"/>
        </w:rPr>
        <w:t>dmacquarrie@genesco.com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1842</Words>
  <Characters>10462</Characters>
  <CharactersWithSpaces>12339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